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1246505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17, 2021</w:t>
            </w:r>
          </w:p>
        </w:tc>
        <w:tc>
          <w:tcPr>
            <w:tcW w:w="2300" w:type="dxa"/>
            <w:vAlign w:val="bottom"/>
          </w:tcPr>
          <w:p>
            <w:pPr>
              <w:spacing w:after="0"/>
              <w:rPr>
                <w:sz w:val="20"/>
                <w:szCs w:val="20"/>
                <w:color w:val="auto"/>
              </w:rPr>
            </w:pPr>
          </w:p>
        </w:tc>
      </w:tr>
      <w:tr>
        <w:trPr>
          <w:trHeight w:val="441"/>
        </w:trPr>
        <w:tc>
          <w:tcPr>
            <w:tcW w:w="22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tc>
        <w:tc>
          <w:tcPr>
            <w:tcW w:w="230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300" w:type="dxa"/>
            <w:vAlign w:val="bottom"/>
          </w:tcPr>
          <w:p>
            <w:pPr>
              <w:spacing w:after="0"/>
              <w:rPr>
                <w:sz w:val="20"/>
                <w:szCs w:val="20"/>
                <w:color w:val="auto"/>
              </w:rPr>
            </w:pPr>
          </w:p>
        </w:tc>
      </w:tr>
      <w:tr>
        <w:trPr>
          <w:trHeight w:val="513"/>
        </w:trPr>
        <w:tc>
          <w:tcPr>
            <w:tcW w:w="2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001-36156</w:t>
            </w:r>
          </w:p>
        </w:tc>
        <w:tc>
          <w:tcPr>
            <w:tcW w:w="23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5"/>
        </w:trPr>
        <w:tc>
          <w:tcPr>
            <w:tcW w:w="2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3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2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incorporation)</w:t>
            </w:r>
          </w:p>
        </w:tc>
        <w:tc>
          <w:tcPr>
            <w:tcW w:w="5220" w:type="dxa"/>
            <w:vAlign w:val="bottom"/>
          </w:tcPr>
          <w:p>
            <w:pPr>
              <w:spacing w:after="0"/>
              <w:rPr>
                <w:sz w:val="20"/>
                <w:szCs w:val="20"/>
                <w:color w:val="auto"/>
              </w:rPr>
            </w:pPr>
          </w:p>
        </w:tc>
        <w:tc>
          <w:tcPr>
            <w:tcW w:w="23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No.)</w:t>
            </w:r>
          </w:p>
        </w:tc>
      </w:tr>
      <w:tr>
        <w:trPr>
          <w:trHeight w:val="526"/>
        </w:trPr>
        <w:tc>
          <w:tcPr>
            <w:tcW w:w="7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California</w:t>
            </w:r>
          </w:p>
        </w:tc>
        <w:tc>
          <w:tcPr>
            <w:tcW w:w="23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6"/>
        </w:trPr>
        <w:tc>
          <w:tcPr>
            <w:tcW w:w="7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 w:lineRule="exact"/>
        <w:rPr>
          <w:sz w:val="24"/>
          <w:szCs w:val="24"/>
          <w:color w:val="auto"/>
        </w:rPr>
      </w:pPr>
    </w:p>
    <w:p>
      <w:pPr>
        <w:ind w:left="20" w:right="620" w:firstLine="54"/>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92" w:lineRule="exact"/>
        <w:rPr>
          <w:sz w:val="24"/>
          <w:szCs w:val="24"/>
          <w:color w:val="auto"/>
        </w:rPr>
      </w:pPr>
    </w:p>
    <w:p>
      <w:pPr>
        <w:ind w:left="20" w:right="26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72" w:lineRule="exact"/>
        <w:rPr>
          <w:sz w:val="24"/>
          <w:szCs w:val="24"/>
          <w:color w:val="auto"/>
        </w:rPr>
      </w:pPr>
    </w:p>
    <w:p>
      <w:pPr>
        <w:ind w:left="20" w:right="14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1385570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17, 2020, Veracyte, Inc. issued a press release announcing its financial results for the quarter and year ended December 31, 2020. The full text of the press release is furnished as Exhibit 99.1 to this report.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240" w:type="dxa"/>
            <w:vAlign w:val="bottom"/>
          </w:tcPr>
          <w:p>
            <w:pPr>
              <w:spacing w:after="0"/>
              <w:rPr>
                <w:sz w:val="20"/>
                <w:szCs w:val="20"/>
                <w:color w:val="auto"/>
              </w:rPr>
            </w:pPr>
          </w:p>
        </w:tc>
      </w:tr>
      <w:tr>
        <w:trPr>
          <w:trHeight w:val="486"/>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331"/>
        </w:trPr>
        <w:tc>
          <w:tcPr>
            <w:tcW w:w="14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9240" w:type="dxa"/>
            <w:vAlign w:val="bottom"/>
            <w:tcBorders>
              <w:top w:val="single" w:sz="8" w:color="auto"/>
            </w:tcBorders>
          </w:tcPr>
          <w:p>
            <w:pPr>
              <w:ind w:left="2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Press release issued by Veracyte, Inc. dated February 17, 2020.</w:t>
              </w:r>
            </w:hyperlink>
          </w:p>
        </w:tc>
      </w:tr>
    </w:tbl>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80"/>
        <w:spacing w:after="0"/>
        <w:tabs>
          <w:tab w:leader="none" w:pos="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17, 2021</w:t>
      </w:r>
    </w:p>
    <w:p>
      <w:pPr>
        <w:spacing w:after="0" w:line="27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Keith Kennedy</w:t>
      </w:r>
    </w:p>
    <w:p>
      <w:pPr>
        <w:spacing w:after="0" w:line="61"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413"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174625</wp:posOffset>
            </wp:positionV>
            <wp:extent cx="1165860" cy="874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586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Fourth Quarter and Full-Year 2020 Financial Results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Fourth Quarter Revenue Increased 16% to $34.5 Million; Volume Grew 14% to 13,130 Tests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Decipher Acquisition to Expand Global Leadership in Cancer Genomic Diagnostics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While Accelerating Growth</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color w:val="auto"/>
        </w:rPr>
        <w:t>SOUTH SAN FRANCISCO, Calif., February 17, 2021 --- Veracyte, Inc., (Nasdaq: VCYT) today announced financial results for the fourth quarter and full year ended December 31, 2020 and provided an update on recent business progress.</w:t>
      </w:r>
    </w:p>
    <w:p>
      <w:pPr>
        <w:spacing w:after="0" w:line="17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revenue and genomic testing and product volume continued to rebound from the pandemic during the fourth quarter and we entered 2021 with strong momentum across our business,” said Bonnie Anderson, Veracyte’s chairman and chief executive officer. “We are on track to launch multiple new products this year, including our noninvasive nasal swab test and Percepta Genomic Atlas in lung cancer.</w:t>
      </w:r>
    </w:p>
    <w:p>
      <w:pPr>
        <w:spacing w:after="0" w:line="19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“Additionally, we expect our pending acquisition of Decipher Biosciences, with its market-leading products in urologic cancers, will significantly accelerate our revenue growth by expanding our reach into seven of the ten most common cancers, further solidifying our global leadership in cancer genomic diagnostics. We look forward to welcoming Decipher’s employees when the transaction closes and to strengthening our executive leadership team with the addition of Dr. Tina Nova, Decipher’s president and CEO.”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2020 Financial Results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December 31, 2020, compared to the prior year:</w:t>
      </w:r>
    </w:p>
    <w:p>
      <w:pPr>
        <w:spacing w:after="0" w:line="239"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$34.5 million, an increase of 16%;</w:t>
      </w:r>
    </w:p>
    <w:p>
      <w:pPr>
        <w:spacing w:after="0" w:line="18" w:lineRule="exact"/>
        <w:rPr>
          <w:rFonts w:ascii="Arial" w:cs="Arial" w:eastAsia="Arial" w:hAnsi="Arial"/>
          <w:sz w:val="20"/>
          <w:szCs w:val="20"/>
          <w:color w:val="auto"/>
        </w:rPr>
      </w:pPr>
    </w:p>
    <w:p>
      <w:pPr>
        <w:ind w:left="640" w:hanging="308"/>
        <w:spacing w:after="0" w:line="233"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68%, an increase of 2 percentage points;</w:t>
      </w:r>
    </w:p>
    <w:p>
      <w:pPr>
        <w:spacing w:after="0" w:line="6" w:lineRule="exact"/>
        <w:rPr>
          <w:rFonts w:ascii="Arial" w:cs="Arial" w:eastAsia="Arial" w:hAnsi="Arial"/>
          <w:sz w:val="20"/>
          <w:szCs w:val="20"/>
          <w:color w:val="auto"/>
        </w:rPr>
      </w:pPr>
    </w:p>
    <w:p>
      <w:pPr>
        <w:ind w:left="640" w:hanging="308"/>
        <w:spacing w:after="0" w:line="233"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$31.4 million, an increase of 13%;</w:t>
      </w:r>
    </w:p>
    <w:p>
      <w:pPr>
        <w:spacing w:after="0" w:line="6" w:lineRule="exact"/>
        <w:rPr>
          <w:rFonts w:ascii="Arial" w:cs="Arial" w:eastAsia="Arial" w:hAnsi="Arial"/>
          <w:sz w:val="20"/>
          <w:szCs w:val="20"/>
          <w:color w:val="auto"/>
        </w:rPr>
      </w:pPr>
    </w:p>
    <w:p>
      <w:pPr>
        <w:ind w:left="640" w:hanging="308"/>
        <w:spacing w:after="0" w:line="233"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$8.0 million, compared to $7.5 million;</w:t>
      </w:r>
    </w:p>
    <w:p>
      <w:pPr>
        <w:spacing w:after="0" w:line="6" w:lineRule="exact"/>
        <w:rPr>
          <w:rFonts w:ascii="Arial" w:cs="Arial" w:eastAsia="Arial" w:hAnsi="Arial"/>
          <w:sz w:val="20"/>
          <w:szCs w:val="20"/>
          <w:color w:val="auto"/>
        </w:rPr>
      </w:pPr>
    </w:p>
    <w:p>
      <w:pPr>
        <w:ind w:left="640" w:hanging="308"/>
        <w:spacing w:after="0" w:line="233"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$0.14, versus $0.15;</w:t>
      </w:r>
    </w:p>
    <w:p>
      <w:pPr>
        <w:spacing w:after="0" w:line="6" w:lineRule="exact"/>
        <w:rPr>
          <w:rFonts w:ascii="Arial" w:cs="Arial" w:eastAsia="Arial" w:hAnsi="Arial"/>
          <w:sz w:val="20"/>
          <w:szCs w:val="20"/>
          <w:color w:val="auto"/>
        </w:rPr>
      </w:pPr>
    </w:p>
    <w:p>
      <w:pPr>
        <w:ind w:left="640" w:hanging="308"/>
        <w:spacing w:after="0" w:line="233"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was $2.3 million, compared to $1.8 million; and</w:t>
      </w:r>
    </w:p>
    <w:p>
      <w:pPr>
        <w:spacing w:after="0" w:line="6" w:lineRule="exact"/>
        <w:rPr>
          <w:rFonts w:ascii="Arial" w:cs="Arial" w:eastAsia="Arial" w:hAnsi="Arial"/>
          <w:sz w:val="20"/>
          <w:szCs w:val="20"/>
          <w:color w:val="auto"/>
        </w:rPr>
      </w:pPr>
    </w:p>
    <w:p>
      <w:pPr>
        <w:ind w:left="640" w:hanging="308"/>
        <w:spacing w:after="0" w:line="233"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were $349.4 million at December 31,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2020, compared to the prior year:</w:t>
      </w:r>
    </w:p>
    <w:p>
      <w:pPr>
        <w:spacing w:after="0" w:line="239"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$117.5 million, a decrease of 2%;</w:t>
      </w:r>
    </w:p>
    <w:p>
      <w:pPr>
        <w:spacing w:after="0" w:line="18" w:lineRule="exact"/>
        <w:rPr>
          <w:rFonts w:ascii="Arial" w:cs="Arial" w:eastAsia="Arial" w:hAnsi="Arial"/>
          <w:sz w:val="20"/>
          <w:szCs w:val="20"/>
          <w:color w:val="auto"/>
        </w:rPr>
      </w:pPr>
    </w:p>
    <w:p>
      <w:pPr>
        <w:ind w:left="640" w:hanging="308"/>
        <w:spacing w:after="0" w:line="23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65%, a decrease of 5 percentage points;</w:t>
      </w:r>
    </w:p>
    <w:p>
      <w:pPr>
        <w:spacing w:after="0" w:line="6" w:lineRule="exact"/>
        <w:rPr>
          <w:rFonts w:ascii="Arial" w:cs="Arial" w:eastAsia="Arial" w:hAnsi="Arial"/>
          <w:sz w:val="20"/>
          <w:szCs w:val="20"/>
          <w:color w:val="auto"/>
        </w:rPr>
      </w:pPr>
    </w:p>
    <w:p>
      <w:pPr>
        <w:ind w:left="640" w:hanging="308"/>
        <w:spacing w:after="0" w:line="23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$111.4 million, an increase of 13%;</w:t>
      </w:r>
    </w:p>
    <w:p>
      <w:pPr>
        <w:spacing w:after="0" w:line="6" w:lineRule="exact"/>
        <w:rPr>
          <w:rFonts w:ascii="Arial" w:cs="Arial" w:eastAsia="Arial" w:hAnsi="Arial"/>
          <w:sz w:val="20"/>
          <w:szCs w:val="20"/>
          <w:color w:val="auto"/>
        </w:rPr>
      </w:pPr>
    </w:p>
    <w:p>
      <w:pPr>
        <w:ind w:left="640" w:hanging="308"/>
        <w:spacing w:after="0" w:line="23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$34.9 million, compared to $12.6 million;</w:t>
      </w:r>
    </w:p>
    <w:p>
      <w:pPr>
        <w:spacing w:after="0" w:line="6" w:lineRule="exact"/>
        <w:rPr>
          <w:rFonts w:ascii="Arial" w:cs="Arial" w:eastAsia="Arial" w:hAnsi="Arial"/>
          <w:sz w:val="20"/>
          <w:szCs w:val="20"/>
          <w:color w:val="auto"/>
        </w:rPr>
      </w:pPr>
    </w:p>
    <w:p>
      <w:pPr>
        <w:ind w:left="640" w:hanging="308"/>
        <w:spacing w:after="0" w:line="23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$0.66, versus $0.27; and</w:t>
      </w:r>
    </w:p>
    <w:p>
      <w:pPr>
        <w:spacing w:after="0" w:line="6" w:lineRule="exact"/>
        <w:rPr>
          <w:rFonts w:ascii="Arial" w:cs="Arial" w:eastAsia="Arial" w:hAnsi="Arial"/>
          <w:sz w:val="20"/>
          <w:szCs w:val="20"/>
          <w:color w:val="auto"/>
        </w:rPr>
      </w:pPr>
    </w:p>
    <w:p>
      <w:pPr>
        <w:ind w:left="640" w:hanging="308"/>
        <w:spacing w:after="0" w:line="233"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$9.7 million, compared to $3.2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Full-Year and Recent Business Highlights</w:t>
      </w:r>
    </w:p>
    <w:p>
      <w:pPr>
        <w:sectPr>
          <w:pgSz w:w="11900" w:h="16838" w:orient="portrait"/>
          <w:cols w:equalWidth="0" w:num="1">
            <w:col w:w="11240"/>
          </w:cols>
          <w:pgMar w:left="320" w:top="88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t>Commercial Growth</w:t>
      </w:r>
    </w:p>
    <w:p>
      <w:pPr>
        <w:spacing w:after="0" w:line="264"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18"/>
          <w:szCs w:val="18"/>
          <w:color w:val="222222"/>
        </w:rPr>
        <w:t>Grew revenue to $</w:t>
      </w:r>
      <w:r>
        <w:rPr>
          <w:rFonts w:ascii="Arial" w:cs="Arial" w:eastAsia="Arial" w:hAnsi="Arial"/>
          <w:sz w:val="18"/>
          <w:szCs w:val="18"/>
          <w:color w:val="000000"/>
        </w:rPr>
        <w:t>34.5 million in the fourth quarter, an increase of 16% compared to the same period in 2019.</w:t>
      </w:r>
    </w:p>
    <w:p>
      <w:pPr>
        <w:spacing w:after="0" w:line="8"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18"/>
          <w:szCs w:val="18"/>
          <w:color w:val="auto"/>
        </w:rPr>
        <w:t>Product revenue grew to $9.8 million for 2020, exceeding our expectations.</w:t>
      </w:r>
    </w:p>
    <w:p>
      <w:pPr>
        <w:ind w:left="660" w:right="60" w:hanging="328"/>
        <w:spacing w:after="0" w:line="229"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Achieved genomic testing and product volume of 13,130 tests in the fourth quarter, a 14% increase compared to the fourth quarter of 2019.</w:t>
      </w:r>
    </w:p>
    <w:p>
      <w:pPr>
        <w:spacing w:after="0" w:line="1" w:lineRule="exact"/>
        <w:rPr>
          <w:rFonts w:ascii="Arial" w:cs="Arial" w:eastAsia="Arial" w:hAnsi="Arial"/>
          <w:sz w:val="20"/>
          <w:szCs w:val="20"/>
          <w:color w:val="auto"/>
        </w:rPr>
      </w:pPr>
    </w:p>
    <w:p>
      <w:pPr>
        <w:jc w:val="both"/>
        <w:ind w:left="660" w:hanging="328"/>
        <w:spacing w:after="0" w:line="242" w:lineRule="auto"/>
        <w:tabs>
          <w:tab w:leader="none" w:pos="648" w:val="left"/>
        </w:tabs>
        <w:numPr>
          <w:ilvl w:val="0"/>
          <w:numId w:val="4"/>
        </w:numPr>
        <w:rPr>
          <w:rFonts w:ascii="Arial" w:cs="Arial" w:eastAsia="Arial" w:hAnsi="Arial"/>
          <w:sz w:val="19"/>
          <w:szCs w:val="19"/>
          <w:color w:val="auto"/>
        </w:rPr>
      </w:pPr>
      <w:r>
        <w:rPr>
          <w:rFonts w:ascii="Arial" w:cs="Arial" w:eastAsia="Arial" w:hAnsi="Arial"/>
          <w:sz w:val="17"/>
          <w:szCs w:val="17"/>
          <w:color w:val="auto"/>
        </w:rPr>
        <w:t xml:space="preserve">Received new Medicare reimbursement rate of $5,500 for the Envisia Genomic Classifier, which went into effect on October 1, 2020, following the test’s designation by the Centers for Medicare &amp; Medicaid Services as an </w:t>
      </w:r>
      <w:r>
        <w:rPr>
          <w:rFonts w:ascii="Arial" w:cs="Arial" w:eastAsia="Arial" w:hAnsi="Arial"/>
          <w:sz w:val="17"/>
          <w:szCs w:val="17"/>
          <w:color w:val="222222"/>
        </w:rPr>
        <w:t>Advanced Diagnostic Laboratory Test (ADLT).</w:t>
      </w:r>
    </w:p>
    <w:p>
      <w:pPr>
        <w:spacing w:after="0" w:line="1" w:lineRule="exact"/>
        <w:rPr>
          <w:rFonts w:ascii="Arial" w:cs="Arial" w:eastAsia="Arial" w:hAnsi="Arial"/>
          <w:sz w:val="19"/>
          <w:szCs w:val="19"/>
          <w:color w:val="auto"/>
        </w:rPr>
      </w:pPr>
    </w:p>
    <w:p>
      <w:pPr>
        <w:ind w:left="660" w:right="280" w:hanging="328"/>
        <w:spacing w:after="0" w:line="232"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222222"/>
        </w:rPr>
        <w:t xml:space="preserve">Received reimbursement approval from the German government for the </w:t>
      </w:r>
      <w:r>
        <w:rPr>
          <w:rFonts w:ascii="Arial" w:cs="Arial" w:eastAsia="Arial" w:hAnsi="Arial"/>
          <w:sz w:val="18"/>
          <w:szCs w:val="18"/>
          <w:color w:val="000000"/>
        </w:rPr>
        <w:t>Prosigna® Breast Cancer Gene Signature Assay, making</w:t>
      </w:r>
      <w:r>
        <w:rPr>
          <w:rFonts w:ascii="Arial" w:cs="Arial" w:eastAsia="Arial" w:hAnsi="Arial"/>
          <w:sz w:val="18"/>
          <w:szCs w:val="18"/>
          <w:color w:val="222222"/>
        </w:rPr>
        <w:t xml:space="preserve"> </w:t>
      </w:r>
      <w:r>
        <w:rPr>
          <w:rFonts w:ascii="Arial" w:cs="Arial" w:eastAsia="Arial" w:hAnsi="Arial"/>
          <w:sz w:val="18"/>
          <w:szCs w:val="18"/>
          <w:color w:val="000000"/>
        </w:rPr>
        <w:t>the test accessible for all breast cancer patients in Germany with HR+/HER2- early-stage breast cancer.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Evidence Development</w:t>
      </w:r>
    </w:p>
    <w:p>
      <w:pPr>
        <w:spacing w:after="0" w:line="250" w:lineRule="exact"/>
        <w:rPr>
          <w:sz w:val="20"/>
          <w:szCs w:val="20"/>
          <w:color w:val="auto"/>
        </w:rPr>
      </w:pPr>
    </w:p>
    <w:p>
      <w:pPr>
        <w:ind w:left="660" w:right="480" w:hanging="328"/>
        <w:spacing w:after="0" w:line="241"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18"/>
          <w:szCs w:val="18"/>
          <w:color w:val="auto"/>
        </w:rPr>
        <w:t>Published ten studies in leading peer-reviewed journals supporting our genomic tests in four disease areas (lung cancer, breast cancer, thyroid cancer and interstitial lung diseases, including idiopathic pulmonary fibrosis).</w:t>
      </w:r>
    </w:p>
    <w:p>
      <w:pPr>
        <w:spacing w:after="0" w:line="1" w:lineRule="exact"/>
        <w:rPr>
          <w:rFonts w:ascii="Arial" w:cs="Arial" w:eastAsia="Arial" w:hAnsi="Arial"/>
          <w:sz w:val="20"/>
          <w:szCs w:val="20"/>
          <w:color w:val="auto"/>
        </w:rPr>
      </w:pPr>
    </w:p>
    <w:p>
      <w:pPr>
        <w:ind w:left="660" w:right="300" w:hanging="328"/>
        <w:spacing w:after="0" w:line="23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18"/>
          <w:szCs w:val="18"/>
          <w:color w:val="auto"/>
        </w:rPr>
        <w:t>Launched the PROCURE study, led by an independent scientific committee of breast cancer experts and including input from 180 clinicians throughout Europe, to help achieve consensus on the evidence supporting the most frequently used breast cancer genomic tests, including Prosigna.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Pipeline Advancement/Collaborations</w:t>
      </w:r>
    </w:p>
    <w:p>
      <w:pPr>
        <w:spacing w:after="0" w:line="250" w:lineRule="exact"/>
        <w:rPr>
          <w:sz w:val="20"/>
          <w:szCs w:val="20"/>
          <w:color w:val="auto"/>
        </w:rPr>
      </w:pPr>
    </w:p>
    <w:p>
      <w:pPr>
        <w:ind w:left="660" w:right="60" w:hanging="328"/>
        <w:spacing w:after="0" w:line="241"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auto"/>
        </w:rPr>
        <w:t>Unveiled new preliminary performance data at an R&amp;D Day event for our noninvasive nasal swab test for early lung cancer detection and our Percepta Genomic Atlas for informing treatment decisions at the time of lung cancer diagnosis.</w:t>
      </w:r>
    </w:p>
    <w:p>
      <w:pPr>
        <w:spacing w:after="0" w:line="1" w:lineRule="exact"/>
        <w:rPr>
          <w:rFonts w:ascii="Arial" w:cs="Arial" w:eastAsia="Arial" w:hAnsi="Arial"/>
          <w:sz w:val="20"/>
          <w:szCs w:val="20"/>
          <w:color w:val="auto"/>
        </w:rPr>
      </w:pPr>
    </w:p>
    <w:p>
      <w:pPr>
        <w:jc w:val="both"/>
        <w:ind w:left="660" w:right="340" w:hanging="328"/>
        <w:spacing w:after="0" w:line="233"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222222"/>
        </w:rPr>
        <w:t>Expanded our strategic collaboration with the Lung Cancer Initiative at Johnson &amp; Johnson to include a focus on the NOBLE trial. The 9,000-patient, prospective, multicenter clinical study is designed to distinguish genomic and other differences in lung cancer development, which may fuel Veracyte’s development of future tests.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Decipher Acquisition</w:t>
      </w:r>
    </w:p>
    <w:p>
      <w:pPr>
        <w:spacing w:after="0" w:line="250" w:lineRule="exact"/>
        <w:rPr>
          <w:sz w:val="20"/>
          <w:szCs w:val="20"/>
          <w:color w:val="auto"/>
        </w:rPr>
      </w:pPr>
    </w:p>
    <w:p>
      <w:pPr>
        <w:ind w:left="660" w:right="200" w:hanging="328"/>
        <w:spacing w:after="0" w:line="23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color w:val="222222"/>
        </w:rPr>
        <w:t>Announced we have entered into an agreement to acquire Decipher Biosciences, a commercial-stage precision oncology company focused on urologic cancers, further solidifying Veracyte’s global leadership in the genomic cancer diagnostics market while accelerating revenue growth.</w:t>
      </w:r>
    </w:p>
    <w:p>
      <w:pPr>
        <w:spacing w:after="0" w:line="1" w:lineRule="exact"/>
        <w:rPr>
          <w:rFonts w:ascii="Arial" w:cs="Arial" w:eastAsia="Arial" w:hAnsi="Arial"/>
          <w:sz w:val="20"/>
          <w:szCs w:val="20"/>
          <w:color w:val="auto"/>
        </w:rPr>
      </w:pPr>
    </w:p>
    <w:p>
      <w:pPr>
        <w:ind w:left="660" w:right="20" w:hanging="328"/>
        <w:spacing w:after="0" w:line="231"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color w:val="222222"/>
        </w:rPr>
        <w:t>Under terms of the acquisition agreement and following Veracyte’s exercise of an option to substitute cash for the entire stock portion of the consideration, the company will pay Decipher security holders $600 million in cash, subject to customary purchase price adjustments.</w:t>
      </w:r>
    </w:p>
    <w:p>
      <w:pPr>
        <w:spacing w:after="0" w:line="1" w:lineRule="exact"/>
        <w:rPr>
          <w:rFonts w:ascii="Arial" w:cs="Arial" w:eastAsia="Arial" w:hAnsi="Arial"/>
          <w:sz w:val="20"/>
          <w:szCs w:val="20"/>
          <w:color w:val="auto"/>
        </w:rPr>
      </w:pPr>
    </w:p>
    <w:p>
      <w:pPr>
        <w:ind w:left="660" w:right="80" w:hanging="328"/>
        <w:spacing w:after="0" w:line="232"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color w:val="222222"/>
        </w:rPr>
        <w:t xml:space="preserve">The acquisition is expected to close </w:t>
      </w:r>
      <w:r>
        <w:rPr>
          <w:rFonts w:ascii="Arial" w:cs="Arial" w:eastAsia="Arial" w:hAnsi="Arial"/>
          <w:sz w:val="18"/>
          <w:szCs w:val="18"/>
          <w:color w:val="000000"/>
        </w:rPr>
        <w:t>on or before April 1,</w:t>
      </w:r>
      <w:r>
        <w:rPr>
          <w:rFonts w:ascii="Arial" w:cs="Arial" w:eastAsia="Arial" w:hAnsi="Arial"/>
          <w:sz w:val="18"/>
          <w:szCs w:val="18"/>
          <w:color w:val="222222"/>
        </w:rPr>
        <w:t xml:space="preserve"> 2021, subject to regulatory approval and the satisfaction of other customary conditions.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Financing</w:t>
      </w:r>
    </w:p>
    <w:p>
      <w:pPr>
        <w:spacing w:after="0" w:line="237" w:lineRule="exact"/>
        <w:rPr>
          <w:sz w:val="20"/>
          <w:szCs w:val="20"/>
          <w:color w:val="auto"/>
        </w:rPr>
      </w:pPr>
    </w:p>
    <w:p>
      <w:pPr>
        <w:ind w:left="660" w:right="80" w:hanging="328"/>
        <w:spacing w:after="0" w:line="243" w:lineRule="auto"/>
        <w:tabs>
          <w:tab w:leader="none" w:pos="655"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Issued and sold 8,547,297 shares of common stock, including 1,114,864 shares sold upon full exercise of the underwriters’ option to purchase additional shares, at a price to the public of $74.00 per share. The net proceeds to Veracyte from the offering were approximately $593.8 million.</w:t>
      </w:r>
    </w:p>
    <w:p>
      <w:pPr>
        <w:ind w:left="660" w:right="40" w:hanging="328"/>
        <w:spacing w:after="0" w:line="242" w:lineRule="auto"/>
        <w:tabs>
          <w:tab w:leader="none" w:pos="655"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Veracyte intends to use a portion of the net proceeds from the offering, together with its existing cash and cash equivalents, to finance its acquisition of Decipher and intends to use the remaining net proceeds of the offering for working capital and other general corporate purposes, including to acquire or invest in complementary businesses, technologies or other assets.</w:t>
      </w:r>
    </w:p>
    <w:p>
      <w:pPr>
        <w:sectPr>
          <w:pgSz w:w="11900" w:h="16838" w:orient="portrait"/>
          <w:cols w:equalWidth="0" w:num="1">
            <w:col w:w="11240"/>
          </w:cols>
          <w:pgMar w:left="320" w:top="113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2021 Outlook</w:t>
      </w:r>
    </w:p>
    <w:p>
      <w:pPr>
        <w:spacing w:after="0" w:line="254"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222222"/>
        </w:rPr>
        <w:t xml:space="preserve">Pending the completion of the acquisition of Decipher Biosciences, which is assumed to occur by April 1, 2021, Veracyte expects total combined revenue in 2021 to be approximately $190 </w:t>
      </w:r>
      <w:r>
        <w:rPr>
          <w:rFonts w:ascii="Arial" w:cs="Arial" w:eastAsia="Arial" w:hAnsi="Arial"/>
          <w:sz w:val="18"/>
          <w:szCs w:val="18"/>
          <w:color w:val="000000"/>
        </w:rPr>
        <w:t>million</w:t>
      </w:r>
      <w:r>
        <w:rPr>
          <w:rFonts w:ascii="Arial" w:cs="Arial" w:eastAsia="Arial" w:hAnsi="Arial"/>
          <w:sz w:val="18"/>
          <w:szCs w:val="18"/>
          <w:color w:val="222222"/>
        </w:rPr>
        <w:t xml:space="preserve"> to $200 million, representing growth of approximately 65% over 2020 at the midpoint of the range.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3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Veracyte will host a conference call and webcast today at 4:30 p.m. Eastern Time to discuss the company's financial results and provide a general business update. The conference call will be webcast live from the company’s website and will be available via the following link: https://edge.media-server.com/mmc/p/p7geixt9. The webcast should be accessed 10 minutes prior to the conference call start time. A replay of the webcast will be available for one year following the conclusion of the live broadcast and will be accessible on the company’s website at https://investor.veracyte.com/events-presentations.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can be accessed as follows:</w:t>
      </w:r>
    </w:p>
    <w:p>
      <w:pPr>
        <w:spacing w:after="0" w:line="387" w:lineRule="exact"/>
        <w:rPr>
          <w:sz w:val="20"/>
          <w:szCs w:val="20"/>
          <w:color w:val="auto"/>
        </w:rPr>
      </w:pPr>
    </w:p>
    <w:tbl>
      <w:tblPr>
        <w:tblLayout w:type="fixed"/>
        <w:tblInd w:w="1580" w:type="dxa"/>
        <w:tblCellMar>
          <w:top w:w="0" w:type="dxa"/>
          <w:left w:w="0" w:type="dxa"/>
          <w:bottom w:w="0" w:type="dxa"/>
          <w:right w:w="0" w:type="dxa"/>
        </w:tblCellMar>
      </w:tblP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U.S./Canada participant dial-in number (toll-free):</w:t>
            </w:r>
          </w:p>
        </w:tc>
        <w:tc>
          <w:tcPr>
            <w:tcW w:w="2240" w:type="dxa"/>
            <w:vAlign w:val="bottom"/>
          </w:tcPr>
          <w:p>
            <w:pPr>
              <w:ind w:left="1020"/>
              <w:spacing w:after="0"/>
              <w:rPr>
                <w:sz w:val="20"/>
                <w:szCs w:val="20"/>
                <w:color w:val="auto"/>
              </w:rPr>
            </w:pPr>
            <w:r>
              <w:rPr>
                <w:rFonts w:ascii="Arial" w:cs="Arial" w:eastAsia="Arial" w:hAnsi="Arial"/>
                <w:sz w:val="18"/>
                <w:szCs w:val="18"/>
                <w:color w:val="auto"/>
                <w:w w:val="97"/>
              </w:rPr>
              <w:t>(855) 541-0980</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International participant dial-in number:</w:t>
            </w:r>
          </w:p>
        </w:tc>
        <w:tc>
          <w:tcPr>
            <w:tcW w:w="2240" w:type="dxa"/>
            <w:vAlign w:val="bottom"/>
          </w:tcPr>
          <w:p>
            <w:pPr>
              <w:ind w:left="1020"/>
              <w:spacing w:after="0"/>
              <w:rPr>
                <w:sz w:val="20"/>
                <w:szCs w:val="20"/>
                <w:color w:val="auto"/>
              </w:rPr>
            </w:pPr>
            <w:r>
              <w:rPr>
                <w:rFonts w:ascii="Arial" w:cs="Arial" w:eastAsia="Arial" w:hAnsi="Arial"/>
                <w:sz w:val="18"/>
                <w:szCs w:val="18"/>
                <w:color w:val="auto"/>
                <w:w w:val="97"/>
              </w:rPr>
              <w:t>(970) 315-0440</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Conference I.D.:</w:t>
            </w:r>
          </w:p>
        </w:tc>
        <w:tc>
          <w:tcPr>
            <w:tcW w:w="2240" w:type="dxa"/>
            <w:vAlign w:val="bottom"/>
          </w:tcPr>
          <w:p>
            <w:pPr>
              <w:ind w:left="1020"/>
              <w:spacing w:after="0"/>
              <w:rPr>
                <w:sz w:val="20"/>
                <w:szCs w:val="20"/>
                <w:color w:val="auto"/>
              </w:rPr>
            </w:pPr>
            <w:r>
              <w:rPr>
                <w:rFonts w:ascii="Arial" w:cs="Arial" w:eastAsia="Arial" w:hAnsi="Arial"/>
                <w:sz w:val="18"/>
                <w:szCs w:val="18"/>
                <w:color w:val="auto"/>
              </w:rPr>
              <w:t>7487201</w:t>
            </w: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3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Veracyte (Nasdaq: VCYT) is a global genomic diagnostics company that improves patient care by providing answers to clinical questions, informing diagnosis and treatment decisions throughout the patient journey in cancer and other diseases. The company’s growing menu of genomic tests leverage advances in genomic science and technology, enabling patients to avoid risky, costly diagnostic procedures and quicken time to appropriate treatment. The company’s tests in thyroid cancer, lung cancer, breast cancer and idiopathic pulmonary fibrosis are available to patients and its lymphoma subtyping test is in development. With Veracyte’s exclusive global license to a best-in-class diagnostics instrument platform, the company is positioned to deliver its tests to patients worldwide. Veracyte is based in South San Francisco, California. For more information, please visit www.veracyte.com and follow the company on Twitter (@veracyte).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press release contains forward-looking statements, including, but not limited to, our statements related to our anticipated product launches for 2021; our financial and operating results for the year ending December 31, 2021; our plans, objectives, expectations (financial and otherwise) or intentions with respect to the anticipated acquisition of Decipher; the expected timing for completion of the transaction; and the expected benefits of the proposed transaction. Forward-looking statements can be identified by words such as: “appears,” "anticipate," "intend," "plan," "expect," "believe," "should," "may," "will"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Veracyte’s ability to achieve and maintain Medicare coverage for its tests; the benefits of Veracyte’s tests, the applicability of clinical results to actual outcomes and the effects of the COVID-19 pandemic on Veracyte’s business and performance. Factors that may impact these forward-looking statements can be found in Veracyte’s filings with the Securities and Exchange Commission, including the risks set forth in its annual report on Form 10-K for the year ended December 31, 2020. A copy of these documents can be found at the Investors section of our website at www.veracyte.com. These forward-looking statements speak only as of the date hereof and Veracyte specifically disclaims any obligation to update these forward-looking statements or reasons why actual results might differ, whether as a result of new information, future events or otherwise.</w:t>
      </w:r>
    </w:p>
    <w:p>
      <w:pPr>
        <w:spacing w:after="0" w:line="20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Veracyte, Afirma, Percepta, Envisia, Prosigna, “Know by Design” and the Veracyte, Afirma, Percepta, Envisia and Prosigna logos are registered trademarks in the U.S. and selected countries. We have common law rights and pending trademark applications for LymphMark and “More About You.”</w:t>
      </w:r>
    </w:p>
    <w:p>
      <w:pPr>
        <w:spacing w:after="0" w:line="191"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nCounter is the registered trademark of NanoString Technologies, Inc. in the United States and other countries and used by Veracyte under license.</w:t>
      </w:r>
    </w:p>
    <w:p>
      <w:pPr>
        <w:sectPr>
          <w:pgSz w:w="11900" w:h="16838" w:orient="portrait"/>
          <w:cols w:equalWidth="0" w:num="1">
            <w:col w:w="11200"/>
          </w:cols>
          <w:pgMar w:left="320" w:top="884" w:right="37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color w:val="auto"/>
        </w:rPr>
        <w:t>VERACYTE, INC.</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OPERATIONS AND COMPREHENSIVE LOSS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880" w:type="dxa"/>
            <w:vAlign w:val="bottom"/>
            <w:gridSpan w:val="6"/>
          </w:tcPr>
          <w:p>
            <w:pPr>
              <w:ind w:left="100"/>
              <w:spacing w:after="0"/>
              <w:rPr>
                <w:sz w:val="20"/>
                <w:szCs w:val="20"/>
                <w:color w:val="auto"/>
              </w:rPr>
            </w:pPr>
            <w:r>
              <w:rPr>
                <w:rFonts w:ascii="Arial" w:cs="Arial" w:eastAsia="Arial" w:hAnsi="Arial"/>
                <w:sz w:val="18"/>
                <w:szCs w:val="18"/>
                <w:color w:val="auto"/>
              </w:rPr>
              <w:t>Three Months Ended December</w:t>
            </w:r>
          </w:p>
        </w:tc>
        <w:tc>
          <w:tcPr>
            <w:tcW w:w="2780" w:type="dxa"/>
            <w:vAlign w:val="bottom"/>
            <w:gridSpan w:val="5"/>
          </w:tcPr>
          <w:p>
            <w:pPr>
              <w:jc w:val="right"/>
              <w:spacing w:after="0"/>
              <w:rPr>
                <w:sz w:val="20"/>
                <w:szCs w:val="20"/>
                <w:color w:val="auto"/>
              </w:rPr>
            </w:pPr>
            <w:r>
              <w:rPr>
                <w:rFonts w:ascii="Arial" w:cs="Arial" w:eastAsia="Arial" w:hAnsi="Arial"/>
                <w:sz w:val="18"/>
                <w:szCs w:val="18"/>
                <w:color w:val="auto"/>
              </w:rPr>
              <w:t>Twelve Months Ended December</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7"/>
        </w:trPr>
        <w:tc>
          <w:tcPr>
            <w:tcW w:w="520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Testing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31,497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28,557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101,970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107,355</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Product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Biopharmaceutical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8,090</w:t>
            </w:r>
          </w:p>
        </w:tc>
        <w:tc>
          <w:tcPr>
            <w:tcW w:w="0" w:type="dxa"/>
            <w:vAlign w:val="bottom"/>
          </w:tcPr>
          <w:p>
            <w:pPr>
              <w:spacing w:after="0"/>
              <w:rPr>
                <w:sz w:val="1"/>
                <w:szCs w:val="1"/>
                <w:color w:val="auto"/>
              </w:rPr>
            </w:pPr>
          </w:p>
        </w:tc>
      </w:tr>
      <w:tr>
        <w:trPr>
          <w:trHeight w:val="239"/>
        </w:trPr>
        <w:tc>
          <w:tcPr>
            <w:tcW w:w="5200" w:type="dxa"/>
            <w:vAlign w:val="bottom"/>
          </w:tcPr>
          <w:p>
            <w:pPr>
              <w:ind w:left="100"/>
              <w:spacing w:after="0"/>
              <w:rPr>
                <w:sz w:val="20"/>
                <w:szCs w:val="20"/>
                <w:color w:val="auto"/>
              </w:rPr>
            </w:pPr>
            <w:r>
              <w:rPr>
                <w:rFonts w:ascii="Arial" w:cs="Arial" w:eastAsia="Arial" w:hAnsi="Arial"/>
                <w:sz w:val="18"/>
                <w:szCs w:val="18"/>
                <w:color w:val="auto"/>
              </w:rPr>
              <w:t>Collaboration revenue</w:t>
            </w: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117,483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120,368</w:t>
            </w:r>
          </w:p>
        </w:tc>
        <w:tc>
          <w:tcPr>
            <w:tcW w:w="0" w:type="dxa"/>
            <w:vAlign w:val="bottom"/>
          </w:tcPr>
          <w:p>
            <w:pPr>
              <w:spacing w:after="0"/>
              <w:rPr>
                <w:sz w:val="1"/>
                <w:szCs w:val="1"/>
                <w:color w:val="auto"/>
              </w:rPr>
            </w:pPr>
          </w:p>
        </w:tc>
      </w:tr>
      <w:tr>
        <w:trPr>
          <w:trHeight w:val="457"/>
        </w:trPr>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Cost of testing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36,077</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Cost of biopharmaceutical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14,851</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52,389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53,691</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29,029</w:t>
            </w:r>
          </w:p>
        </w:tc>
        <w:tc>
          <w:tcPr>
            <w:tcW w:w="0" w:type="dxa"/>
            <w:vAlign w:val="bottom"/>
          </w:tcPr>
          <w:p>
            <w:pPr>
              <w:spacing w:after="0"/>
              <w:rPr>
                <w:sz w:val="1"/>
                <w:szCs w:val="1"/>
                <w:color w:val="auto"/>
              </w:rPr>
            </w:pPr>
          </w:p>
        </w:tc>
      </w:tr>
      <w:tr>
        <w:trPr>
          <w:trHeight w:val="239"/>
        </w:trPr>
        <w:tc>
          <w:tcPr>
            <w:tcW w:w="5200" w:type="dxa"/>
            <w:vAlign w:val="bottom"/>
          </w:tcPr>
          <w:p>
            <w:pPr>
              <w:ind w:left="100"/>
              <w:spacing w:after="0"/>
              <w:rPr>
                <w:sz w:val="20"/>
                <w:szCs w:val="20"/>
                <w:color w:val="auto"/>
              </w:rPr>
            </w:pPr>
            <w:r>
              <w:rPr>
                <w:rFonts w:ascii="Arial" w:cs="Arial" w:eastAsia="Arial" w:hAnsi="Arial"/>
                <w:sz w:val="18"/>
                <w:szCs w:val="18"/>
                <w:color w:val="auto"/>
              </w:rPr>
              <w:t>Intangible asset amortization</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152,872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135,495</w:t>
            </w:r>
          </w:p>
        </w:tc>
        <w:tc>
          <w:tcPr>
            <w:tcW w:w="0" w:type="dxa"/>
            <w:vAlign w:val="bottom"/>
          </w:tcPr>
          <w:p>
            <w:pPr>
              <w:spacing w:after="0"/>
              <w:rPr>
                <w:sz w:val="1"/>
                <w:szCs w:val="1"/>
                <w:color w:val="auto"/>
              </w:rPr>
            </w:pPr>
          </w:p>
        </w:tc>
      </w:tr>
      <w:tr>
        <w:trPr>
          <w:trHeight w:val="214"/>
        </w:trPr>
        <w:tc>
          <w:tcPr>
            <w:tcW w:w="520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(15,127)</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
        </w:trPr>
        <w:tc>
          <w:tcPr>
            <w:tcW w:w="5200" w:type="dxa"/>
            <w:vAlign w:val="bottom"/>
            <w:vMerge w:val="restart"/>
          </w:tcPr>
          <w:p>
            <w:pPr>
              <w:spacing w:after="0" w:line="182" w:lineRule="exact"/>
              <w:rPr>
                <w:sz w:val="20"/>
                <w:szCs w:val="20"/>
                <w:color w:val="auto"/>
              </w:rPr>
            </w:pPr>
            <w:r>
              <w:rPr>
                <w:rFonts w:ascii="Arial" w:cs="Arial" w:eastAsia="Arial" w:hAnsi="Arial"/>
                <w:sz w:val="18"/>
                <w:szCs w:val="18"/>
                <w:color w:val="auto"/>
              </w:rPr>
              <w:t>Shares used to compute net loss per common share, basic and</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58,023,753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49,095,703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53,239,231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46,138,177</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520" w:top="1021" w:right="5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color w:val="auto"/>
        </w:rPr>
        <w:t>VERACYTE, INC.</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December 31,</w:t>
            </w:r>
          </w:p>
        </w:tc>
        <w:tc>
          <w:tcPr>
            <w:tcW w:w="320" w:type="dxa"/>
            <w:vAlign w:val="bottom"/>
          </w:tcPr>
          <w:p>
            <w:pPr>
              <w:spacing w:after="0"/>
              <w:rPr>
                <w:sz w:val="19"/>
                <w:szCs w:val="19"/>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6"/>
        </w:trPr>
        <w:tc>
          <w:tcPr>
            <w:tcW w:w="66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243"/>
        </w:trPr>
        <w:tc>
          <w:tcPr>
            <w:tcW w:w="66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1"/>
                <w:szCs w:val="21"/>
                <w:color w:val="auto"/>
              </w:rPr>
            </w:pPr>
          </w:p>
        </w:tc>
        <w:tc>
          <w:tcPr>
            <w:tcW w:w="1820" w:type="dxa"/>
            <w:vAlign w:val="bottom"/>
          </w:tcPr>
          <w:p>
            <w:pPr>
              <w:jc w:val="center"/>
              <w:ind w:right="230"/>
              <w:spacing w:after="0"/>
              <w:rPr>
                <w:sz w:val="20"/>
                <w:szCs w:val="20"/>
                <w:color w:val="auto"/>
              </w:rPr>
            </w:pPr>
            <w:r>
              <w:rPr>
                <w:rFonts w:ascii="Arial" w:cs="Arial" w:eastAsia="Arial" w:hAnsi="Arial"/>
                <w:sz w:val="18"/>
                <w:szCs w:val="18"/>
                <w:color w:val="auto"/>
                <w:w w:val="99"/>
              </w:rPr>
              <w:t>(Unaudited)</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w w:val="99"/>
              </w:rPr>
              <w:t>(See Note 1)</w:t>
            </w:r>
          </w:p>
        </w:tc>
        <w:tc>
          <w:tcPr>
            <w:tcW w:w="0" w:type="dxa"/>
            <w:vAlign w:val="bottom"/>
          </w:tcPr>
          <w:p>
            <w:pPr>
              <w:spacing w:after="0"/>
              <w:rPr>
                <w:sz w:val="1"/>
                <w:szCs w:val="1"/>
                <w:color w:val="auto"/>
              </w:rPr>
            </w:pPr>
          </w:p>
        </w:tc>
      </w:tr>
      <w:tr>
        <w:trPr>
          <w:trHeight w:val="207"/>
        </w:trPr>
        <w:tc>
          <w:tcPr>
            <w:tcW w:w="6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349,364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159,317</w:t>
            </w:r>
          </w:p>
        </w:tc>
        <w:tc>
          <w:tcPr>
            <w:tcW w:w="0" w:type="dxa"/>
            <w:vAlign w:val="bottom"/>
          </w:tcPr>
          <w:p>
            <w:pPr>
              <w:spacing w:after="0"/>
              <w:rPr>
                <w:sz w:val="1"/>
                <w:szCs w:val="1"/>
                <w:color w:val="auto"/>
              </w:rPr>
            </w:pPr>
          </w:p>
        </w:tc>
      </w:tr>
      <w:tr>
        <w:trPr>
          <w:trHeight w:val="229"/>
        </w:trPr>
        <w:tc>
          <w:tcPr>
            <w:tcW w:w="66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18,461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19,329</w:t>
            </w:r>
          </w:p>
        </w:tc>
        <w:tc>
          <w:tcPr>
            <w:tcW w:w="0" w:type="dxa"/>
            <w:vAlign w:val="bottom"/>
          </w:tcPr>
          <w:p>
            <w:pPr>
              <w:spacing w:after="0"/>
              <w:rPr>
                <w:sz w:val="1"/>
                <w:szCs w:val="1"/>
                <w:color w:val="auto"/>
              </w:rPr>
            </w:pPr>
          </w:p>
        </w:tc>
      </w:tr>
      <w:tr>
        <w:trPr>
          <w:trHeight w:val="230"/>
        </w:trPr>
        <w:tc>
          <w:tcPr>
            <w:tcW w:w="6600" w:type="dxa"/>
            <w:vAlign w:val="bottom"/>
          </w:tcPr>
          <w:p>
            <w:pPr>
              <w:ind w:left="160"/>
              <w:spacing w:after="0"/>
              <w:rPr>
                <w:sz w:val="20"/>
                <w:szCs w:val="20"/>
                <w:color w:val="auto"/>
              </w:rPr>
            </w:pPr>
            <w:r>
              <w:rPr>
                <w:rFonts w:ascii="Arial" w:cs="Arial" w:eastAsia="Arial" w:hAnsi="Arial"/>
                <w:sz w:val="18"/>
                <w:szCs w:val="18"/>
                <w:color w:val="auto"/>
              </w:rPr>
              <w:t>Supplies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4,657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39"/>
        </w:trPr>
        <w:tc>
          <w:tcPr>
            <w:tcW w:w="66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4"/>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375,679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187,687</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8,990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Right-of-use assets - operating lease</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7,843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8,808</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Finite-lived intangible assets, net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59,924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65,019</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9"/>
        </w:trPr>
        <w:tc>
          <w:tcPr>
            <w:tcW w:w="660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457,163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275,212</w:t>
            </w: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6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29"/>
        </w:trPr>
        <w:tc>
          <w:tcPr>
            <w:tcW w:w="660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11,705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13,734</w:t>
            </w:r>
          </w:p>
        </w:tc>
        <w:tc>
          <w:tcPr>
            <w:tcW w:w="0" w:type="dxa"/>
            <w:vAlign w:val="bottom"/>
          </w:tcPr>
          <w:p>
            <w:pPr>
              <w:spacing w:after="0"/>
              <w:rPr>
                <w:sz w:val="1"/>
                <w:szCs w:val="1"/>
                <w:color w:val="auto"/>
              </w:rPr>
            </w:pPr>
          </w:p>
        </w:tc>
      </w:tr>
      <w:tr>
        <w:trPr>
          <w:trHeight w:val="229"/>
        </w:trPr>
        <w:tc>
          <w:tcPr>
            <w:tcW w:w="6600" w:type="dxa"/>
            <w:vAlign w:val="bottom"/>
          </w:tcPr>
          <w:p>
            <w:pPr>
              <w:ind w:left="160"/>
              <w:spacing w:after="0"/>
              <w:rPr>
                <w:sz w:val="20"/>
                <w:szCs w:val="20"/>
                <w:color w:val="auto"/>
              </w:rPr>
            </w:pPr>
            <w:r>
              <w:rPr>
                <w:rFonts w:ascii="Arial" w:cs="Arial" w:eastAsia="Arial" w:hAnsi="Arial"/>
                <w:sz w:val="18"/>
                <w:szCs w:val="18"/>
                <w:color w:val="auto"/>
              </w:rPr>
              <w:t>Current portion of deferred revenue</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660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4"/>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16,781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17,469</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Acquisition related contingent consideration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39"/>
        </w:trPr>
        <w:tc>
          <w:tcPr>
            <w:tcW w:w="660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11,506</w:t>
            </w:r>
          </w:p>
        </w:tc>
        <w:tc>
          <w:tcPr>
            <w:tcW w:w="0" w:type="dxa"/>
            <w:vAlign w:val="bottom"/>
          </w:tcPr>
          <w:p>
            <w:pPr>
              <w:spacing w:after="0"/>
              <w:rPr>
                <w:sz w:val="1"/>
                <w:szCs w:val="1"/>
                <w:color w:val="auto"/>
              </w:rPr>
            </w:pPr>
          </w:p>
        </w:tc>
      </w:tr>
      <w:tr>
        <w:trPr>
          <w:trHeight w:val="214"/>
        </w:trPr>
        <w:tc>
          <w:tcPr>
            <w:tcW w:w="66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35,931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35,757</w:t>
            </w:r>
          </w:p>
        </w:tc>
        <w:tc>
          <w:tcPr>
            <w:tcW w:w="0" w:type="dxa"/>
            <w:vAlign w:val="bottom"/>
          </w:tcPr>
          <w:p>
            <w:pPr>
              <w:spacing w:after="0"/>
              <w:rPr>
                <w:sz w:val="1"/>
                <w:szCs w:val="1"/>
                <w:color w:val="auto"/>
              </w:rPr>
            </w:pPr>
          </w:p>
        </w:tc>
      </w:tr>
      <w:tr>
        <w:trPr>
          <w:trHeight w:val="239"/>
        </w:trPr>
        <w:tc>
          <w:tcPr>
            <w:tcW w:w="66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421,232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239,455</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457,163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275,212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40" w:firstLine="1"/>
        <w:spacing w:after="0" w:line="245"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condensed balance sheet at December 31, 2019 has been derived from the audited financial statements at that date included in the Company's Form 10-K filed with the Securities and Exchange Commission dated February 25, 2020.</w:t>
      </w:r>
    </w:p>
    <w:p>
      <w:pPr>
        <w:sectPr>
          <w:pgSz w:w="11900" w:h="16838" w:orient="portrait"/>
          <w:cols w:equalWidth="0" w:num="1">
            <w:col w:w="10940"/>
          </w:cols>
          <w:pgMar w:left="480" w:top="1021" w:right="4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VERACYTE,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w:t>
      </w:r>
    </w:p>
    <w:p>
      <w:pPr>
        <w:spacing w:after="0" w:line="256"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Twelve Months Ended December</w:t>
      </w:r>
    </w:p>
    <w:p>
      <w:pPr>
        <w:jc w:val="center"/>
        <w:ind w:left="62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6350</wp:posOffset>
            </wp:positionV>
            <wp:extent cx="1834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62"/>
        </w:trPr>
        <w:tc>
          <w:tcPr>
            <w:tcW w:w="626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26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(34,909)</w:t>
            </w:r>
          </w:p>
        </w:tc>
        <w:tc>
          <w:tcPr>
            <w:tcW w:w="14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(12,599)</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7,944</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Gain on disposal of property and equipment</w:t>
            </w: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12,995</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9,807</w:t>
            </w:r>
          </w:p>
        </w:tc>
        <w:tc>
          <w:tcPr>
            <w:tcW w:w="0" w:type="dxa"/>
            <w:vAlign w:val="bottom"/>
          </w:tcPr>
          <w:p>
            <w:pPr>
              <w:spacing w:after="0"/>
              <w:rPr>
                <w:sz w:val="1"/>
                <w:szCs w:val="1"/>
                <w:color w:val="auto"/>
              </w:rPr>
            </w:pP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Amortization and write-off of debt discount and issuance costs</w:t>
            </w: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Interest on end-of-term debt obligations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Write-down of excess supplies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Noncash lease expense</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Revaluation of acquisition-related contingent consideration</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Impairment loss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Effect of foreign currency on operations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955</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Supplies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(970)</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Operating lease liability</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(1,407)</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711</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3"/>
        </w:trPr>
        <w:tc>
          <w:tcPr>
            <w:tcW w:w="6260" w:type="dxa"/>
            <w:vAlign w:val="bottom"/>
          </w:tcPr>
          <w:p>
            <w:pPr>
              <w:ind w:left="160"/>
              <w:spacing w:after="0"/>
              <w:rPr>
                <w:sz w:val="20"/>
                <w:szCs w:val="20"/>
                <w:color w:val="auto"/>
              </w:rPr>
            </w:pPr>
            <w:r>
              <w:rPr>
                <w:rFonts w:ascii="Arial" w:cs="Arial" w:eastAsia="Arial" w:hAnsi="Arial"/>
                <w:sz w:val="18"/>
                <w:szCs w:val="18"/>
                <w:color w:val="auto"/>
              </w:rPr>
              <w:t>Accrued liabilities and deferred revenue</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(9,711)</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62"/>
        </w:trPr>
        <w:tc>
          <w:tcPr>
            <w:tcW w:w="62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2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Purchase of equity securities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Cash paid for acquisition</w:t>
            </w: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66"/>
        </w:trPr>
        <w:tc>
          <w:tcPr>
            <w:tcW w:w="6260" w:type="dxa"/>
            <w:vAlign w:val="bottom"/>
          </w:tcPr>
          <w:p>
            <w:pPr>
              <w:spacing w:after="0"/>
              <w:rPr>
                <w:sz w:val="20"/>
                <w:szCs w:val="20"/>
                <w:color w:val="auto"/>
              </w:rPr>
            </w:pPr>
            <w:r>
              <w:rPr>
                <w:rFonts w:ascii="Arial" w:cs="Arial" w:eastAsia="Arial" w:hAnsi="Arial"/>
                <w:sz w:val="18"/>
                <w:szCs w:val="18"/>
                <w:color w:val="auto"/>
              </w:rPr>
              <w:t>Proceeds from disposal of property and equipment</w:t>
            </w: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(3,837)</w:t>
            </w:r>
          </w:p>
        </w:tc>
        <w:tc>
          <w:tcPr>
            <w:tcW w:w="1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(42,733)</w:t>
            </w:r>
          </w:p>
        </w:tc>
        <w:tc>
          <w:tcPr>
            <w:tcW w:w="0" w:type="dxa"/>
            <w:vAlign w:val="bottom"/>
          </w:tcPr>
          <w:p>
            <w:pPr>
              <w:spacing w:after="0"/>
              <w:rPr>
                <w:sz w:val="1"/>
                <w:szCs w:val="1"/>
                <w:color w:val="auto"/>
              </w:rPr>
            </w:pPr>
          </w:p>
        </w:tc>
      </w:tr>
      <w:tr>
        <w:trPr>
          <w:trHeight w:val="262"/>
        </w:trPr>
        <w:tc>
          <w:tcPr>
            <w:tcW w:w="62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26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w:t>
            </w:r>
          </w:p>
        </w:tc>
        <w:tc>
          <w:tcPr>
            <w:tcW w:w="30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193,831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137,848</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issuance costs</w:t>
            </w:r>
          </w:p>
        </w:tc>
        <w:tc>
          <w:tcPr>
            <w:tcW w:w="3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260" w:type="dxa"/>
            <w:vAlign w:val="bottom"/>
          </w:tcPr>
          <w:p>
            <w:pPr>
              <w:spacing w:after="0"/>
              <w:rPr>
                <w:sz w:val="20"/>
                <w:szCs w:val="20"/>
                <w:color w:val="auto"/>
              </w:rPr>
            </w:pPr>
            <w:r>
              <w:rPr>
                <w:rFonts w:ascii="Arial" w:cs="Arial" w:eastAsia="Arial" w:hAnsi="Arial"/>
                <w:sz w:val="18"/>
                <w:szCs w:val="18"/>
                <w:color w:val="auto"/>
              </w:rPr>
              <w:t>Payment of long-term debt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(24,900)</w:t>
            </w:r>
          </w:p>
        </w:tc>
        <w:tc>
          <w:tcPr>
            <w:tcW w:w="0" w:type="dxa"/>
            <w:vAlign w:val="bottom"/>
          </w:tcPr>
          <w:p>
            <w:pPr>
              <w:spacing w:after="0"/>
              <w:rPr>
                <w:sz w:val="1"/>
                <w:szCs w:val="1"/>
                <w:color w:val="auto"/>
              </w:rPr>
            </w:pPr>
          </w:p>
        </w:tc>
      </w:tr>
      <w:tr>
        <w:trPr>
          <w:trHeight w:val="256"/>
        </w:trPr>
        <w:tc>
          <w:tcPr>
            <w:tcW w:w="6260" w:type="dxa"/>
            <w:vAlign w:val="bottom"/>
          </w:tcPr>
          <w:p>
            <w:pPr>
              <w:spacing w:after="0"/>
              <w:rPr>
                <w:sz w:val="20"/>
                <w:szCs w:val="20"/>
                <w:color w:val="auto"/>
              </w:rPr>
            </w:pPr>
            <w:r>
              <w:rPr>
                <w:rFonts w:ascii="Arial" w:cs="Arial" w:eastAsia="Arial" w:hAnsi="Arial"/>
                <w:sz w:val="18"/>
                <w:szCs w:val="18"/>
                <w:color w:val="auto"/>
              </w:rPr>
              <w:t>Payment of financial lease liability</w:t>
            </w:r>
          </w:p>
        </w:tc>
        <w:tc>
          <w:tcPr>
            <w:tcW w:w="3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56"/>
        </w:trPr>
        <w:tc>
          <w:tcPr>
            <w:tcW w:w="6260" w:type="dxa"/>
            <w:vAlign w:val="bottom"/>
          </w:tcPr>
          <w:p>
            <w:pPr>
              <w:spacing w:after="0"/>
              <w:rPr>
                <w:sz w:val="20"/>
                <w:szCs w:val="20"/>
                <w:color w:val="auto"/>
              </w:rPr>
            </w:pPr>
            <w:r>
              <w:rPr>
                <w:rFonts w:ascii="Arial" w:cs="Arial" w:eastAsia="Arial" w:hAnsi="Arial"/>
                <w:sz w:val="18"/>
                <w:szCs w:val="18"/>
                <w:color w:val="auto"/>
              </w:rPr>
              <w:t>Payment of taxes on vested restricted stock units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(3,845)</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199"/>
        </w:trPr>
        <w:tc>
          <w:tcPr>
            <w:tcW w:w="6260" w:type="dxa"/>
            <w:vAlign w:val="bottom"/>
          </w:tcPr>
          <w:p>
            <w:pPr>
              <w:spacing w:after="0" w:line="199" w:lineRule="exact"/>
              <w:rPr>
                <w:sz w:val="20"/>
                <w:szCs w:val="20"/>
                <w:color w:val="auto"/>
              </w:rPr>
            </w:pPr>
            <w:r>
              <w:rPr>
                <w:rFonts w:ascii="Arial" w:cs="Arial" w:eastAsia="Arial" w:hAnsi="Arial"/>
                <w:sz w:val="18"/>
                <w:szCs w:val="18"/>
                <w:color w:val="auto"/>
              </w:rPr>
              <w:t>Proceeds from the exercise of common stock options and employee stock</w:t>
            </w:r>
          </w:p>
        </w:tc>
        <w:tc>
          <w:tcPr>
            <w:tcW w:w="3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13,709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15,624</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purchases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203,595</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127,287</w:t>
            </w:r>
          </w:p>
        </w:tc>
        <w:tc>
          <w:tcPr>
            <w:tcW w:w="0" w:type="dxa"/>
            <w:vAlign w:val="bottom"/>
          </w:tcPr>
          <w:p>
            <w:pPr>
              <w:spacing w:after="0"/>
              <w:rPr>
                <w:sz w:val="1"/>
                <w:szCs w:val="1"/>
                <w:color w:val="auto"/>
              </w:rPr>
            </w:pPr>
          </w:p>
        </w:tc>
      </w:tr>
      <w:tr>
        <w:trPr>
          <w:trHeight w:val="262"/>
        </w:trPr>
        <w:tc>
          <w:tcPr>
            <w:tcW w:w="6260" w:type="dxa"/>
            <w:vAlign w:val="bottom"/>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190,047</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81,322</w:t>
            </w:r>
          </w:p>
        </w:tc>
        <w:tc>
          <w:tcPr>
            <w:tcW w:w="0" w:type="dxa"/>
            <w:vAlign w:val="bottom"/>
          </w:tcPr>
          <w:p>
            <w:pPr>
              <w:spacing w:after="0"/>
              <w:rPr>
                <w:sz w:val="1"/>
                <w:szCs w:val="1"/>
                <w:color w:val="auto"/>
              </w:rPr>
            </w:pPr>
          </w:p>
        </w:tc>
      </w:tr>
    </w:tbl>
    <w:p>
      <w:pPr>
        <w:sectPr>
          <w:pgSz w:w="11900" w:h="16838" w:orient="portrait"/>
          <w:cols w:equalWidth="0" w:num="1">
            <w:col w:w="9140"/>
          </w:cols>
          <w:pgMar w:left="1380" w:top="1291" w:right="1379" w:bottom="144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7300" w:type="dxa"/>
            <w:vAlign w:val="bottom"/>
          </w:tcPr>
          <w:p>
            <w:pPr>
              <w:ind w:left="10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6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159,920</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78,598</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10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349,967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159,920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00" w:type="dxa"/>
            <w:vAlign w:val="bottom"/>
            <w:vMerge w:val="restart"/>
          </w:tcPr>
          <w:p>
            <w:pPr>
              <w:ind w:left="1040"/>
              <w:spacing w:after="0"/>
              <w:rPr>
                <w:sz w:val="20"/>
                <w:szCs w:val="20"/>
                <w:color w:val="auto"/>
              </w:rPr>
            </w:pPr>
            <w:r>
              <w:rPr>
                <w:rFonts w:ascii="Arial" w:cs="Arial" w:eastAsia="Arial" w:hAnsi="Arial"/>
                <w:sz w:val="18"/>
                <w:szCs w:val="18"/>
                <w:b w:val="1"/>
                <w:bCs w:val="1"/>
                <w:color w:val="auto"/>
              </w:rPr>
              <w:t>Supplementary cash flow information of non-cash investing and</w:t>
            </w: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3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300" w:type="dxa"/>
            <w:vAlign w:val="bottom"/>
          </w:tcPr>
          <w:p>
            <w:pPr>
              <w:ind w:left="1040"/>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tcPr>
          <w:p>
            <w:pPr>
              <w:ind w:left="1040"/>
              <w:spacing w:after="0"/>
              <w:rPr>
                <w:sz w:val="20"/>
                <w:szCs w:val="20"/>
                <w:color w:val="auto"/>
              </w:rPr>
            </w:pPr>
            <w:r>
              <w:rPr>
                <w:rFonts w:ascii="Arial" w:cs="Arial" w:eastAsia="Arial" w:hAnsi="Arial"/>
                <w:sz w:val="18"/>
                <w:szCs w:val="18"/>
                <w:color w:val="auto"/>
              </w:rPr>
              <w:t>Shares issued for purchase consideration for a business combination</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10,000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300" w:type="dxa"/>
            <w:vAlign w:val="bottom"/>
          </w:tcPr>
          <w:p>
            <w:pPr>
              <w:ind w:left="1040"/>
              <w:spacing w:after="0"/>
              <w:rPr>
                <w:sz w:val="20"/>
                <w:szCs w:val="20"/>
                <w:color w:val="auto"/>
              </w:rPr>
            </w:pPr>
            <w:r>
              <w:rPr>
                <w:rFonts w:ascii="Arial" w:cs="Arial" w:eastAsia="Arial" w:hAnsi="Arial"/>
                <w:sz w:val="18"/>
                <w:szCs w:val="18"/>
                <w:color w:val="auto"/>
              </w:rPr>
              <w:t>Deferred purchase consideration for a business combination</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6,088</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7300" w:type="dxa"/>
            <w:vAlign w:val="bottom"/>
          </w:tcPr>
          <w:p>
            <w:pPr>
              <w:ind w:left="1040"/>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600" w:type="dxa"/>
            <w:vAlign w:val="bottom"/>
            <w:vMerge w:val="restart"/>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21"/>
                <w:szCs w:val="21"/>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1"/>
                <w:szCs w:val="2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226</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tcPr>
          <w:p>
            <w:pPr>
              <w:ind w:left="1040"/>
              <w:spacing w:after="0"/>
              <w:rPr>
                <w:sz w:val="20"/>
                <w:szCs w:val="20"/>
                <w:color w:val="auto"/>
              </w:rPr>
            </w:pPr>
            <w:r>
              <w:rPr>
                <w:rFonts w:ascii="Arial" w:cs="Arial" w:eastAsia="Arial" w:hAnsi="Arial"/>
                <w:sz w:val="18"/>
                <w:szCs w:val="18"/>
                <w:color w:val="auto"/>
              </w:rPr>
              <w:t>accrued liabilities</w:t>
            </w:r>
          </w:p>
        </w:tc>
        <w:tc>
          <w:tcPr>
            <w:tcW w:w="600" w:type="dxa"/>
            <w:vAlign w:val="bottom"/>
            <w:vMerge w:val="continue"/>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gridSpan w:val="2"/>
            <w:vMerge w:val="continue"/>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2"/>
        </w:trPr>
        <w:tc>
          <w:tcPr>
            <w:tcW w:w="7300" w:type="dxa"/>
            <w:vAlign w:val="bottom"/>
          </w:tcPr>
          <w:p>
            <w:pPr>
              <w:ind w:left="1040"/>
              <w:spacing w:after="0"/>
              <w:rPr>
                <w:sz w:val="20"/>
                <w:szCs w:val="20"/>
                <w:color w:val="auto"/>
              </w:rPr>
            </w:pPr>
            <w:r>
              <w:rPr>
                <w:rFonts w:ascii="Arial" w:cs="Arial" w:eastAsia="Arial" w:hAnsi="Arial"/>
                <w:sz w:val="18"/>
                <w:szCs w:val="18"/>
                <w:b w:val="1"/>
                <w:bCs w:val="1"/>
                <w:color w:val="auto"/>
              </w:rPr>
              <w:t>Supplementary cash flow information:</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300" w:type="dxa"/>
            <w:vAlign w:val="bottom"/>
          </w:tcPr>
          <w:p>
            <w:pPr>
              <w:ind w:left="1040"/>
              <w:spacing w:after="0"/>
              <w:rPr>
                <w:sz w:val="20"/>
                <w:szCs w:val="20"/>
                <w:color w:val="auto"/>
              </w:rPr>
            </w:pPr>
            <w:r>
              <w:rPr>
                <w:rFonts w:ascii="Arial" w:cs="Arial" w:eastAsia="Arial" w:hAnsi="Arial"/>
                <w:sz w:val="18"/>
                <w:szCs w:val="18"/>
                <w:color w:val="auto"/>
              </w:rPr>
              <w:t>Cash paid for interest on debt</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300" w:type="dxa"/>
            <w:vAlign w:val="bottom"/>
          </w:tcPr>
          <w:p>
            <w:pPr>
              <w:ind w:left="1040"/>
              <w:spacing w:after="0"/>
              <w:rPr>
                <w:sz w:val="20"/>
                <w:szCs w:val="20"/>
                <w:color w:val="auto"/>
              </w:rPr>
            </w:pPr>
            <w:r>
              <w:rPr>
                <w:rFonts w:ascii="Arial" w:cs="Arial" w:eastAsia="Arial" w:hAnsi="Arial"/>
                <w:sz w:val="18"/>
                <w:szCs w:val="18"/>
                <w:color w:val="auto"/>
              </w:rPr>
              <w:t>Cash paid for tax</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5"/>
        </w:trPr>
        <w:tc>
          <w:tcPr>
            <w:tcW w:w="7900" w:type="dxa"/>
            <w:vAlign w:val="bottom"/>
            <w:gridSpan w:val="2"/>
          </w:tcPr>
          <w:p>
            <w:pPr>
              <w:jc w:val="center"/>
              <w:ind w:left="3190"/>
              <w:spacing w:after="0"/>
              <w:rPr>
                <w:sz w:val="20"/>
                <w:szCs w:val="20"/>
                <w:color w:val="auto"/>
              </w:rPr>
            </w:pPr>
            <w:r>
              <w:rPr>
                <w:rFonts w:ascii="Arial" w:cs="Arial" w:eastAsia="Arial" w:hAnsi="Arial"/>
                <w:sz w:val="18"/>
                <w:szCs w:val="18"/>
                <w:color w:val="auto"/>
                <w:w w:val="99"/>
              </w:rPr>
              <w:t>CASH, CASH EQUIVALENTS AND RESTRICTED CASH</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00" w:type="dxa"/>
            <w:vAlign w:val="bottom"/>
          </w:tcPr>
          <w:p>
            <w:pPr>
              <w:jc w:val="center"/>
              <w:ind w:left="3790"/>
              <w:spacing w:after="0"/>
              <w:rPr>
                <w:sz w:val="20"/>
                <w:szCs w:val="20"/>
                <w:color w:val="auto"/>
              </w:rPr>
            </w:pPr>
            <w:r>
              <w:rPr>
                <w:rFonts w:ascii="Arial" w:cs="Arial" w:eastAsia="Arial" w:hAnsi="Arial"/>
                <w:sz w:val="18"/>
                <w:szCs w:val="18"/>
                <w:color w:val="auto"/>
                <w:w w:val="99"/>
              </w:rPr>
              <w:t>(Unaudited)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00" w:type="dxa"/>
            <w:vAlign w:val="bottom"/>
          </w:tcPr>
          <w:p>
            <w:pPr>
              <w:jc w:val="center"/>
              <w:ind w:left="3770"/>
              <w:spacing w:after="0"/>
              <w:rPr>
                <w:sz w:val="20"/>
                <w:szCs w:val="20"/>
                <w:color w:val="auto"/>
              </w:rPr>
            </w:pPr>
            <w:r>
              <w:rPr>
                <w:rFonts w:ascii="Arial" w:cs="Arial" w:eastAsia="Arial" w:hAnsi="Arial"/>
                <w:sz w:val="18"/>
                <w:szCs w:val="18"/>
                <w:color w:val="auto"/>
                <w:w w:val="99"/>
              </w:rPr>
              <w:t>(In thousands of dollars)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4"/>
          </w:tcPr>
          <w:p>
            <w:pPr>
              <w:jc w:val="right"/>
              <w:ind w:right="130"/>
              <w:spacing w:after="0"/>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24"/>
                <w:szCs w:val="24"/>
                <w:color w:val="auto"/>
              </w:rPr>
            </w:pPr>
          </w:p>
        </w:tc>
        <w:tc>
          <w:tcPr>
            <w:tcW w:w="1540" w:type="dxa"/>
            <w:vAlign w:val="bottom"/>
            <w:gridSpan w:val="2"/>
          </w:tcPr>
          <w:p>
            <w:pPr>
              <w:jc w:val="right"/>
              <w:ind w:right="1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6"/>
        </w:trPr>
        <w:tc>
          <w:tcPr>
            <w:tcW w:w="7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gridSpan w:val="4"/>
          </w:tcPr>
          <w:p>
            <w:pPr>
              <w:jc w:val="right"/>
              <w:ind w:right="1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0"/>
        </w:trPr>
        <w:tc>
          <w:tcPr>
            <w:tcW w:w="7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349,364</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159,317</w:t>
            </w:r>
          </w:p>
        </w:tc>
        <w:tc>
          <w:tcPr>
            <w:tcW w:w="0" w:type="dxa"/>
            <w:vAlign w:val="bottom"/>
          </w:tcPr>
          <w:p>
            <w:pPr>
              <w:spacing w:after="0"/>
              <w:rPr>
                <w:sz w:val="1"/>
                <w:szCs w:val="1"/>
                <w:color w:val="auto"/>
              </w:rPr>
            </w:pPr>
          </w:p>
        </w:tc>
      </w:tr>
      <w:tr>
        <w:trPr>
          <w:trHeight w:val="239"/>
        </w:trPr>
        <w:tc>
          <w:tcPr>
            <w:tcW w:w="7300" w:type="dxa"/>
            <w:vAlign w:val="bottom"/>
          </w:tcPr>
          <w:p>
            <w:pPr>
              <w:spacing w:after="0"/>
              <w:rPr>
                <w:sz w:val="20"/>
                <w:szCs w:val="20"/>
                <w:color w:val="auto"/>
              </w:rPr>
            </w:pPr>
            <w:r>
              <w:rPr>
                <w:rFonts w:ascii="Arial" w:cs="Arial" w:eastAsia="Arial" w:hAnsi="Arial"/>
                <w:sz w:val="18"/>
                <w:szCs w:val="18"/>
                <w:color w:val="auto"/>
              </w:rPr>
              <w:t>Restricted cash</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349,967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159,920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Corporate Communications</w:t>
      </w:r>
    </w:p>
    <w:p>
      <w:pPr>
        <w:ind w:right="8940" w:firstLine="8"/>
        <w:spacing w:after="0" w:line="272" w:lineRule="auto"/>
        <w:tabs>
          <w:tab w:leader="none" w:pos="17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Investor Relations 650-380-4413 Tracy.Morris@Veracyte.com</w:t>
      </w:r>
    </w:p>
    <w:sectPr>
      <w:pgSz w:w="11900" w:h="16838" w:orient="portrait"/>
      <w:cols w:equalWidth="0" w:num="1">
        <w:col w:w="11200"/>
      </w:cols>
      <w:pgMar w:left="320" w:top="106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2021-02-17T15:20:02Z</dcterms:created>
  <dcterms:modified xsi:type="dcterms:W3CDTF">2021-02-17T15:20:02Z</dcterms:modified>
</cp:coreProperties>
</file>