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2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233" w:right="379" w:bottom="248" w:gutter="0" w:footer="0" w:header="0"/>
        </w:sectPr>
      </w:pPr>
    </w:p>
    <w:p>
      <w:pPr>
        <w:spacing w:after="0" w:line="172" w:lineRule="exact"/>
        <w:rPr>
          <w:sz w:val="24"/>
          <w:szCs w:val="24"/>
          <w:color w:val="auto"/>
        </w:rPr>
      </w:pPr>
    </w:p>
    <w:p>
      <w:pPr>
        <w:ind w:left="41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500" w:space="600"/>
            <w:col w:w="4180"/>
          </w:cols>
          <w:pgMar w:left="240" w:top="233" w:right="379" w:bottom="248" w:gutter="0" w:footer="0" w:header="0"/>
          <w:type w:val="continuous"/>
        </w:sectPr>
      </w:pPr>
    </w:p>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Commission file number 001-36156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238125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80"/>
          </w:cols>
          <w:pgMar w:left="240" w:top="233" w:right="379" w:bottom="248"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225425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80"/>
          </w:cols>
          <w:pgMar w:left="240" w:top="233" w:right="379" w:bottom="248"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98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40" w:space="720"/>
            <w:col w:w="3320"/>
          </w:cols>
          <w:pgMar w:left="240" w:top="233" w:right="379" w:bottom="248" w:gutter="0" w:footer="0" w:header="0"/>
          <w:type w:val="continuous"/>
        </w:sectPr>
      </w:pP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7000 Shoreline Court, Suite 250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80"/>
          </w:cols>
          <w:pgMar w:left="240" w:top="233" w:right="379" w:bottom="248" w:gutter="0" w:footer="0" w:header="0"/>
          <w:type w:val="continuous"/>
        </w:sectPr>
      </w:pPr>
    </w:p>
    <w:p>
      <w:pPr>
        <w:spacing w:after="0" w:line="23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80" w:firstLine="25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20" w:firstLine="25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259"/>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80"/>
          </w:cols>
          <w:pgMar w:left="240" w:top="233" w:right="379" w:bottom="248" w:gutter="0" w:footer="0" w:header="0"/>
          <w:type w:val="continuous"/>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320"/>
          </w:cols>
          <w:pgMar w:left="240" w:top="233" w:right="379" w:bottom="248"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x</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00"/>
          </w:cols>
          <w:pgMar w:left="240" w:top="233" w:right="379" w:bottom="248" w:gutter="0" w:footer="0" w:header="0"/>
          <w:type w:val="continuous"/>
        </w:sectPr>
      </w:pPr>
    </w:p>
    <w:p>
      <w:pPr>
        <w:spacing w:after="0" w:line="34" w:lineRule="exact"/>
        <w:rPr>
          <w:sz w:val="24"/>
          <w:szCs w:val="24"/>
          <w:color w:val="auto"/>
        </w:rPr>
      </w:pPr>
    </w:p>
    <w:p>
      <w:pPr>
        <w:ind w:left="2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ind w:left="260"/>
        <w:spacing w:after="0"/>
        <w:rPr>
          <w:sz w:val="20"/>
          <w:szCs w:val="20"/>
          <w:color w:val="auto"/>
        </w:rPr>
      </w:pPr>
      <w:r>
        <w:rPr>
          <w:rFonts w:ascii="Arial" w:cs="Arial" w:eastAsia="Arial" w:hAnsi="Arial"/>
          <w:sz w:val="18"/>
          <w:szCs w:val="18"/>
          <w:color w:val="auto"/>
        </w:rPr>
        <w:t>As of August 3, 2015, there were 27,664,118 shares of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80"/>
          </w:cols>
          <w:pgMar w:left="240" w:top="233" w:right="379" w:bottom="248" w:gutter="0" w:footer="0" w:header="0"/>
          <w:type w:val="continuous"/>
        </w:sectPr>
      </w:pPr>
    </w:p>
    <w:bookmarkStart w:id="1" w:name="page2"/>
    <w:bookmarkEnd w:id="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3300" w:type="dxa"/>
            <w:vAlign w:val="bottom"/>
            <w:gridSpan w:val="11"/>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4180" w:type="dxa"/>
            <w:vAlign w:val="bottom"/>
            <w:gridSpan w:val="6"/>
            <w:vMerge w:val="restart"/>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3300" w:type="dxa"/>
            <w:vAlign w:val="bottom"/>
            <w:tcBorders>
              <w:bottom w:val="single" w:sz="8" w:color="0000EE"/>
            </w:tcBorders>
            <w:gridSpan w:val="11"/>
            <w:vMerge w:val="continue"/>
          </w:tcPr>
          <w:p>
            <w:pPr>
              <w:spacing w:after="0"/>
              <w:rPr>
                <w:sz w:val="13"/>
                <w:szCs w:val="13"/>
                <w:color w:val="auto"/>
              </w:rPr>
            </w:pPr>
          </w:p>
        </w:tc>
        <w:tc>
          <w:tcPr>
            <w:tcW w:w="418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48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Item 1. Condensed Consolidated Financial Statements (Unaudited)</w:t>
              </w:r>
            </w:hyperlink>
          </w:p>
        </w:tc>
        <w:tc>
          <w:tcPr>
            <w:tcW w:w="250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20" w:type="dxa"/>
            <w:vAlign w:val="bottom"/>
            <w:gridSpan w:val="15"/>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as of June 30, 2015 and December 31, 2014</w:t>
              </w:r>
            </w:hyperlink>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Loss for the Three and Six Month Periods Ended June 30, 2015</w:t>
              </w:r>
            </w:hyperlink>
          </w:p>
        </w:tc>
        <w:tc>
          <w:tcPr>
            <w:tcW w:w="1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and 2014</w:t>
              </w:r>
            </w:hyperlink>
          </w:p>
        </w:tc>
        <w:tc>
          <w:tcPr>
            <w:tcW w:w="6260" w:type="dxa"/>
            <w:vAlign w:val="bottom"/>
            <w:gridSpan w:val="12"/>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0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Cash Flows for the Six Month Periods Ended June 30, 2015 and 2014</w:t>
              </w:r>
            </w:hyperlink>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Notes to the Condensed Consolidated Financial Statements</w:t>
              </w:r>
            </w:hyperlink>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70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Item 2. Management’s Discussion and Analysis of Financial Condition and Results of Operations</w:t>
              </w:r>
            </w:hyperlink>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49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3. Quantitative and Qualitative Disclosures About Market Risk</w:t>
              </w:r>
            </w:hyperlink>
          </w:p>
        </w:tc>
        <w:tc>
          <w:tcPr>
            <w:tcW w:w="240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7320" w:type="dxa"/>
            <w:vAlign w:val="bottom"/>
            <w:gridSpan w:val="1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4. Controls and Procedures</w:t>
              </w:r>
            </w:hyperlink>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8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4480" w:type="dxa"/>
            <w:vAlign w:val="bottom"/>
            <w:gridSpan w:val="7"/>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Item 1A. Risk Factors</w:t>
              </w:r>
            </w:hyperlink>
          </w:p>
        </w:tc>
        <w:tc>
          <w:tcPr>
            <w:tcW w:w="5720" w:type="dxa"/>
            <w:vAlign w:val="bottom"/>
            <w:gridSpan w:val="9"/>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1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Item 6. Exhibits</w:t>
              </w:r>
            </w:hyperlink>
          </w:p>
        </w:tc>
        <w:tc>
          <w:tcPr>
            <w:tcW w:w="6160" w:type="dxa"/>
            <w:vAlign w:val="bottom"/>
            <w:gridSpan w:val="10"/>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7480" w:type="dxa"/>
            <w:vAlign w:val="bottom"/>
            <w:gridSpan w:val="1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10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80" w:type="dxa"/>
            <w:vAlign w:val="bottom"/>
            <w:gridSpan w:val="1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EXHIBIT INDEX</w:t>
              </w:r>
            </w:hyperlink>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53"/>
        </w:trPr>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3"/>
          </w:tcPr>
          <w:p>
            <w:pPr>
              <w:jc w:val="center"/>
              <w:ind w:right="1140"/>
              <w:spacing w:after="0"/>
              <w:rPr>
                <w:sz w:val="20"/>
                <w:szCs w:val="20"/>
                <w:color w:val="auto"/>
              </w:rPr>
            </w:pPr>
            <w:r>
              <w:rPr>
                <w:rFonts w:ascii="Arial" w:cs="Arial" w:eastAsia="Arial" w:hAnsi="Arial"/>
                <w:sz w:val="18"/>
                <w:szCs w:val="18"/>
                <w:color w:val="auto"/>
              </w:rPr>
              <w:t>i</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48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8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80" w:type="dxa"/>
            <w:vAlign w:val="bottom"/>
            <w:gridSpan w:val="17"/>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rPr>
              <w:t>VERACYTE, INC.</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80" w:type="dxa"/>
            <w:vAlign w:val="bottom"/>
            <w:gridSpan w:val="8"/>
          </w:tcPr>
          <w:p>
            <w:pPr>
              <w:jc w:val="center"/>
              <w:ind w:left="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80" w:type="dxa"/>
            <w:vAlign w:val="bottom"/>
            <w:gridSpan w:val="8"/>
          </w:tcPr>
          <w:p>
            <w:pPr>
              <w:jc w:val="center"/>
              <w:ind w:left="7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70"/>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59"/>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8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3"/>
          </w:tcPr>
          <w:p>
            <w:pPr>
              <w:jc w:val="center"/>
              <w:ind w:right="59"/>
              <w:spacing w:after="0" w:line="119" w:lineRule="exact"/>
              <w:rPr>
                <w:sz w:val="20"/>
                <w:szCs w:val="20"/>
                <w:color w:val="auto"/>
              </w:rPr>
            </w:pPr>
            <w:r>
              <w:rPr>
                <w:rFonts w:ascii="Arial" w:cs="Arial" w:eastAsia="Arial" w:hAnsi="Arial"/>
                <w:sz w:val="13"/>
                <w:szCs w:val="13"/>
                <w:b w:val="1"/>
                <w:bCs w:val="1"/>
                <w:color w:val="auto"/>
              </w:rPr>
              <w:t>(Derived from audited</w:t>
            </w: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financial statements)</w:t>
            </w:r>
          </w:p>
        </w:tc>
        <w:tc>
          <w:tcPr>
            <w:tcW w:w="0" w:type="dxa"/>
            <w:vAlign w:val="bottom"/>
          </w:tcPr>
          <w:p>
            <w:pPr>
              <w:spacing w:after="0"/>
              <w:rPr>
                <w:sz w:val="1"/>
                <w:szCs w:val="1"/>
                <w:color w:val="auto"/>
              </w:rPr>
            </w:pPr>
          </w:p>
        </w:tc>
      </w:tr>
      <w:tr>
        <w:trPr>
          <w:trHeight w:val="216"/>
        </w:trPr>
        <w:tc>
          <w:tcPr>
            <w:tcW w:w="7480" w:type="dxa"/>
            <w:vAlign w:val="bottom"/>
            <w:gridSpan w:val="17"/>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320" w:type="dxa"/>
            <w:vAlign w:val="bottom"/>
            <w:gridSpan w:val="16"/>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51,045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320" w:type="dxa"/>
            <w:vAlign w:val="bottom"/>
            <w:gridSpan w:val="16"/>
          </w:tcPr>
          <w:p>
            <w:pPr>
              <w:ind w:left="20"/>
              <w:spacing w:after="0"/>
              <w:rPr>
                <w:sz w:val="20"/>
                <w:szCs w:val="20"/>
                <w:color w:val="auto"/>
              </w:rPr>
            </w:pPr>
            <w:r>
              <w:rPr>
                <w:rFonts w:ascii="Arial" w:cs="Arial" w:eastAsia="Arial" w:hAnsi="Arial"/>
                <w:sz w:val="18"/>
                <w:szCs w:val="18"/>
                <w:color w:val="auto"/>
                <w:w w:val="92"/>
              </w:rPr>
              <w:t>Accounts receivable, net of allowance of $92 and $84 as of June 30, 2015 and December 31, 2014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3,586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3,050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320" w:type="dxa"/>
            <w:vAlign w:val="bottom"/>
            <w:gridSpan w:val="16"/>
            <w:shd w:val="clear" w:color="auto" w:fill="CCEEFF"/>
          </w:tcPr>
          <w:p>
            <w:pPr>
              <w:ind w:left="20"/>
              <w:spacing w:after="0"/>
              <w:rPr>
                <w:sz w:val="20"/>
                <w:szCs w:val="20"/>
                <w:color w:val="auto"/>
              </w:rPr>
            </w:pPr>
            <w:r>
              <w:rPr>
                <w:rFonts w:ascii="Arial" w:cs="Arial" w:eastAsia="Arial" w:hAnsi="Arial"/>
                <w:sz w:val="18"/>
                <w:szCs w:val="18"/>
                <w:color w:val="auto"/>
              </w:rPr>
              <w:t>Supplies inventory</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320" w:type="dxa"/>
            <w:vAlign w:val="bottom"/>
            <w:gridSpan w:val="16"/>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1,735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1,218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320" w:type="dxa"/>
            <w:vAlign w:val="bottom"/>
            <w:gridSpan w:val="16"/>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320" w:type="dxa"/>
            <w:vAlign w:val="bottom"/>
            <w:gridSpan w:val="16"/>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120" w:type="dxa"/>
            <w:vAlign w:val="bottom"/>
            <w:tcBorders>
              <w:top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60,714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43,348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4,211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4,161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Finite-lived intangible assets, net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15,733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tcPr>
          <w:p>
            <w:pPr>
              <w:spacing w:after="0"/>
              <w:rPr>
                <w:sz w:val="20"/>
                <w:szCs w:val="20"/>
                <w:color w:val="auto"/>
              </w:rPr>
            </w:pPr>
            <w:r>
              <w:rPr>
                <w:rFonts w:ascii="Arial" w:cs="Arial" w:eastAsia="Arial" w:hAnsi="Arial"/>
                <w:sz w:val="18"/>
                <w:szCs w:val="18"/>
                <w:color w:val="auto"/>
              </w:rPr>
              <w:t>Indefinite-lived intangible assets: in-process research and development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16,000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603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7120" w:type="dxa"/>
            <w:vAlign w:val="bottom"/>
            <w:tcBorders>
              <w:bottom w:val="single" w:sz="8" w:color="CCEEFF"/>
            </w:tcBorders>
            <w:gridSpan w:val="15"/>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82,503</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7480" w:type="dxa"/>
            <w:vAlign w:val="bottom"/>
            <w:gridSpan w:val="17"/>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80" w:type="dxa"/>
            <w:vAlign w:val="bottom"/>
            <w:gridSpan w:val="17"/>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320" w:type="dxa"/>
            <w:vAlign w:val="bottom"/>
            <w:gridSpan w:val="16"/>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7,397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320" w:type="dxa"/>
            <w:vAlign w:val="bottom"/>
            <w:gridSpan w:val="16"/>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7,217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7,851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320" w:type="dxa"/>
            <w:vAlign w:val="bottom"/>
            <w:gridSpan w:val="16"/>
            <w:shd w:val="clear" w:color="auto" w:fill="CCEEFF"/>
          </w:tcPr>
          <w:p>
            <w:pPr>
              <w:ind w:left="20"/>
              <w:spacing w:after="0"/>
              <w:rPr>
                <w:sz w:val="20"/>
                <w:szCs w:val="20"/>
                <w:color w:val="auto"/>
              </w:rPr>
            </w:pPr>
            <w:r>
              <w:rPr>
                <w:rFonts w:ascii="Arial" w:cs="Arial" w:eastAsia="Arial" w:hAnsi="Arial"/>
                <w:sz w:val="18"/>
                <w:szCs w:val="18"/>
                <w:color w:val="auto"/>
              </w:rPr>
              <w:t>Deferred Genzyme co-promotion fee</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20" w:type="dxa"/>
            <w:vAlign w:val="bottom"/>
            <w:gridSpan w:val="15"/>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11,802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17,145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4,923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120" w:type="dxa"/>
            <w:vAlign w:val="bottom"/>
            <w:tcBorders>
              <w:top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23,465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80" w:type="dxa"/>
            <w:vAlign w:val="bottom"/>
            <w:gridSpan w:val="17"/>
          </w:tcPr>
          <w:p>
            <w:pPr>
              <w:spacing w:after="0" w:line="196" w:lineRule="exact"/>
              <w:rPr>
                <w:sz w:val="20"/>
                <w:szCs w:val="20"/>
                <w:color w:val="auto"/>
              </w:rPr>
            </w:pPr>
            <w:r>
              <w:rPr>
                <w:rFonts w:ascii="Arial" w:cs="Arial" w:eastAsia="Arial" w:hAnsi="Arial"/>
                <w:sz w:val="18"/>
                <w:szCs w:val="18"/>
                <w:color w:val="auto"/>
              </w:rPr>
              <w:t>Commitments and contingencies (Note 5)</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7320" w:type="dxa"/>
            <w:vAlign w:val="bottom"/>
            <w:gridSpan w:val="16"/>
          </w:tcPr>
          <w:p>
            <w:pPr>
              <w:ind w:left="20"/>
              <w:spacing w:after="0" w:line="201" w:lineRule="exact"/>
              <w:rPr>
                <w:sz w:val="20"/>
                <w:szCs w:val="20"/>
                <w:color w:val="auto"/>
              </w:rPr>
            </w:pPr>
            <w:r>
              <w:rPr>
                <w:rFonts w:ascii="Arial" w:cs="Arial" w:eastAsia="Arial" w:hAnsi="Arial"/>
                <w:sz w:val="18"/>
                <w:szCs w:val="18"/>
                <w:color w:val="auto"/>
                <w:w w:val="92"/>
              </w:rPr>
              <w:t>Preferred stock, $0.001 par value; 5,000,000 shares authorized, no shares issued and outstanding</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7320" w:type="dxa"/>
            <w:vAlign w:val="bottom"/>
            <w:gridSpan w:val="16"/>
          </w:tcPr>
          <w:p>
            <w:pPr>
              <w:ind w:left="200"/>
              <w:spacing w:after="0"/>
              <w:rPr>
                <w:sz w:val="20"/>
                <w:szCs w:val="20"/>
                <w:color w:val="auto"/>
              </w:rPr>
            </w:pPr>
            <w:r>
              <w:rPr>
                <w:rFonts w:ascii="Arial" w:cs="Arial" w:eastAsia="Arial" w:hAnsi="Arial"/>
                <w:sz w:val="18"/>
                <w:szCs w:val="18"/>
                <w:color w:val="auto"/>
              </w:rPr>
              <w:t>as of June 30, 2015 and December 31, 2014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60" w:type="dxa"/>
            <w:vAlign w:val="bottom"/>
            <w:shd w:val="clear" w:color="auto" w:fill="CCEEFF"/>
          </w:tcPr>
          <w:p>
            <w:pPr>
              <w:spacing w:after="0"/>
              <w:rPr>
                <w:sz w:val="17"/>
                <w:szCs w:val="17"/>
                <w:color w:val="auto"/>
              </w:rPr>
            </w:pPr>
          </w:p>
        </w:tc>
        <w:tc>
          <w:tcPr>
            <w:tcW w:w="7320" w:type="dxa"/>
            <w:vAlign w:val="bottom"/>
            <w:gridSpan w:val="16"/>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Common stock, $0.001 par value; 125,000,000 shares authorized, 27,595,971 and 22,523,529</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20"/>
                <w:szCs w:val="20"/>
                <w:color w:val="auto"/>
              </w:rPr>
            </w:pPr>
          </w:p>
        </w:tc>
        <w:tc>
          <w:tcPr>
            <w:tcW w:w="7320" w:type="dxa"/>
            <w:vAlign w:val="bottom"/>
            <w:gridSpan w:val="16"/>
            <w:shd w:val="clear" w:color="auto" w:fill="CCEEFF"/>
          </w:tcPr>
          <w:p>
            <w:pPr>
              <w:ind w:left="200"/>
              <w:spacing w:after="0"/>
              <w:rPr>
                <w:sz w:val="20"/>
                <w:szCs w:val="20"/>
                <w:color w:val="auto"/>
              </w:rPr>
            </w:pPr>
            <w:r>
              <w:rPr>
                <w:rFonts w:ascii="Arial" w:cs="Arial" w:eastAsia="Arial" w:hAnsi="Arial"/>
                <w:sz w:val="18"/>
                <w:szCs w:val="18"/>
                <w:color w:val="auto"/>
                <w:w w:val="99"/>
              </w:rPr>
              <w:t>shares issued and outstanding as of June 30, 2015 and December 31, 2014, respectively</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16"/>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gridSpan w:val="3"/>
          </w:tcPr>
          <w:p>
            <w:pPr>
              <w:jc w:val="right"/>
              <w:ind w:right="140"/>
              <w:spacing w:after="0"/>
              <w:rPr>
                <w:sz w:val="20"/>
                <w:szCs w:val="20"/>
                <w:color w:val="auto"/>
              </w:rPr>
            </w:pPr>
            <w:r>
              <w:rPr>
                <w:rFonts w:ascii="Arial" w:cs="Arial" w:eastAsia="Arial" w:hAnsi="Arial"/>
                <w:sz w:val="18"/>
                <w:szCs w:val="18"/>
                <w:color w:val="auto"/>
              </w:rPr>
              <w:t>196,829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gridSpan w:val="4"/>
          </w:tcPr>
          <w:p>
            <w:pPr>
              <w:jc w:val="right"/>
              <w:ind w:right="100"/>
              <w:spacing w:after="0"/>
              <w:rPr>
                <w:sz w:val="20"/>
                <w:szCs w:val="20"/>
                <w:color w:val="auto"/>
              </w:rPr>
            </w:pPr>
            <w:r>
              <w:rPr>
                <w:rFonts w:ascii="Arial" w:cs="Arial" w:eastAsia="Arial" w:hAnsi="Arial"/>
                <w:sz w:val="18"/>
                <w:szCs w:val="18"/>
                <w:color w:val="auto"/>
              </w:rPr>
              <w:t>156,373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-6992620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-6992620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517"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(131,768)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(115,022)</w:t>
            </w:r>
          </w:p>
        </w:tc>
      </w:tr>
      <w:tr>
        <w:trPr>
          <w:trHeight w:val="210"/>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3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65,088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41,374</w:t>
            </w:r>
          </w:p>
        </w:tc>
        <w:tc>
          <w:tcPr>
            <w:tcW w:w="100" w:type="dxa"/>
            <w:vAlign w:val="bottom"/>
            <w:tcBorders>
              <w:bottom w:val="single" w:sz="8" w:color="CCEEFF"/>
            </w:tcBorders>
          </w:tcPr>
          <w:p>
            <w:pPr>
              <w:spacing w:after="0"/>
              <w:rPr>
                <w:sz w:val="18"/>
                <w:szCs w:val="18"/>
                <w:color w:val="auto"/>
              </w:rPr>
            </w:pPr>
          </w:p>
        </w:tc>
      </w:tr>
      <w:tr>
        <w:trPr>
          <w:trHeight w:val="210"/>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9,705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5,890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4,369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12,557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5,536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3,928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11,334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7,910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20,982</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39,753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29,289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(9,136)</w:t>
            </w:r>
          </w:p>
        </w:tc>
        <w:tc>
          <w:tcPr>
            <w:tcW w:w="3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(6,655)</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(16,746)</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(13,329)</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common share, basic and diluted</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(0.35)</w:t>
            </w: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(0.31)</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(0.69)</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line="195" w:lineRule="exact"/>
              <w:rPr>
                <w:sz w:val="20"/>
                <w:szCs w:val="20"/>
                <w:color w:val="auto"/>
              </w:rPr>
            </w:pPr>
            <w:r>
              <w:rPr>
                <w:rFonts w:ascii="Arial" w:cs="Arial" w:eastAsia="Arial" w:hAnsi="Arial"/>
                <w:sz w:val="18"/>
                <w:szCs w:val="18"/>
                <w:color w:val="auto"/>
                <w:w w:val="93"/>
              </w:rPr>
              <w:t>Shares used to compute net loss per common share, basic and</w:t>
            </w: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26,048,934</w:t>
            </w:r>
          </w:p>
        </w:tc>
        <w:tc>
          <w:tcPr>
            <w:tcW w:w="32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21,237,196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24,304,022</w:t>
            </w:r>
          </w:p>
        </w:tc>
        <w:tc>
          <w:tcPr>
            <w:tcW w:w="320" w:type="dxa"/>
            <w:vAlign w:val="bottom"/>
          </w:tcPr>
          <w:p>
            <w:pPr>
              <w:spacing w:after="0"/>
              <w:rPr>
                <w:sz w:val="13"/>
                <w:szCs w:val="13"/>
                <w:color w:val="auto"/>
              </w:rPr>
            </w:pP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21,193,014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7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78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Net loss</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(16,746)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(13,329)</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996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Bad debt expense</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Genzyme co-promotion fee amortization</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(949)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(1,250)</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Amortization of debt discount and issuance costs</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debt balloon payment</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Supplies inventory</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(733)</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3,377</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Accrued liabilities and deferred rent</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(2,526)</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(12,664)</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6780" w:type="dxa"/>
            <w:vAlign w:val="bottom"/>
          </w:tcPr>
          <w:p>
            <w:pPr>
              <w:spacing w:after="0" w:line="196" w:lineRule="exact"/>
              <w:rPr>
                <w:sz w:val="20"/>
                <w:szCs w:val="20"/>
                <w:color w:val="auto"/>
              </w:rPr>
            </w:pPr>
            <w:r>
              <w:rPr>
                <w:rFonts w:ascii="Arial" w:cs="Arial" w:eastAsia="Arial" w:hAnsi="Arial"/>
                <w:sz w:val="18"/>
                <w:szCs w:val="18"/>
                <w:b w:val="1"/>
                <w:bCs w:val="1"/>
                <w:color w:val="auto"/>
              </w:rPr>
              <w:t>Investing activities</w:t>
            </w: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(533)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67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15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bl>
    <w:p>
      <w:pPr>
        <w:sectPr>
          <w:pgSz w:w="11900" w:h="16900"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in a private placement, net of costs</w:t>
            </w:r>
          </w:p>
        </w:tc>
        <w:tc>
          <w:tcPr>
            <w:tcW w:w="1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37,258</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Commissions and issuance costs relating to the initial public offering</w:t>
            </w:r>
          </w:p>
        </w:tc>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exercise of common stock options</w:t>
            </w:r>
          </w:p>
        </w:tc>
        <w:tc>
          <w:tcPr>
            <w:tcW w:w="1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r>
      <w:tr>
        <w:trPr>
          <w:trHeight w:val="210"/>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3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37,749</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tcPr>
          <w:p>
            <w:pPr>
              <w:spacing w:after="0"/>
              <w:rPr>
                <w:sz w:val="18"/>
                <w:szCs w:val="18"/>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16,031</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(13,222)</w:t>
            </w: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35,014</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71,220</w:t>
            </w:r>
          </w:p>
        </w:tc>
      </w:tr>
      <w:tr>
        <w:trPr>
          <w:trHeight w:val="210"/>
        </w:trPr>
        <w:tc>
          <w:tcPr>
            <w:tcW w:w="6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229"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Veracyte, Inc. (the “Company”) was incorporated in the state of Delaware in August 2006 as Calderome, Inc. Calderome operated as an incubator until early 2008. In March 2008, the Company changed its name to Veracyte, Inc. Veracyte is a diagnostics company pioneering the field of molecular cytology to improve patient outcomes and lower healthcare costs. The Company specifically targets diseases that often require invasive procedures for an accurate diagnosis—diseases where many healthy patients undergo costly interventions that ultimately prove unnecessary. The Company improves the accuracy of diagnosis at an earlier stage of patient care by deriving clinically actionable genomic information from cytology samples.</w:t>
      </w:r>
    </w:p>
    <w:p>
      <w:pPr>
        <w:spacing w:after="0" w:line="158"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The Company’s first commercial solution, the Afirma</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Thyroid FNA Analysis, includes as its centerpiece the Gene Expression Classifier (“GEC”). The GEC helps physicians reduce the number of unnecessary surgeries by employing a proprietary 142-gene signature to preoperatively determine whether thyroid nodules previously classified by cytopathology as indeterminate can be reclassified as benign. The comprehensive offering also includes cytopathology testing and the Afirma Malignancy Classifiers, launched in May 2014. The Company markets and sells Afirma through a co-promotion agreement with Genzyme Corporation, a subsidiary of Sanofi.</w:t>
      </w:r>
    </w:p>
    <w:p>
      <w:pPr>
        <w:spacing w:after="0" w:line="20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September 2014, the Company acquired Allegro Diagnostics Corp. (“Allegro”) to accelerate its entry into pulmonology, the Company’s second planned clinical area. Allegro was focused on the development of genomic tests to improve the preoperative diagnosis of lung cancer. In April 2015, the Company entered the lung cancer diagnostics market with the Percepta™ Bronchial Genomic Classifier, a new genomic test to resolve ambiguity in lung cancer diagnosis.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April 2015, the Company received $37.3 million in net proceeds from the sale of its common stock in a private placement. See Note 7.</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operations are based in South San Francisco, California and Austin, Texas, and it operates in one segment in the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accompanying interim period condensed consolidated financial statements have been prepared in accordance with accounting principles generally accepted in the United States (“GAAP”) and applicable rules and regulations of the Securities and Exchange Commission (“SEC”) regarding interim financial reporting. The condensed consolidated financial statements include the accounts of the Company and its wholly-owned subsidiary. All intercompany accounts and transactions have been eliminated in consolidation. Certain information and note disclosures normally included in the financial statements prepared in accordance with GAAP have been condensed or omitted pursuant to such rules and regulations. The condensed consolidated balance sheet as of June 30, 2015, the condensed consolidated statements of operations and comprehensive loss and the condensed consolidated statements of cash flows for the three and six months ended June 30, 2015 and 2014, are unaudited, but include all adjustments, consisting only of normal recurring adjustments, which the Company considers necessary for a fair presentation of its financial position, operating results and cash flows for the periods presented. The condensed consolidated balance sheet at December 31, 2014 has been derived from audited financial statements. The results for the three and six months ended June 30, 2015 are not necessarily indicative of the results expected for the full fiscal year or any other period.</w:t>
      </w:r>
    </w:p>
    <w:p>
      <w:pPr>
        <w:spacing w:after="0" w:line="16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preparation of the unaudited interim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contractual allowances; allowance for doubtful accounts; the useful lives of property and equipment; the recoverability of long-lived assets;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these estimates and assumptions.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40" w:right="239" w:bottom="0" w:gutter="0" w:footer="0" w:header="0"/>
        </w:sectPr>
      </w:pPr>
    </w:p>
    <w:bookmarkStart w:id="4" w:name="page5"/>
    <w:bookmarkEnd w:id="4"/>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cash and cash equivalents are deposited with one major financial institution in the United States, as required by the loan and security agreement discussed in Note 6. Deposits in this institution may exceed the amount of insurance provided on such deposits. The Company has not experienced any losses on its deposits of cash and cash equivalents.</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is also subject to credit risk from its accounts receivable related to its sales of Afirma. The Company generally does not perform evaluations of customers’ financial condition and generally does not require collateral.</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Through June 30, 2015, all of the Company’s revenues have been derived from the sale of Afirma. To date, Afirma has been delivered primarily to physicians in the United States. The Company’s third-party payers in excess of 10% of revenue and their related revenue as a percentage of revenue were as follows:</w:t>
      </w:r>
    </w:p>
    <w:p>
      <w:pPr>
        <w:spacing w:after="0" w:line="173"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3300" w:type="dxa"/>
            <w:vAlign w:val="bottom"/>
            <w:gridSpan w:val="4"/>
          </w:tcPr>
          <w:p>
            <w:pPr>
              <w:jc w:val="right"/>
              <w:ind w:right="770"/>
              <w:spacing w:after="0"/>
              <w:rPr>
                <w:sz w:val="20"/>
                <w:szCs w:val="20"/>
                <w:color w:val="auto"/>
              </w:rPr>
            </w:pPr>
            <w:r>
              <w:rPr>
                <w:rFonts w:ascii="Arial" w:cs="Arial" w:eastAsia="Arial" w:hAnsi="Arial"/>
                <w:sz w:val="14"/>
                <w:szCs w:val="14"/>
                <w:b w:val="1"/>
                <w:bCs w:val="1"/>
                <w:color w:val="auto"/>
              </w:rPr>
              <w:t>Three Months Ended June 30,</w:t>
            </w:r>
          </w:p>
        </w:tc>
        <w:tc>
          <w:tcPr>
            <w:tcW w:w="31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6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Aetna</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9%</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12%</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9%</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UnitedHealthcare</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266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26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the number of payers reimbursing for Afirma increases, the percentage of revenue derived from Medicare and other significant third-party payers has changed and will continue to change as a percentage of revenue.</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Company’s significant third-party payers and their related accounts receivable balance at June 30, 2015 and December 31, 2014 as a percentage of total accounts receivable are as follows:</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74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Medicare</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Aetna</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UnitedHealthcare</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third-party payer represented more than 10% of the Company’s accounts receivable balances at those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 consist of amounts invested in a money market account primarily consisting of U.S. Treasury reserves.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Company had deposits of $118,000 as of June 30, 2015 and December 31, 2014, restricted from withdrawal and held by a bank in the form of collateral for irrevocable standby letters of credit totaling $118,000 held as security for the lease of the Company’s headquarters and laboratory facilities in South San Francisco that expires March 31, 2016. This restricted cash is included in current assets as of June 30, 2015 and in long-term assets as of December 31, 2014 on the Company’s condensed consolidated balance sheets. The Company also had deposits of $603,000 included in long-term assets as of June 30, 2015, restricted from withdrawal and held by a bank in the form of collateral for an irrevocable standby letter of credit totaling $603,000 held as security for the lease of the Company’s new headquarters and laboratory facilities in South San Francisco signed on April 29, 2015.</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Company reserved $70,000 in cash as of December 31, 2014 to cover liabilities associated with the acquisition of Allegro. This amount was paid in March 2015. This restricted cash was included in current assets on the Company’s condensed consolidated balance sheet at December 31,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estimates an allowance for doubtful accounts against its individual accounts receivable based on estimates of expected reimbursement consistent with historical payment experience in relation to the amounts billed. Bad debt expense is included in general and administrative expense on the Company’s statements of operations and comprehensive loss. Accounts receivable are written off against the allowance when there is substantive evidence that the account will not be paid.</w:t>
      </w:r>
    </w:p>
    <w:p>
      <w:pPr>
        <w:spacing w:after="0" w:line="1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balance of allowance for doubtful accounts as of June 30, 2015 and December 31, 2014 was $92,000 and $84,000, respectively. Bad debt expense was $32,000 and $54,000 for the three and six months ended June 30, 2015, respectively, and $11,000 and $39,000 for the three and six months ended June 30, 2014, respectively. Write offs for doubtful accounts of $26,000 and $46,000 were recorded against the allowance during the three and six months ended June 30, 2015, respectively. Write offs for doubtful accounts of $34,000 were recorded against the allowance during the three and six months ended June 30,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Inventory</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Supplies inventory consists of test reagents and other consumables used in the sample collection kits and in cytopathology and GEC test processing and are valued at the lower of cost or market value. Cost is determined using actual costs on a first-in, first-out basis.</w:t>
      </w:r>
    </w:p>
    <w:p>
      <w:pPr>
        <w:sectPr>
          <w:pgSz w:w="11900" w:h="16915" w:orient="portrait"/>
          <w:cols w:equalWidth="0" w:num="1">
            <w:col w:w="11400"/>
          </w:cols>
          <w:pgMar w:left="240" w:top="125" w:right="25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Company capitalizes costs incurred in the application development stage to design and implement the software used in the tracking and reporting of laboratory activity. Costs incurred in the development of application software are capitalized and amortized over an estimated useful life of three years on a straight-line basis. The total cost, accumulated depreciation and net book value was $1.1 million, $440,000 and $654,000, respectively, as of June 30, 2015, and was $927,000, $330,000 and $597,000, respectively, as of December 31, 2014, and are included in property and equipment in the Company’s condensed consolidated balance sheets. During the six months ended June 30, 2015 and 2014, the Company capitalized $167,000 and $125,000, respectively, of software development costs. Amortization expense totaled $55,000 and $109,000 in the three and six months ended June 30, 2015, respectively, and $32,000 and $64,000 in the three and six months ended June 30, 2014,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right="500" w:firstLine="648"/>
        <w:spacing w:after="0" w:line="288" w:lineRule="auto"/>
        <w:rPr>
          <w:sz w:val="20"/>
          <w:szCs w:val="20"/>
          <w:color w:val="auto"/>
        </w:rPr>
      </w:pPr>
      <w:r>
        <w:rPr>
          <w:rFonts w:ascii="Arial" w:cs="Arial" w:eastAsia="Arial" w:hAnsi="Arial"/>
          <w:sz w:val="16"/>
          <w:szCs w:val="16"/>
          <w:color w:val="auto"/>
        </w:rPr>
        <w:t>The Company accounts for acquisitions using the acquisition method of accounting which requires the recognition of tangible and identifiable intangible assets acquired and liabilities assumed at their estimated fair values as of the business combination date. The Company allocates any excess purchase price over the estimated fair value assigned to the net tangible and identifiable intangible assets acquired and liabilities assumed to goodwill.</w:t>
      </w:r>
    </w:p>
    <w:p>
      <w:pPr>
        <w:ind w:right="160"/>
        <w:spacing w:after="0" w:line="261" w:lineRule="auto"/>
        <w:rPr>
          <w:sz w:val="20"/>
          <w:szCs w:val="20"/>
          <w:color w:val="auto"/>
        </w:rPr>
      </w:pPr>
      <w:r>
        <w:rPr>
          <w:rFonts w:ascii="Arial" w:cs="Arial" w:eastAsia="Arial" w:hAnsi="Arial"/>
          <w:sz w:val="18"/>
          <w:szCs w:val="18"/>
          <w:color w:val="auto"/>
        </w:rPr>
        <w:t>Transaction costs are expensed as incurred in general and administrative expenses. Results of operations and cash flows of acquired companies are included in the Company’s operating results from the date of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Finite-lived Intangible Assets</w:t>
      </w:r>
    </w:p>
    <w:p>
      <w:pPr>
        <w:spacing w:after="0" w:line="225" w:lineRule="exact"/>
        <w:rPr>
          <w:sz w:val="20"/>
          <w:szCs w:val="20"/>
          <w:color w:val="auto"/>
        </w:rPr>
      </w:pPr>
    </w:p>
    <w:p>
      <w:pPr>
        <w:ind w:firstLine="654"/>
        <w:spacing w:after="0" w:line="257" w:lineRule="auto"/>
        <w:rPr>
          <w:sz w:val="20"/>
          <w:szCs w:val="20"/>
          <w:color w:val="auto"/>
        </w:rPr>
      </w:pPr>
      <w:r>
        <w:rPr>
          <w:rFonts w:ascii="Arial" w:cs="Arial" w:eastAsia="Arial" w:hAnsi="Arial"/>
          <w:sz w:val="18"/>
          <w:szCs w:val="18"/>
          <w:color w:val="auto"/>
        </w:rPr>
        <w:t>Finite-lived intangible assets relates to intangible assets reclassified from indefinite-lived intangible assets, following the launch of Percepta in April 2015. The Company amortizes finite-lived intangible assets using the straight-line method over their estimated useful life. The estimated useful life of 15 years was used for the intangible asset related to the Percepta test based on management’s estimate of product life, product life of other diagnostic tests and patent life, The Company reviews this finite-lived intangible asset for impairment when facts or circumstances indicate a reduction in the fair value below its carrying amount.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Intangible Assets — In-process Research and Development</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Company’s indefinite-lived intangible assets are comprised of acquired in-process research and development (“IPR&amp;D”). The fair value of IPR&amp;D acquired through a business combination is capitalized as an indefinite-lived intangible asset until the completion or abandonment of the related research and development activities. When research and development is complete, the associated assets are amortized on a straight-line basis over their estimated useful lives. IPR&amp;D is tested for impairment annually or more frequently if events or circumstances indicate that the fair value may be below the carrying value of the asset. The Company recognizes an impairment loss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was no impairment for the six months ended June 30,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Goodwill, derived from the Company’s acquisition of Allegro, is reviewed for impairment annually or more frequently if events or circumstances indicate that it may be impaired. The Company’s goodwill evaluation is based on both qualitative and quantitative assessments regarding the fair value of goodwill relative to its carrying value. The Company has determined that it operates in a single segment and has a single reporting unit associated with the development and commercialization of diagnostic products. In the event the Company determines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The Company performs its annual evaluation of goodwill during the fourth quarter of each fiscal year. There was no impairment for the six months ended June 30,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Accruals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The Company accrued $1.3 million and $1.1 million as of June 30, 2015 and December 31, 2014, respectively, for liabilities associated with these employee and executive bonus plans which are included in accrued liabilities in the Company’s condensed consolidated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ectPr>
          <w:pgSz w:w="11900" w:h="16838" w:orient="portrait"/>
          <w:cols w:equalWidth="0" w:num="1">
            <w:col w:w="11400"/>
          </w:cols>
          <w:pgMar w:left="240" w:top="341" w:right="259" w:bottom="0" w:gutter="0" w:footer="0" w:header="0"/>
        </w:sectPr>
      </w:pPr>
    </w:p>
    <w:bookmarkStart w:id="6" w:name="page7"/>
    <w:bookmarkEnd w:id="6"/>
    <w:p>
      <w:pPr>
        <w:ind w:right="20" w:firstLine="648"/>
        <w:spacing w:after="0" w:line="270" w:lineRule="auto"/>
        <w:rPr>
          <w:sz w:val="20"/>
          <w:szCs w:val="20"/>
          <w:color w:val="auto"/>
        </w:rPr>
      </w:pPr>
      <w:r>
        <w:rPr>
          <w:rFonts w:ascii="Arial" w:cs="Arial" w:eastAsia="Arial" w:hAnsi="Arial"/>
          <w:sz w:val="17"/>
          <w:szCs w:val="17"/>
          <w:color w:val="auto"/>
        </w:rPr>
        <w:t>The Company’s revenue is generated from the provision of diagnostic services using the Afirma solution. The Company’s service is completed upon the delivery of test results to the prescribing physician which triggers the billing for the service. The Company recognizes revenue related to billings for Medicare and commercial payers on an accrual basis, net of contractual adjustments, when a reasonable estimate of reimbursement can be made. These contractual adjustments represent the difference between the list price (the billing rate) and the reimbursement rate for each payer. Upon ultimate collection, the amount received from Medicare and commercial payers where reimbursement was estimated is compared to previous estimates and the contractual allowance is adjusted accordingly. Until a contract has been negotiated with a commercial payer or governmental program, the Afirma solution may or may not be covered by these entities’ existing reimbursement policies. In addition, patients do not enter into direct agreements with the Company that commit them to pay any portion of the cost of the tests in the event that their insurance declines to reimburse the Company. In the absence of an agreement with the patient or other clearly enforceable legal right to demand payment from the patient, the related revenue is only recognized upon the earlier of payment notification, if applicable, or cash receipt.</w:t>
      </w:r>
    </w:p>
    <w:p>
      <w:pPr>
        <w:spacing w:after="0" w:line="178"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For all services performed, the Company considers whether or not the following revenue recognition criteria are met: persuasive evidence of an arrangement exists; delivery has occurred or services have been rendered; and a reasonable estimate of reimbursement can be made.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Persuasive evidence of an arrangement exists and delivery is deemed to have occurred upon delivery of a patient report to the prescribing physician. The assessment of whether a reasonable estimate of reimbursement can be made requires significant judgment by management. Where management’s judgment indicates a reasonable estimate of reimbursement can be made, revenue is recognized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 In the absence of contracted reimbursement coverage or the ability to reasonably estimate reimbursement, the Company recognizes revenue upon receipt of third-party payer notification of payment or when cash is received.</w:t>
      </w:r>
    </w:p>
    <w:p>
      <w:pPr>
        <w:spacing w:after="0" w:line="17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Revenue recognized when cash is received and on an accrual basis for the three and six months ended June 30, 2015 and 2014 was as follows (in thousands):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24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3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when cash is received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11,163</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Revenue recognized on an accrual basis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6,587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2,631</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11,973</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4,990</w:t>
            </w:r>
          </w:p>
        </w:tc>
      </w:tr>
      <w:tr>
        <w:trPr>
          <w:trHeight w:val="210"/>
        </w:trPr>
        <w:tc>
          <w:tcPr>
            <w:tcW w:w="4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Cost of revenue is expensed as incurred and includes material and service costs, cytopathology testing services performed by a third-party pathology group, stock-based compensation expense, direct labor costs, equipment and infrastructure expenses associated with testing samples, shipping charges to transport samples, and allocated overhead including rent, information technology, equipment depreciation and utilities.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Research and development costs are charged to operations as incurred. Research and development costs include payroll and personnel-related expenses,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120" w:firstLine="648"/>
        <w:spacing w:after="0" w:line="340" w:lineRule="auto"/>
        <w:rPr>
          <w:sz w:val="20"/>
          <w:szCs w:val="20"/>
          <w:color w:val="auto"/>
        </w:rPr>
      </w:pPr>
      <w:r>
        <w:rPr>
          <w:rFonts w:ascii="Arial" w:cs="Arial" w:eastAsia="Arial" w:hAnsi="Arial"/>
          <w:sz w:val="15"/>
          <w:szCs w:val="15"/>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3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more-likely-than-not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Stock-based compensation expense for equity instruments issued to employees is measured based on the grant-date fair value of the awards. The fair value of each employee stock option is estimated on the date of grant using the Black-Scholes option-pricing model. The Company recognizes compensation costs on a straight-line basis for all employee stock-based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380"/>
          </w:cols>
          <w:pgMar w:left="240" w:top="125" w:right="279" w:bottom="86" w:gutter="0" w:footer="0" w:header="0"/>
        </w:sectPr>
      </w:pPr>
    </w:p>
    <w:bookmarkStart w:id="7" w:name="page8"/>
    <w:bookmarkEnd w:id="7"/>
    <w:p>
      <w:pPr>
        <w:ind w:right="780" w:firstLine="648"/>
        <w:spacing w:after="0" w:line="277" w:lineRule="auto"/>
        <w:rPr>
          <w:sz w:val="20"/>
          <w:szCs w:val="20"/>
          <w:color w:val="auto"/>
        </w:rPr>
      </w:pPr>
      <w:r>
        <w:rPr>
          <w:rFonts w:ascii="Arial" w:cs="Arial" w:eastAsia="Arial" w:hAnsi="Arial"/>
          <w:sz w:val="18"/>
          <w:szCs w:val="18"/>
          <w:color w:val="auto"/>
        </w:rPr>
        <w:t>Equity awards issued to non-employees are valued using the Black-Scholes option-pricing model and are subject to re-measurement as the underlying equity awards vest.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options to purchase common stock of 4,223,267 and 2,983,509 for the six months ended June 30, 2015 and 2014, respectively, are considered to be common stock equivalents and were excluded from the calculation of diluted net loss per common share because their effect would be anti-dilutive for all periods presented.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requiring an entity to recognize the amount of revenue to which it expects to be entitled for the transfer of promised goods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customers. The updated standard will replace most existing revenue recognition guidance in GAAP when it becomes effective and permits the use of either the retrospective or cumulative effect transition method. Adoption is permitted as early as the first quarter of 2017 and is required by the first quarter of 2018. The Company has not yet selected a transition method and is currently evaluating the potential effect of the updated standard on its consolidated financial statements.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to require debt issuance costs to be presented as an offset against debt outstanding. The ASU is effective for interim and annual periods beginning after December 15, 2015. Adoption of the ASU is retrospective to each prior period presented. The Company does not anticipate that the adoption of the ASU will have a material impact on its condensed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16, 2014, the Company acquired Allegro via a merger with Full Moon Acquisition, Inc., a wholly-owned subsidiary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Allegro was a privately-held company based in Maynard, Massachusetts, focused on the development of genomic tests to improve the preoperative diagnosis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lung cancer. Allegro merged with Full Moon (the “Merger”), with Allegro surviving the Merger as a wholly-owned subsidiary of the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subsidiary was dissolved in July 2015. At the effective time of the Merger, each share of the common stock of Full Moon issued and outstanding immediately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prior to the effective time of the Merger was automatically converted into one share of common stock of Allegro and represented the only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 Allegro at the effective time of the Merger; all previously issued and outstanding shares of common stock of Allegro were canceled.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A preferred stock of Allegro issued and outstanding immediately prior to the effective time of the Merger was canceled and automatically converted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the right to receive a total of 964,377 shares of the Company’s common stock and $2.7 million in cash. Outstanding indebtedness of Allegro totaling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$4.3 million was settled in cash by the Company on the effective date of the Merger. All outstanding stock options under Allegro’s equity incentive plan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canceled.</w:t>
      </w:r>
    </w:p>
    <w:p>
      <w:pPr>
        <w:spacing w:after="0" w:line="21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acquisition of Allegro accelerated the Company’s entry into the pulmonology diagnostics market. Allegro’s lung cancer test, called Percepta, is designed to help physicians determine which patients with lung nodules who have had a non-diagnostic bronchoscopy result are at low risk for cancer and can thus be safely monitored with CT scans rather than undergoing invasive procedures. The Company launched the Percepta test in April 2015.</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Merger was accounted for using the acquisition method of accounting with the Company treated as the accounting acquirer. The purchase price was allocated based on the estimated fair value of the assets acquired and liabilities assumed at the date of the acquisition.</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incurred approximately $0.5 million in acquisition-related costs related to the Merger, which primarily consisted of legal, accounting and valuation-related expenses. In addition, the Company incurred $1.2 million related to transaction bonuses and severance payments to former Allegro employees associated with the Merger. These expenses were recorded in general and administrative expense in the condensed consolidated statements of operations and comprehensive loss.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500" w:type="dxa"/>
            <w:vAlign w:val="bottom"/>
            <w:gridSpan w:val="3"/>
          </w:tcPr>
          <w:p>
            <w:pPr>
              <w:ind w:left="660"/>
              <w:spacing w:after="0"/>
              <w:rPr>
                <w:sz w:val="20"/>
                <w:szCs w:val="20"/>
                <w:color w:val="auto"/>
              </w:rPr>
            </w:pPr>
            <w:r>
              <w:rPr>
                <w:rFonts w:ascii="Arial" w:cs="Arial" w:eastAsia="Arial" w:hAnsi="Arial"/>
                <w:sz w:val="18"/>
                <w:szCs w:val="18"/>
                <w:color w:val="auto"/>
              </w:rPr>
              <w:t>The acquisition consideration was comprised of (in thousands):</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w:t>
            </w:r>
          </w:p>
        </w:tc>
        <w:tc>
          <w:tcPr>
            <w:tcW w:w="4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outstanding indebtedness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840" w:type="dxa"/>
            <w:vAlign w:val="bottom"/>
            <w:gridSpan w:val="2"/>
          </w:tcPr>
          <w:p>
            <w:pPr>
              <w:ind w:left="180"/>
              <w:spacing w:after="0"/>
              <w:rPr>
                <w:sz w:val="20"/>
                <w:szCs w:val="20"/>
                <w:color w:val="auto"/>
              </w:rPr>
            </w:pPr>
            <w:r>
              <w:rPr>
                <w:rFonts w:ascii="Arial" w:cs="Arial" w:eastAsia="Arial" w:hAnsi="Arial"/>
                <w:sz w:val="18"/>
                <w:szCs w:val="18"/>
                <w:color w:val="auto"/>
              </w:rPr>
              <w:t>Total acquisition consideration</w:t>
            </w: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stock consideration of $10.1 million was determined based on the closing price of the Company’s common stock on September 16, 2014 ($10.45 per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assets acquired and liabilities assumed at the closing date of the Merger are summarized below (in thousands):</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Other assets, net</w:t>
            </w: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 (“IPR&amp;D”)</w:t>
            </w:r>
          </w:p>
        </w:tc>
        <w:tc>
          <w:tcPr>
            <w:tcW w:w="1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Goodwill</w:t>
            </w: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1,057</w:t>
            </w:r>
          </w:p>
        </w:tc>
      </w:tr>
      <w:tr>
        <w:trPr>
          <w:trHeight w:val="210"/>
        </w:trPr>
        <w:tc>
          <w:tcPr>
            <w:tcW w:w="5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acquisition consideration</w:t>
            </w: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84" w:gutter="0" w:footer="0" w:header="0"/>
        </w:sectPr>
      </w:pPr>
    </w:p>
    <w:bookmarkStart w:id="8" w:name="page9"/>
    <w:bookmarkEnd w:id="8"/>
    <w:p>
      <w:pPr>
        <w:spacing w:after="0" w:line="12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fair value of IPR&amp;D was determined using the multi-period excess earnings method of the income approach, which estimates the economic benefits of the IPR&amp;D over multiple time periods by identifying the cash flows associated with the use of the asset, based on forecasts prepared by management, and deducting a periodic charge reflecting a fair return for the use of contributory assets. The forecasted cash flows were discounted based on a discount rate of 18.5%. The discount rate represents the Company’s weighted average return on assets and was benchmarked against the internal rate of return and cost of capital of guideline publicly traded companies. The fair value of the IPR&amp;D was capitalized as of the closing date of the Merger and was accounted for as an indefinite-lived intangible asset prior to the beginning of amortization.</w:t>
      </w:r>
    </w:p>
    <w:p>
      <w:pPr>
        <w:spacing w:after="0" w:line="17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Amortization of the IPR&amp;D began in April 2015 when research and development activities were deemed to be completed and is recorded on a straight-line basis. The amortization period of the IPR&amp;D is over its estimated useful life of 15 years after taking into consideration expected use of the asset, legal or regulatory provisions that may limit or extend the life of the asset, as well as the effects of obsolescence and other economic factors. Amortization of $267,000 was recorded in the three months and six months ended June 30, 2015, as compared with $0 for the three and six months ended June 30, 2014. Accumulated amortization was $267,000 as of June 30, 2015. Amortization expense will be approximately $1.1 million per year.</w:t>
      </w:r>
    </w:p>
    <w:p>
      <w:pPr>
        <w:spacing w:after="0" w:line="173"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Goodwill, which represents the purchase price in excess of the fair value of net assets acquired, is not expected to be deductible for income tax purposes. This goodwill is reflective of the value derived from the acceleration of the Company’s entry into the pulmonology market.</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pro forma financial information is based on the historical financial statements of the Company and presents the Company’s results as if the Merger had occurred as of January 1, 2013 (in thousands):</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center"/>
              <w:ind w:right="41"/>
              <w:spacing w:after="0" w:line="142" w:lineRule="exact"/>
              <w:rPr>
                <w:sz w:val="20"/>
                <w:szCs w:val="20"/>
                <w:color w:val="auto"/>
              </w:rPr>
            </w:pPr>
            <w:r>
              <w:rPr>
                <w:rFonts w:ascii="Arial" w:cs="Arial" w:eastAsia="Arial" w:hAnsi="Arial"/>
                <w:sz w:val="14"/>
                <w:szCs w:val="14"/>
                <w:b w:val="1"/>
                <w:bCs w:val="1"/>
                <w:color w:val="auto"/>
                <w:w w:val="96"/>
              </w:rPr>
              <w:t>2014</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center"/>
              <w:ind w:right="81"/>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440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(7,284</w:t>
            </w:r>
          </w:p>
        </w:tc>
        <w:tc>
          <w:tcPr>
            <w:tcW w:w="2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(14,495</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pro forma results present the combined historical results of operations with adjustments to reflect one-time charges representing the elimination of interest expense related to Allegro indebtedness of $1.9 million and $2.0 million for the three and six months ended June 30, 2014, respectively.</w:t>
      </w:r>
    </w:p>
    <w:p>
      <w:pPr>
        <w:spacing w:after="0" w:line="12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pro forma information presented does not purport to present what the actual results would have been had the Merger actually occurred on January 1, 2013, nor is the information intended to project results for any future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expenses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3,277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Accrued Genzyme co-promotion fees</w:t>
            </w:r>
          </w:p>
        </w:tc>
        <w:tc>
          <w:tcPr>
            <w:tcW w:w="96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1,685</w:t>
            </w: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2,255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18"/>
                <w:szCs w:val="18"/>
                <w:color w:val="auto"/>
              </w:rPr>
            </w:pPr>
          </w:p>
        </w:tc>
      </w:tr>
      <w:tr>
        <w:trPr>
          <w:trHeight w:val="210"/>
        </w:trPr>
        <w:tc>
          <w:tcPr>
            <w:tcW w:w="5200" w:type="dxa"/>
            <w:vAlign w:val="bottom"/>
          </w:tcPr>
          <w:p>
            <w:pPr>
              <w:ind w:left="180"/>
              <w:spacing w:after="0"/>
              <w:rPr>
                <w:sz w:val="20"/>
                <w:szCs w:val="20"/>
                <w:color w:val="auto"/>
              </w:rPr>
            </w:pPr>
            <w:r>
              <w:rPr>
                <w:rFonts w:ascii="Arial" w:cs="Arial" w:eastAsia="Arial" w:hAnsi="Arial"/>
                <w:sz w:val="18"/>
                <w:szCs w:val="18"/>
                <w:color w:val="auto"/>
              </w:rPr>
              <w:t>Total accrued liabilities</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4"/>
              </w:rPr>
              <w:t>7,217</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debt approximates its fair value because the interest rate approximates market rates that the Company could obtain for debt with similar terms.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78"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25" w:lineRule="exact"/>
        <w:rPr>
          <w:rFonts w:ascii="Arial" w:cs="Arial" w:eastAsia="Arial" w:hAnsi="Arial"/>
          <w:sz w:val="18"/>
          <w:szCs w:val="18"/>
          <w:color w:val="auto"/>
        </w:rPr>
      </w:pPr>
    </w:p>
    <w:p>
      <w:pPr>
        <w:jc w:val="both"/>
        <w:ind w:left="980" w:right="20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4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fair value of the Company’s financial assets, which consist of money market funds, was $50.1 million and $33.2 million as of June 30, 2015 and December 31, 2014, respectively, and are Level I assets as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Company leases its headquarters and laboratory facilities in South San Francisco under a non-cancelable lease agreement that expires on March 31, 2016.</w:t>
      </w:r>
    </w:p>
    <w:p>
      <w:pPr>
        <w:spacing w:after="0" w:line="170" w:lineRule="exact"/>
        <w:rPr>
          <w:sz w:val="20"/>
          <w:szCs w:val="20"/>
          <w:color w:val="auto"/>
        </w:rPr>
      </w:pPr>
    </w:p>
    <w:p>
      <w:pPr>
        <w:ind w:right="200" w:firstLine="689"/>
        <w:spacing w:after="0" w:line="342" w:lineRule="auto"/>
        <w:rPr>
          <w:sz w:val="20"/>
          <w:szCs w:val="20"/>
          <w:color w:val="auto"/>
        </w:rPr>
      </w:pPr>
      <w:r>
        <w:rPr>
          <w:rFonts w:ascii="Arial" w:cs="Arial" w:eastAsia="Arial" w:hAnsi="Arial"/>
          <w:sz w:val="16"/>
          <w:szCs w:val="16"/>
          <w:color w:val="auto"/>
        </w:rPr>
        <w:t>On April 29, 2015, the Company signed a non-cancelable lease agreement for approximately 59,000 square feet to serve as its new South San Francisco headquarters and laboratory facilities. The lease begins in June 2015 and ends in March 2026 and contains extension of lease term and expansion</w:t>
      </w:r>
    </w:p>
    <w:p>
      <w:pPr>
        <w:sectPr>
          <w:pgSz w:w="11900" w:h="16962" w:orient="portrait"/>
          <w:cols w:equalWidth="0" w:num="1">
            <w:col w:w="11400"/>
          </w:cols>
          <w:pgMar w:left="240" w:top="125" w:right="259" w:bottom="0" w:gutter="0" w:footer="0" w:header="0"/>
        </w:sectPr>
      </w:pPr>
    </w:p>
    <w:bookmarkStart w:id="9" w:name="page10"/>
    <w:bookmarkEnd w:id="9"/>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options. In conjunction with this lease, the landlord is providing funding of approximately $3.3 million for tenant improvements. As of June 30, 2015 the Company had recorded approximately $0.1 million as receivable from the landlord. The Company had deposits of $603,000 included in long-term assets as of June 30, 2015, restricted from withdrawal and held by a bank in the form of collateral for an irrevocable standby letter of credit totaling $603,000 held as security for the lease of the new headquarters and laboratory facilities.</w:t>
      </w:r>
    </w:p>
    <w:p>
      <w:pPr>
        <w:spacing w:after="0" w:line="187"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The Company also leases laboratory space in Austin, Texas. The lease expires on July 31, 2018. The Company provided a security deposit of $75,000, which is included in other assets in the Company’s condensed consolidated balance sheets as of June 30, 2015 and December 31, 2014.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non-cancelable operating leases as of June 30, 2015, are as follows (in thousands):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4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Amounts</w:t>
            </w:r>
          </w:p>
        </w:tc>
      </w:tr>
      <w:tr>
        <w:trPr>
          <w:trHeight w:val="210"/>
        </w:trPr>
        <w:tc>
          <w:tcPr>
            <w:tcW w:w="6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through December 31, 2015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1,822</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2,102</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14,038</w:t>
            </w:r>
          </w:p>
        </w:tc>
      </w:tr>
      <w:tr>
        <w:trPr>
          <w:trHeight w:val="210"/>
        </w:trPr>
        <w:tc>
          <w:tcPr>
            <w:tcW w:w="65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recognizes rent expense on a straight-line basis over the non-cancelable lease period. Facilities rent expense was $352,000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$213,000 for the three months ended June 30, 2015 and 2014, respectively, and $565,000 and $426,000 for the six months ended June 30, 2015 and 2014,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respectively. Until the new headquarters is utilized, rent of approximately $500,000 per quarter will be charged to general and administrative expense.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Purchase Commitments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had a non-cancelable purchase commitment with a supplier to purchase a minimum quantity of supplies for approximately $0.5 million at June 30, 2015, all of which is expected to be paid in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From time to time, the Company may be involved in legal proceedings arising in the ordinary course of business. The Company believes there is no litigation pending that could have, individually or in the aggregate, a material adverse effect on the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June 2013, the Company entered into a loan and security agreement (“Original Loan”) with a financial institution. The Original Loan provided for term loans of up to $10.0 million in aggregate. The Company drew down $5.0 million in funds under the agreement in June 2013, and did not draw the remaining $5.0 million on or before the expiration date of March 31, 2014. The Company was required to repay the outstanding principal in 30 equal installments beginning 18 months after the date of the borrowing, and the loan was due in full in June 2017. The Original Loan had an interest rate of 6.06% per annum, carried prepayment penalties of 2.25% and 1.50% for prepayment within one and two years, respectively, and 0.75% thereafter.</w:t>
      </w:r>
    </w:p>
    <w:p>
      <w:pPr>
        <w:spacing w:after="0" w:line="17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December 2014, the Company amended certain terms and conditions of the Original Loan (“Amended Loan”). The Amended Loan provides for term loans of up to $15.0 million in aggregate, in three tranches of $5.0 million each. The Company borrowed $5.0 million under the first tranche in December 2014 and used the funds for repayment of the $5.0 million in principal outstanding under the Original Loan, in a cashless transaction. In addition, the Company paid the accrued but unpaid interest of $14,000 due on the Original Loan and the related end-of-term payment of $110,000. The Amended Loan waived the prepayment premium of $75,000 under the Original Loan and reduced the end-of-term payment of $225,000 under the Original Loan to $110,000. The second $5.0 million tranche under the Amended Loan is available through December 31, 2015, and the Company may borrow the third $5.0 million tranche any time through June 30, 2016 after achieving the third tranche revenue milestone as defined in the Amended Loan.</w:t>
      </w:r>
    </w:p>
    <w:p>
      <w:pPr>
        <w:spacing w:after="0" w:line="167"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The carrying value of the debt approximates its fair value because the interest rate approximates market rates that the Company could obtain for debt with similar terms. Under the Amended Loan, the Company is required to repay the outstanding principal in 24 equal installments beginning 24 months after the date of the borrowing, and the loan is due in full in December 2018. The first tranche of the Amended Loan bears interest at a rate of 5.00% per annum.</w:t>
      </w:r>
    </w:p>
    <w:p>
      <w:pPr>
        <w:ind w:right="360"/>
        <w:spacing w:after="0" w:line="261" w:lineRule="auto"/>
        <w:rPr>
          <w:sz w:val="20"/>
          <w:szCs w:val="20"/>
          <w:color w:val="auto"/>
        </w:rPr>
      </w:pPr>
      <w:r>
        <w:rPr>
          <w:rFonts w:ascii="Arial" w:cs="Arial" w:eastAsia="Arial" w:hAnsi="Arial"/>
          <w:sz w:val="18"/>
          <w:szCs w:val="18"/>
          <w:color w:val="auto"/>
        </w:rPr>
        <w:t>The Amended Loan carries prepayment penalties of 2.00% and 1.00% for prepayment within one and two years, respectively, and no prepayment penalty thereafter. In connection with the Amended Loan, the Company paid approximately $45,000 in third-party fees.</w:t>
      </w:r>
    </w:p>
    <w:p>
      <w:pPr>
        <w:spacing w:after="0" w:line="18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The Amended Loan results in a debt modification under ASC 470-50, </w:t>
      </w:r>
      <w:r>
        <w:rPr>
          <w:rFonts w:ascii="Arial" w:cs="Arial" w:eastAsia="Arial" w:hAnsi="Arial"/>
          <w:sz w:val="18"/>
          <w:szCs w:val="18"/>
          <w:i w:val="1"/>
          <w:iCs w:val="1"/>
          <w:color w:val="auto"/>
        </w:rPr>
        <w:t>Modifications and Extinguishments,</w:t>
      </w:r>
      <w:r>
        <w:rPr>
          <w:rFonts w:ascii="Arial" w:cs="Arial" w:eastAsia="Arial" w:hAnsi="Arial"/>
          <w:sz w:val="18"/>
          <w:szCs w:val="18"/>
          <w:color w:val="auto"/>
        </w:rPr>
        <w:t xml:space="preserve"> as the change in present value of the remaining cash flows associated with the Original Loan and Amended Loan are not substantial.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2015 and December 31, 2014, the net debt obligation was as follows (in thousands):</w:t>
      </w:r>
    </w:p>
    <w:p>
      <w:pPr>
        <w:sectPr>
          <w:pgSz w:w="11900" w:h="16900" w:orient="portrait"/>
          <w:cols w:equalWidth="0" w:num="1">
            <w:col w:w="11420"/>
          </w:cols>
          <w:pgMar w:left="240" w:top="125" w:right="239" w:bottom="0" w:gutter="0" w:footer="0" w:header="0"/>
        </w:sectPr>
      </w:pP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9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13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18"/>
        </w:trPr>
        <w:tc>
          <w:tcPr>
            <w:tcW w:w="556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bl>
    <w:p>
      <w:pPr>
        <w:sectPr>
          <w:pgSz w:w="11900" w:h="16900" w:orient="portrait"/>
          <w:cols w:equalWidth="0" w:num="1">
            <w:col w:w="11420"/>
          </w:cols>
          <w:pgMar w:left="240" w:top="125" w:right="239" w:bottom="0" w:gutter="0" w:footer="0" w:header="0"/>
          <w:type w:val="continuous"/>
        </w:sectPr>
      </w:pPr>
    </w:p>
    <w:bookmarkStart w:id="10" w:name="page11"/>
    <w:bookmarkEnd w:id="10"/>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Debt and unpaid accrued end-of-term payment</w:t>
            </w:r>
          </w:p>
        </w:tc>
        <w:tc>
          <w:tcPr>
            <w:tcW w:w="1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5,042</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Unamortized note discount</w:t>
            </w: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10"/>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debt obligation</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payments under the Amended Loan are as follows (in thousands):</w:t>
      </w:r>
    </w:p>
    <w:p>
      <w:pPr>
        <w:spacing w:after="0" w:line="217"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July through December 31, 2015</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obligation includes an end-of-term payment of $237,500, representing 4.75% of the total outstanding principal balance, which accretes over the life of the loan as interest expense. As a result of the debt discount and the end-of-term payment, the effective interest rate for the loan differs from the contractual rate.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on the debt was as follows (in thousands):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620" w:type="dxa"/>
            <w:vAlign w:val="bottom"/>
            <w:tcBorders>
              <w:bottom w:val="single" w:sz="8" w:color="auto"/>
            </w:tcBorders>
            <w:gridSpan w:val="5"/>
          </w:tcPr>
          <w:p>
            <w:pPr>
              <w:jc w:val="right"/>
              <w:ind w:right="105"/>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Six Months Ended June 30,</w:t>
            </w: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420" w:type="dxa"/>
            <w:vAlign w:val="bottom"/>
          </w:tcPr>
          <w:p>
            <w:pPr>
              <w:spacing w:after="0"/>
              <w:rPr>
                <w:sz w:val="12"/>
                <w:szCs w:val="12"/>
                <w:color w:val="auto"/>
              </w:rPr>
            </w:pPr>
          </w:p>
        </w:tc>
        <w:tc>
          <w:tcPr>
            <w:tcW w:w="1000" w:type="dxa"/>
            <w:vAlign w:val="bottom"/>
          </w:tcPr>
          <w:p>
            <w:pPr>
              <w:jc w:val="right"/>
              <w:ind w:right="107"/>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65"/>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Nominal interest</w:t>
            </w: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0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End-of-term payment</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3420" w:type="dxa"/>
            <w:vAlign w:val="bottom"/>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Loans drawn under the Original Loan and the Amended Loan were used for working capital and general corporate purposes. The Company’s obligations under the Amended Loan are secured by a security interest in substantially all of its assets, excluding its intellectual property and certain other assets. The Amended Loan contains customary conditions related to borrowing, events of default, and covenants, including covenants limiting the Company’s ability to dispose of assets, undergo a change in control, merge with or acquire other entities, incur debt, incur liens, pay dividends or other distributions to holders of its capital stock, repurchase stock and make investments, in each case subject to certain exceptions. The Amended Loan also allows the lender to call the debt in the event there is a material adverse change in the Company’s business or financial condition. The Company is required to be in compliance with a minimum liquidity or minimum revenue covenant. As of June 30, 2015, the Company was in compliance with all covenants.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Restated Certificate of Incorporation authorizes the Company to issue 125,000,000 shares of common stock with a par value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$0.001 per share. The holder of each share of common stock shall have one vote for each share of stock. The common stockholders are also entitled to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dividends whenever funds and assets are legally available and when declared by the Board of Directors, subject to the prior rights of holders of all series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outstanding. No dividends have been declared as of June 30, 2015.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2015 and December 31, 2014, the Company had reserved shares of common stock for issuance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4,223,267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3,249,469</w:t>
            </w: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Options available for grant under stock option plans</w:t>
            </w:r>
          </w:p>
        </w:tc>
        <w:tc>
          <w:tcPr>
            <w:tcW w:w="1360" w:type="dxa"/>
            <w:vAlign w:val="bottom"/>
          </w:tcPr>
          <w:p>
            <w:pPr>
              <w:jc w:val="right"/>
              <w:spacing w:after="0"/>
              <w:rPr>
                <w:sz w:val="20"/>
                <w:szCs w:val="20"/>
                <w:color w:val="auto"/>
              </w:rPr>
            </w:pPr>
            <w:r>
              <w:rPr>
                <w:rFonts w:ascii="Arial" w:cs="Arial" w:eastAsia="Arial" w:hAnsi="Arial"/>
                <w:sz w:val="18"/>
                <w:szCs w:val="18"/>
                <w:color w:val="auto"/>
              </w:rPr>
              <w:t>1,103,928</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1,341,252</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for issuance under the ESPP</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560" w:type="dxa"/>
            <w:vAlign w:val="bottom"/>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6,077,195</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4,590,721</w:t>
            </w: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On April 28, 2015, the Company completed a private placement of 4,907,975 shares of its common stock to certain accredited investors (the “Investors”) at a purchase price of $8.15 per share. The sale of the shares was made pursuant to the terms of a Securities Purchase Agreement dated as of April 22, 2015. Gross proceeds to the Company were $40.0 million and the Company received $37.3 million in net proceeds, after deducting the placement agent fees and other expenses payable by the Company of $2.7 million. Under the Securities Purchase Agreement, the Company has agreed to use the net proceeds from the private placement for research and development, for product commercialization, and for working capital and general corporate purposes.</w:t>
      </w:r>
    </w:p>
    <w:p>
      <w:pPr>
        <w:spacing w:after="0" w:line="158" w:lineRule="exact"/>
        <w:rPr>
          <w:sz w:val="20"/>
          <w:szCs w:val="20"/>
          <w:color w:val="auto"/>
        </w:rPr>
      </w:pPr>
    </w:p>
    <w:p>
      <w:pPr>
        <w:jc w:val="both"/>
        <w:ind w:right="480" w:firstLine="648"/>
        <w:spacing w:after="0" w:line="312" w:lineRule="auto"/>
        <w:rPr>
          <w:sz w:val="20"/>
          <w:szCs w:val="20"/>
          <w:color w:val="auto"/>
        </w:rPr>
      </w:pPr>
      <w:r>
        <w:rPr>
          <w:rFonts w:ascii="Arial" w:cs="Arial" w:eastAsia="Arial" w:hAnsi="Arial"/>
          <w:sz w:val="16"/>
          <w:szCs w:val="16"/>
          <w:color w:val="auto"/>
        </w:rPr>
        <w:t>In connection with the sale of the common stock in the private placement, the Company entered into a Registration Rights Agreement with the Investors, pursuant to which the Company filed in May 2015 a registration statement with the SEC covering the resale of the common stock sold in the private placement. The Registration Rights Agreement includes customary indemnification rights in connection with the registration statement.</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June 2015, the Company filed a universal shelf registration statement with the SEC which provides the Company the ability to offer for sale up to $125.0 million of securities in a primary offering, including common stock, preferred stock, debt securities, depositary shares and rights. This shelf registration statement provides the Company, within the $125.0 million, the ability to offer for sale up to $25.0 million of its common stock at market prices pursuant to the terms of a controlled Equity Sales Agreement. This shelf registration statement also registered for resale up to 5,000,000 shares of common stock held by certain existing stockholders. Approximately $0.2 million of costs associated with this registration statement have been deferred in other current assets as of June 30, 2015.</w:t>
      </w:r>
    </w:p>
    <w:p>
      <w:pPr>
        <w:sectPr>
          <w:pgSz w:w="11900" w:h="16838" w:orient="portrait"/>
          <w:cols w:equalWidth="0" w:num="1">
            <w:col w:w="11400"/>
          </w:cols>
          <w:pgMar w:left="240" w:top="140" w:right="259" w:bottom="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Employee Stock Purchase Plan</w:t>
      </w:r>
    </w:p>
    <w:p>
      <w:pPr>
        <w:sectPr>
          <w:pgSz w:w="11900" w:h="16838" w:orient="portrait"/>
          <w:cols w:equalWidth="0" w:num="1">
            <w:col w:w="11400"/>
          </w:cols>
          <w:pgMar w:left="240" w:top="140" w:right="259" w:bottom="0" w:gutter="0" w:footer="0" w:header="0"/>
          <w:type w:val="continuous"/>
        </w:sectPr>
      </w:pPr>
    </w:p>
    <w:bookmarkStart w:id="11" w:name="page12"/>
    <w:bookmarkEnd w:id="11"/>
    <w:p>
      <w:pPr>
        <w:ind w:right="120" w:firstLine="648"/>
        <w:spacing w:after="0" w:line="273" w:lineRule="auto"/>
        <w:rPr>
          <w:sz w:val="20"/>
          <w:szCs w:val="20"/>
          <w:color w:val="auto"/>
        </w:rPr>
      </w:pPr>
      <w:r>
        <w:rPr>
          <w:rFonts w:ascii="Arial" w:cs="Arial" w:eastAsia="Arial" w:hAnsi="Arial"/>
          <w:sz w:val="17"/>
          <w:szCs w:val="17"/>
          <w:color w:val="auto"/>
        </w:rPr>
        <w:t>In May 2015, the Company’s stockholders approved the Company’s Employee Stock Purchase Plan (“ESPP”). The ESPP provides eligible employees with an opportunity to purchase common stock from the Company and to pay for their purchases through payroll deductions. The ESPP will be implemented through a series of offerings of purchase rights to eligible employees. Under the ESPP, the Compensation Committee of the Company’s Board of Directors may specify offerings with a duration of not more than 12 months, and may specify shorter purchase periods within each offering. During each purchase period, payroll deductions will accumulate, without interest. On the last day of the purchase period, accumulated payroll deductions will be used to purchase common stock for employees participating in the offering.</w:t>
      </w:r>
    </w:p>
    <w:p>
      <w:pPr>
        <w:spacing w:after="0" w:line="178"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purchase price will be specified pursuant to the offering, but cannot, under the terms of the ESPP, be less than 85% of the fair market value per share of the Company’s common stock on either the last trading day preceding the offering date or on the purchase date, whichever is less.</w:t>
      </w:r>
    </w:p>
    <w:p>
      <w:pPr>
        <w:spacing w:after="0" w:line="14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Company’s Board of Directors has determined that the purchase periods initially shall have a duration of six months, will begin August 1, 2015 and that the purchase price will be 85% of the fair market value per share of the Company’s common stock on either the last trading day preceding the offering date or the purchase date, whichever is less. The length of the purchase period applicable to U.S. employees and the purchase price may not be changed without the approval of the independent members of the Company’s Board of Directors.</w:t>
      </w:r>
    </w:p>
    <w:p>
      <w:pPr>
        <w:spacing w:after="0" w:line="17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Compensation Committee may specify that if the fair market value of a share of the Company’s common stock on any purchase date within a particular offering period is less than or equal to the fair market value on the start date of that offering period, then the offering period will automatically terminate and the employee in that offering period will automatically be transferred and enrolled in a new offering period which will begin on the next day following such purchase date.</w:t>
      </w:r>
    </w:p>
    <w:p>
      <w:pPr>
        <w:spacing w:after="0" w:line="18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No employee may purchase more than 2,500 shares, or such lesser number of shares as may be determined by the Compensation Committee with respect to a single offering period, or purchase period, if applicable. In addition, no employee is permitted to accrue, under the ESPP, a right to purchase stock of the Company having a value in excess of $25,000 of the fair market value of such stock (determined at the time the right is granted) for each calendar year.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total of 750,000 shares of common stock have been reserved for issuance under the ESPP, all of which were available for issuance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Restated Certificate of Incorporation authorizes the Company to issue 5,000,000 shares of preferred stock with a par value of $0.001 per share. No shares were issued and outstanding at June 30, 2015 or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Incentive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under the Company’s stock option plans (aggregate intrinsic value in thousands):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Weighted</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Shares</w:t>
            </w:r>
          </w:p>
        </w:tc>
        <w:tc>
          <w:tcPr>
            <w:tcW w:w="1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Grant</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(Years)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1,341,252</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7"/>
              </w:rPr>
              <w:t>3,249,469</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Additional options authorized</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900,941</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(1,204,300)</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1,204,300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8.89</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66,035</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(66,035)</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9.48</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(164,467)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 June 30, 2015</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1,103,928</w:t>
            </w:r>
          </w:p>
        </w:tc>
        <w:tc>
          <w:tcPr>
            <w:tcW w:w="280" w:type="dxa"/>
            <w:vAlign w:val="bottom"/>
            <w:tcBorders>
              <w:bottom w:val="single" w:sz="8" w:color="CCEEFF"/>
            </w:tcBorders>
          </w:tcPr>
          <w:p>
            <w:pPr>
              <w:spacing w:after="0"/>
              <w:rPr>
                <w:sz w:val="21"/>
                <w:szCs w:val="21"/>
                <w:color w:val="auto"/>
              </w:rPr>
            </w:pPr>
          </w:p>
        </w:tc>
        <w:tc>
          <w:tcPr>
            <w:tcW w:w="10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7"/>
              </w:rPr>
              <w:t>4,223,267</w:t>
            </w:r>
          </w:p>
        </w:tc>
        <w:tc>
          <w:tcPr>
            <w:tcW w:w="3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8.11</w:t>
            </w:r>
          </w:p>
        </w:tc>
        <w:tc>
          <w:tcPr>
            <w:tcW w:w="12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8.04</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16,689</w:t>
            </w: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exercisable - June 30, 2015</w:t>
            </w: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w w:val="87"/>
              </w:rPr>
              <w:t>1,719,030</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5.45</w:t>
            </w:r>
          </w:p>
        </w:tc>
        <w:tc>
          <w:tcPr>
            <w:tcW w:w="12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6.64</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w w:val="96"/>
              </w:rPr>
              <w:t>Options vested and expected to vest - June 30, 2015</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4,223,243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8.11</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16,689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aggregate intrinsic value was calculated as the difference between the exercise price of the options to purchase common stock and the fair market value of the Company’s common stock, which was $11.14 per share as of June 30, 2015.</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weighted average fair value of options to purchase common stock granted was $5.36 and $9.97 for the six months ended June 30, 2015 and 2014, respectively.</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weighted-average fair value of stock options exercised was $2.12 and $1.25 for the six months ended June 30, 2015 and 2014, respectively. The intrinsic value of stock options exercised was $1.2 million and $2.8 million for the six months ended June 30, 2015 and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following table summarizes stock-based compensation expense related to stock options for the three and six months ended June 30, 2015 and 2014, and are included in the condensed consolidated statements of operations and comprehensive loss as follows (in thousands):</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620" w:type="dxa"/>
            <w:vAlign w:val="bottom"/>
            <w:gridSpan w:val="4"/>
          </w:tcPr>
          <w:p>
            <w:pPr>
              <w:jc w:val="right"/>
              <w:ind w:right="106"/>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gridSpan w:val="6"/>
          </w:tcPr>
          <w:p>
            <w:pPr>
              <w:ind w:left="3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900" w:type="dxa"/>
            <w:vAlign w:val="bottom"/>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342</w:t>
            </w:r>
          </w:p>
        </w:tc>
        <w:tc>
          <w:tcPr>
            <w:tcW w:w="9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595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262</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9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w:t>
            </w: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811</w:t>
            </w:r>
          </w:p>
        </w:tc>
        <w:tc>
          <w:tcPr>
            <w:tcW w:w="9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514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797</w:t>
            </w:r>
          </w:p>
        </w:tc>
      </w:tr>
      <w:tr>
        <w:trPr>
          <w:trHeight w:val="210"/>
        </w:trPr>
        <w:tc>
          <w:tcPr>
            <w:tcW w:w="4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00"/>
          </w:cols>
          <w:pgMar w:left="240" w:top="341" w:right="259" w:bottom="0" w:gutter="0" w:footer="0" w:header="0"/>
        </w:sectPr>
      </w:pPr>
    </w:p>
    <w:bookmarkStart w:id="12" w:name="page13"/>
    <w:bookmarkEnd w:id="12"/>
    <w:p>
      <w:pPr>
        <w:ind w:right="100" w:firstLine="648"/>
        <w:spacing w:after="0" w:line="277" w:lineRule="auto"/>
        <w:rPr>
          <w:sz w:val="20"/>
          <w:szCs w:val="20"/>
          <w:color w:val="auto"/>
        </w:rPr>
      </w:pPr>
      <w:r>
        <w:rPr>
          <w:rFonts w:ascii="Arial" w:cs="Arial" w:eastAsia="Arial" w:hAnsi="Arial"/>
          <w:sz w:val="18"/>
          <w:szCs w:val="18"/>
          <w:color w:val="auto"/>
        </w:rPr>
        <w:t>As of June 30, 2015, the Company had $13.6 million of unrecognized compensation expense related to unvested stock options, which is expected to be recognized over an estimated weighted-average period of 2.9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estimated grant date fair value of employee stock options was calculated using the Black-Scholes option-pricing model, based on the following assumptions: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76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4"/>
                <w:szCs w:val="14"/>
                <w:color w:val="auto"/>
              </w:rPr>
            </w:pPr>
          </w:p>
        </w:tc>
        <w:tc>
          <w:tcPr>
            <w:tcW w:w="258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2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437"/>
              <w:spacing w:after="0" w:line="142" w:lineRule="exact"/>
              <w:rPr>
                <w:sz w:val="20"/>
                <w:szCs w:val="20"/>
                <w:color w:val="auto"/>
              </w:rPr>
            </w:pPr>
            <w:r>
              <w:rPr>
                <w:rFonts w:ascii="Arial" w:cs="Arial" w:eastAsia="Arial" w:hAnsi="Arial"/>
                <w:sz w:val="14"/>
                <w:szCs w:val="14"/>
                <w:b w:val="1"/>
                <w:bCs w:val="1"/>
                <w:color w:val="auto"/>
                <w:w w:val="96"/>
              </w:rPr>
              <w:t>2015</w:t>
            </w:r>
          </w:p>
        </w:tc>
        <w:tc>
          <w:tcPr>
            <w:tcW w:w="30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ind w:right="437"/>
              <w:spacing w:after="0" w:line="142"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434"/>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2"/>
                <w:szCs w:val="12"/>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- 65.28%</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73.20-76.87%</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- 68.82%</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- 78.54%</w:t>
            </w:r>
          </w:p>
        </w:tc>
        <w:tc>
          <w:tcPr>
            <w:tcW w:w="1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Weighted-average expected term (years)</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5.50 - 6.08</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5.50 - 6.08</w:t>
            </w:r>
          </w:p>
        </w:tc>
        <w:tc>
          <w:tcPr>
            <w:tcW w:w="2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5.50 - 6.08</w:t>
            </w:r>
          </w:p>
        </w:tc>
        <w:tc>
          <w:tcPr>
            <w:tcW w:w="28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0"/>
              </w:rPr>
              <w:t>5.50 - 6.08</w:t>
            </w:r>
          </w:p>
        </w:tc>
        <w:tc>
          <w:tcPr>
            <w:tcW w:w="12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- 2.03%</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1.66 - 2.00%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- 2.03%</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- 2.00%</w:t>
            </w:r>
          </w:p>
        </w:tc>
        <w:tc>
          <w:tcPr>
            <w:tcW w:w="120" w:type="dxa"/>
            <w:vAlign w:val="bottom"/>
            <w:shd w:val="clear" w:color="auto" w:fill="CCEEFF"/>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40" w:type="dxa"/>
            <w:vAlign w:val="bottom"/>
          </w:tcPr>
          <w:p>
            <w:pPr>
              <w:spacing w:after="0"/>
              <w:rPr>
                <w:sz w:val="20"/>
                <w:szCs w:val="20"/>
                <w:color w:val="auto"/>
              </w:rPr>
            </w:pPr>
          </w:p>
        </w:tc>
        <w:tc>
          <w:tcPr>
            <w:tcW w:w="1120" w:type="dxa"/>
            <w:vAlign w:val="bottom"/>
            <w:gridSpan w:val="2"/>
          </w:tcPr>
          <w:p>
            <w:pPr>
              <w:jc w:val="center"/>
              <w:ind w:right="82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20"/>
                <w:szCs w:val="20"/>
                <w:color w:val="auto"/>
              </w:rPr>
            </w:pPr>
          </w:p>
        </w:tc>
        <w:tc>
          <w:tcPr>
            <w:tcW w:w="1120" w:type="dxa"/>
            <w:vAlign w:val="bottom"/>
            <w:gridSpan w:val="2"/>
          </w:tcPr>
          <w:p>
            <w:pPr>
              <w:jc w:val="center"/>
              <w:ind w:right="82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20"/>
                <w:szCs w:val="20"/>
                <w:color w:val="auto"/>
              </w:rPr>
            </w:pPr>
          </w:p>
        </w:tc>
        <w:tc>
          <w:tcPr>
            <w:tcW w:w="94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There were no stock options granted to non-employees during the six months ended June 30, 2015. The estimated grant-date fair value of stock options granted to non-employees during the six months ended June 30, 2014 was calculated using the Black-Scholes option-pricing model, based on the following assumptions: weighted-average volatility from 75.11% to 75.48%, weighted-average expected term from 8.44 years to 9.26 years, risk-free interest rate from 2.32% to 2.43%, and expected dividend yield of 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Genzyme Co-promotion Agreement</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January 2012, the Company and Genzyme Corporation (“Genzyme”) executed a co-promotion agreement for the co-exclusive rights and license to promote and market the Company’s Afirma thyroid diagnostic solution in the United States and in 40 named countries. In exchange, the Company received a $10.0 million upfront co-promotion fee from Genzyme in February 2012. Under the terms of the agreement, Genzyme will receive a percentage of U.S. cash receipts that the Company has received related to Afirma as co-promotion fees. The percentage was 50% in 2012, 40% from January 2013 through February 2014, and 32% beginning in February 2014. Genzyme’s obligation to also spend up to $500,000 for qualifying clinical development activities in countries that require additional testing for approval expired in July 2014.</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November 2014, the Company signed an Amended and Restated U.S. Co-promotion Agreement (“Amended Agreement”) with Genzyme. Under the Amended Agreement, the co-promotion fees Genzyme receives as a percentage of U.S. cash receipts were reduced from 32% to 15% beginning January 1, 2015. Through August 11, 2014, the Company amortized the $10.0 million upfront co-promotion fee over a four-year period, which was management’s best estimate of the life of the agreement, in part because after that period either party could have terminated the agreement without penalty. Effective August 12, 2014, the Company extended the amortization period from January 2016 to June 2016, the modified earliest period either party can terminate the agreement without penalty. The Company accounted for the change in accounting estimate prospectively. Either party may terminate the agreement with six months prior notice, however, under the Amended Agreement, neither party can terminate the agreement for convenience prior to June 30, 2016. The agreement with Genzyme expires in 2027.</w:t>
      </w:r>
    </w:p>
    <w:p>
      <w:pPr>
        <w:spacing w:after="0" w:line="192"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In February 2015, the Company entered into an Ex-U.S. Co-promotion Agreement with Genzyme for the promotion of the Afirma GEC test with exclusivity in five countries outside the United States initially and in other countries agreed to from time to time. The term of the agreement is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 The Company will pay Genzyme 25% of net revenue from the sale of the Afirma GEC test in Brazil and Singapore over a five-year period commencing January 1, 2015. Beginning in the fourth year of the agreement, if the Company terminates the agreement for convenience, the Company may be required to pay a termination fee contingent on the number of GEC billable results generated.</w:t>
      </w:r>
    </w:p>
    <w:p>
      <w:pPr>
        <w:spacing w:after="0" w:line="17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incurred $1.7 million and $2.7 million in co-promotion expense in the three months ended June 30, 2015 and 2014, respectively, and $3.4 million and $5.5 million in the six months ended June 30, 2015 and 2014, respectively, which is included in selling and marketing expenses in the condensed consolidated statements of operations and comprehensive loss. The Company’s outstanding obligation to Genzyme totaled $1.7 million at June 30, 2015 and is included in accrued liabilities on the Company’s condensed consolidated balance sheet. At December 31, 2014 the obligation was $6.0 million of which $2.7 million is included in accounts payable and $3.3 million is included in accrued liabilities on the Company’s condensed consolidated balance sheet.</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amortized $0.5 million and $0.6 million of the $10.0 million up-front co-promotion fee in the three months ended June 30, 2015 and 2014, respectively, and $0.9 million and $1.3 million in the six months ended June 30, 2015 and 2014, respectively, which is reflected as a reduction to selling and marketing expenses in the condensed consolidated statements of operations and comprehensive loss.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Thyroid Cytopathology Partners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2010, the Company entered into an arrangement with Pathology Resource Consultants, P.A. (“PRC”) to set up and manage a specialized pathology practice to provide testing services to the Company. There is no direct monetary compensation from the Company to PRC as a result of this arrangement. The Company’s service agreement is with the specialized pathology practice, Thyroid Cytopathology Partners (“TCP”), and is effective through December 31, 2015, and thereafter automatically renews every year unless either party provides notice of intent not to renew at least 12 months prior to the end of the then-current term. Under the service agreement, the Company pays TCP based on a fixed price per test schedule, which is reviewed periodically for changes in market pricing. Subsequent to December 2012, an amendment to the service agreement allows TCP to use a portion of the Company’s facility in Austin, Texas. The Company does not have an ownership interest in or provide any form of financial or other support to TCP.</w:t>
      </w:r>
    </w:p>
    <w:p>
      <w:pPr>
        <w:sectPr>
          <w:pgSz w:w="11900" w:h="16838" w:orient="portrait"/>
          <w:cols w:equalWidth="0" w:num="1">
            <w:col w:w="11420"/>
          </w:cols>
          <w:pgMar w:left="240" w:top="341" w:right="239" w:bottom="82" w:gutter="0" w:footer="0" w:header="0"/>
        </w:sectPr>
      </w:pPr>
    </w:p>
    <w:bookmarkStart w:id="13" w:name="page14"/>
    <w:bookmarkEnd w:id="13"/>
    <w:p>
      <w:pPr>
        <w:ind w:firstLine="648"/>
        <w:spacing w:after="0" w:line="291" w:lineRule="auto"/>
        <w:rPr>
          <w:sz w:val="20"/>
          <w:szCs w:val="20"/>
          <w:color w:val="auto"/>
        </w:rPr>
      </w:pPr>
      <w:r>
        <w:rPr>
          <w:rFonts w:ascii="Arial" w:cs="Arial" w:eastAsia="Arial" w:hAnsi="Arial"/>
          <w:sz w:val="16"/>
          <w:szCs w:val="16"/>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condensed consolidated statements of operations and comprehensive loss. The Company incurred $1.2 million and $1.0 million in the three months ended June 30, 2015 and 2014, respectively, and $2.3 million and $1.9 million in the six months ended June 30, 2015 and 2014, respectively, in cytopathology testing and evaluation services expenses with TCP. The Company’s outstanding obligations to TCP for cytopathology testing services were $0.8 million and $1.1 million as of June 30, 2015 and December 31, 2014, respectively, and are included in accounts payable in the Company’s condensed consolidated balance sheets.</w:t>
      </w:r>
    </w:p>
    <w:p>
      <w:pPr>
        <w:spacing w:after="0" w:line="16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TCP reimburses the Company for a proportionate share of the Company’s rent and related operating expense costs for the leased facility. TCP’s portion of rent and related operating expense costs for the shared space at the Austin, Texas facility was $22,000 and $21,000 for the three months ended June 30, 2015 and 2014, respectively, and $45,000 and $41,000 for the six months ended June 30, 2015 and 2014, respectively, is included in other income, net in the Company’s condensed statements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record a provision or benefit for income taxes during the three and six months ended June 30, 2015 and 2014,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maintain a full valuation allowance against its net deferred tax assets.</w:t>
      </w:r>
    </w:p>
    <w:p>
      <w:pPr>
        <w:spacing w:after="0" w:line="211"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As of June 30, 2015, the Company had unrecognized tax benefits of $1.6 million, none of which would currently affect the Company’s effective tax rate if recognized due to the Company’s net deferred tax assets being fully offset by a valuation allowance. The Company does not anticipate that the amount of unrecognized tax benefits relating to tax positions existing at June 30, 2015 will significantly increase or decrease within the next 12 months. There was no interest expense or penalties related to unrecognized tax benefits recorded through June 30, 2015.</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in light of changing facts and circumstances. Settlement of any particular position could require the use of cash.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the condensed consolidated financial statements and the related notes included in Item 1 of Part I of this Quarterly Report on Form 10-Q, and with our audited financial statements and the related notes included in our Annual Report on Form 10-K for the year ended December 31, 2014.</w:t>
      </w:r>
    </w:p>
    <w:p>
      <w:pPr>
        <w:spacing w:after="0" w:line="46"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expectations regarding capital expenditures; our anticipated cash needs and our estimates regarding our capital requirements; our need for additional financing; potential future sources of cash; our business strategy and our ability to execute our strategy; our ability to achieve and maintain reimbursement from third-party payers at acceptable levels; our belief that our published evidence provides a basis for inclusion of our Afirma GEC test in practice guidelines; the estimated size of the global markets for our current and future tests; the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including tests for lung cancer and interstitial lung disease, and the timeframes for development or commercialization; our ability to get our data and clinical studies accepted in peer-reviewed publications; our dependence on and the terms of our agreements with Genzyme and TCP, and on other strategic relationships, and the success of those relationships; our beliefs regarding our laboratory capacity; the applicability of clinical results to actual outcomes; our expectations regarding our international expansion, including entering new international markets and the timing thereof; the occurrence, timing, outcome or success of clinical trials or studies; the ability of our tests to impact treatment decisions; our beliefs regarding our competitive position; our ability to compete with potential competitors; our compliance with federal, state and international regulations; the potential impact of regulation of our tests by the FDA or other regulatory bodies; the impact of new or changing policies, regulation or legislation, or of judicial decisions, on our business; our ability to comply with the requirements of being a public company; the impact of seasonal fluctuations and economic conditions on our business; our belief that we have taken reasonable steps to protect our intellectual property; the impact of accounting pronouncements and our critical accounting policies, judgments, estimates, models and assumptions on our financial results; and anticipated trends and challenges in our business and the markets in which we operate.</w:t>
      </w:r>
    </w:p>
    <w:p>
      <w:pPr>
        <w:spacing w:after="0" w:line="33" w:lineRule="exact"/>
        <w:rPr>
          <w:sz w:val="20"/>
          <w:szCs w:val="20"/>
          <w:color w:val="auto"/>
        </w:rPr>
      </w:pPr>
    </w:p>
    <w:p>
      <w:pPr>
        <w:ind w:right="100" w:firstLine="648"/>
        <w:spacing w:after="0" w:line="268" w:lineRule="auto"/>
        <w:rPr>
          <w:sz w:val="20"/>
          <w:szCs w:val="20"/>
          <w:color w:val="auto"/>
        </w:rPr>
      </w:pPr>
      <w:r>
        <w:rPr>
          <w:rFonts w:ascii="Arial" w:cs="Arial" w:eastAsia="Arial" w:hAnsi="Arial"/>
          <w:sz w:val="17"/>
          <w:szCs w:val="17"/>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as well as risks and uncertainties related to: our limited operating history and history of losses since inception; our ability to increase usage of and reimbursement for the Afirma GEC and any other tests we may develop, including the Percepta test; our dependence on a limited number of payers for a significant portion of our revenue; the complexity, time and expense associated with billing and collecting for our test; current and future laws, regulations and judicial decisions applicable to our business, including potential regulation by the FDA or by regulatory bodies outside of the United States; changes in legislation related to the U.S. healthcare system; our dependence on strategic relationships, collaborations and co-promotion arrangements; unanticipated delays in research and development efforts; our ability to develop and commercialize new products and the timing of commercialization; our ability to successfully enter new product or geographic markets; our ability to conduct clinical studies and the outcomes of such clinical studies; the applicability of clinical results to actual outcomes; trends and challenges in our business; our ability to compete against other companies and products; our ability to protect our intellectual property; and our ability to obtain capital when needed.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9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Veracyte, Afirma, Percepta, the Veracyte logo and the Afirma logo are our trademarks or registered trademarks. We also refer to trademarks of other corporations or organizations in this report.</w:t>
      </w:r>
    </w:p>
    <w:p>
      <w:pPr>
        <w:sectPr>
          <w:pgSz w:w="11900" w:h="16838" w:orient="portrait"/>
          <w:cols w:equalWidth="0" w:num="1">
            <w:col w:w="11420"/>
          </w:cols>
          <w:pgMar w:left="240" w:top="125" w:right="239" w:bottom="0" w:gutter="0" w:footer="0" w:header="0"/>
        </w:sectPr>
      </w:pPr>
    </w:p>
    <w:bookmarkStart w:id="14" w:name="page15"/>
    <w:bookmarkEnd w:id="14"/>
    <w:p>
      <w:pPr>
        <w:spacing w:after="0" w:line="114"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We are a diagnostics company pioneering the field of molecular cytology, focusing on genomic solutions that resolve diagnostic ambiguity and enable physicians to make more informed treatment decisions at an early stage in patient care. By improving preoperative diagnostic accuracy, we aim to help patients avoid unnecessary invasive procedures while reducing healthcare costs. Our first commercial solution, the Afirma Thyroid FNA Analysis, or Afirma, centers on the proprietary Gene Expression Classifier, or GEC, to resolve ambiguity in diagnosis and is becoming a new standard of care in thyroid nodule assessment. The GEC helps physicians reduce the number of unnecessary surgeries by approximately 50% by employing a proprietary 142-gene signature to preoperatively identify benign thyroid nodules among those deemed indeterminate by cytopathology alone. We have demonstrated the clinical utility and cost effectiveness of the GEC in multiple studies published in peer-reviewed journals and established the clinical validity of the GEC in a study published in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New England Journal of Medicine </w:t>
      </w:r>
      <w:r>
        <w:rPr>
          <w:rFonts w:ascii="Arial" w:cs="Arial" w:eastAsia="Arial" w:hAnsi="Arial"/>
          <w:sz w:val="17"/>
          <w:szCs w:val="17"/>
          <w:color w:val="auto"/>
        </w:rPr>
        <w:t>in 2012. The comprehensive Afirma offering also includes cytopathology testing and the Afirma Malignancy Classifiers,</w:t>
      </w:r>
      <w:r>
        <w:rPr>
          <w:rFonts w:ascii="Arial" w:cs="Arial" w:eastAsia="Arial" w:hAnsi="Arial"/>
          <w:sz w:val="17"/>
          <w:szCs w:val="17"/>
          <w:i w:val="1"/>
          <w:iCs w:val="1"/>
          <w:color w:val="auto"/>
        </w:rPr>
        <w:t xml:space="preserve"> </w:t>
      </w:r>
      <w:r>
        <w:rPr>
          <w:rFonts w:ascii="Arial" w:cs="Arial" w:eastAsia="Arial" w:hAnsi="Arial"/>
          <w:sz w:val="17"/>
          <w:szCs w:val="17"/>
          <w:color w:val="auto"/>
        </w:rPr>
        <w:t>launched in May 2014. Since we commercially launched Afirma in January 2011, we have received over 165,000 FNA samples for evaluation using Afirma and performed nearly 40,000 GECs to resolve indeterminate cytopathology results.</w:t>
      </w:r>
    </w:p>
    <w:p>
      <w:pPr>
        <w:spacing w:after="0" w:line="4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We are expanding our molecular cytology franchise into other clinical areas of unmet need, focusing first on difficult-to-diagnose lung diseases, where current diagnostic ambiguity frequently requires invasive, risky and costly procedures to obtain a definitive diagnosis. Through our acquisition of Allegro Diagnostics Corp., or Allegro, in September 2014, we acquired our genomic test aimed at improving the risk stratification of patients with lung nodules that are suspicious for cancer. Our proprietary technology has been developed to help physicians determine which patients with non-diagnostic bronchoscopy results can be safely monitored with routine CT scans versus an invasive surgical biopsy. In April 2015, we entered the lung cancer diagnostics market with the Percepta Bronchial Genomic Classifier, a new genomic test to resolve ambiguity in lung cancer diagnosis. We have demonstrated the validity of the Percepta test in our prospective multi-center AEGIS I and AEGIS II studies which were published in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xml:space="preserve"> in July 2015</w:t>
      </w:r>
      <w:r>
        <w:rPr>
          <w:rFonts w:ascii="Arial" w:cs="Arial" w:eastAsia="Arial" w:hAnsi="Arial"/>
          <w:sz w:val="18"/>
          <w:szCs w:val="18"/>
          <w:i w:val="1"/>
          <w:iCs w:val="1"/>
          <w:color w:val="auto"/>
        </w:rPr>
        <w:t>.</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Our second pulmonology product, which we currently plan to introduce in 2016, is intended to help patients with suspected interstitial lung diseases, or ILDs, specifically idiopathic pulmonary fibrosis, or IPF, obtain an accurate diagnosis without surgery. ILDs present a significant challenge for diagnosis today without invasive surgical biopsy, leaving many patients with ambiguous diagnoses that can lead to suboptimal or even harmful treatment.</w:t>
      </w:r>
    </w:p>
    <w:p>
      <w:pPr>
        <w:spacing w:after="0" w:line="14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 November 2014, we signed an Amended and Restated U.S. Co-promotion Agreement, or Amended Agreement, with Genzyme that reduced the co-promotion fees we owe to Genzyme from 32% to 15% beginning January 1, 2015. The Amended Agreement expires in January 2027. In February 2015, we entered into an Ex-U.S. Co-promotion Agreement, or Ex-U.S. Agreement, with Genzyme for the promotion of the Afirma GEC test with exclusivity in five countries outside the United States initially and in other countries agreed to from time to time. The term of the agreement is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w:t>
      </w:r>
    </w:p>
    <w:p>
      <w:pPr>
        <w:spacing w:after="0" w:line="16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increased the list price billed for the GEC from $4,875 to $6,400 per test in July 2015, while the list price billed for routine cytopathology remained at $490 per test. We obtained Medicare coverage for the GEC effective in January 2012 and contracted reimbursement at an agreed upon rate of $3,200. We received positive coverage determinations from United Healthcare and Cigna in 2013 and in late 2014 signed contracts with these payers establishing in-network allowable rates for both our GEC and cytopathology tests. Aetna granted positive coverage in 2014, and in June 2015 we signed a contract which established in-network allowable rates for our thyroid tests. We have also received positive coverage determinations from numerous other commercial payers and, as of June 2015, the GEC is covered by payers representing nearly 150 million covered lives. We now have over 120 million lives under contract. Payers that have agreed to pay for Afirma under contract are also counted as covered lives. Contracted and reimbursement rates vary by payer.</w:t>
      </w:r>
    </w:p>
    <w:p>
      <w:pPr>
        <w:spacing w:after="0" w:line="16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recognized revenue of $11.9 million and $23.1 million in the three and six months ended June 30, 2015, an increase of $3.2 million and $7.0 million, or 37% and 43%, respectively, compared to the same periods in 2014. We incurred a net loss of $9.1 million and $16.7 million for the three and six months ended June 30, 2015 compared to a net loss of $6.7 million and $13.3 million in the same periods in 2014. As of June 30, 2015, we had an accumulated deficit of $131.8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Number of FNAs We Receive and Test</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growth in our business is tied to the number of FNAs we receive and the number of GECs performed. Approximately 89% of FNAs we receive are for the Afirma solution, which consists of services related to rendering a cytopathology diagnosis, and if the cytopathology result is indeterminate, the GEC is performed. The remaining approximate 11% of FNAs are received from customers performing cytopathology and when the cytopathology result is indeterminate the FNA is sent to us for the GEC only. The rate at which adoption occurs in these two settings will cause these two percentages to fluctuate over time. Less than 1% of the FNA samples we receive for cytopathology have insufficient cellular material from which to render a cytopathology diagnosis. We only bill the technical component, including slide preparation, for these tests. For results that are benign or suspicious/malignant by cytopathology, we bill for these services when we issue the report to the physician. If the cytopathology result is indeterminate, defined as atypia/follicular lesions of undetermined significance (AUS/FLUS) or suspicious for FN/HCN, we perform the GEC. Historically, approximately 14%-17% of samples we have received for the Afirma solution have yielded indeterminate results by cytopathology. Approximately 5%-10% of the samples for GEC testing have insufficient ribonucleic acid, or RNA, from which to render a result. The GEC can be reported as Benign, Suspicious or No Result. We bill for the GEC Benign and GEC Suspicious results only. After the GEC is completed, we issue the cytopathology report for the indeterminate results as well as the GEC report, and then bill for both of these tests.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the amount billed.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Afirma</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To date, only a small number of payers have reimbursed us for Afirma at full list price. Revenue growth depends on both our ability to achieve broader reimbursement at increased levels from third-party payers and to expand our base of prescribing physicians and increase our penetration in existing accounts. Because some payers consider the GEC experimental and investigational, we may not receive payment on many tests and payments may not be at</w:t>
      </w:r>
    </w:p>
    <w:p>
      <w:pPr>
        <w:sectPr>
          <w:pgSz w:w="11900" w:h="16952" w:orient="portrait"/>
          <w:cols w:equalWidth="0" w:num="1">
            <w:col w:w="11400"/>
          </w:cols>
          <w:pgMar w:left="240" w:top="125" w:right="259" w:bottom="0" w:gutter="0" w:footer="0" w:header="0"/>
        </w:sectPr>
      </w:pPr>
    </w:p>
    <w:bookmarkStart w:id="15" w:name="page16"/>
    <w:bookmarkEnd w:id="15"/>
    <w:p>
      <w:pPr>
        <w:spacing w:after="0" w:line="273" w:lineRule="auto"/>
        <w:rPr>
          <w:sz w:val="20"/>
          <w:szCs w:val="20"/>
          <w:color w:val="auto"/>
        </w:rPr>
      </w:pPr>
      <w:r>
        <w:rPr>
          <w:rFonts w:ascii="Arial" w:cs="Arial" w:eastAsia="Arial" w:hAnsi="Arial"/>
          <w:sz w:val="17"/>
          <w:szCs w:val="17"/>
          <w:color w:val="auto"/>
        </w:rPr>
        <w:t>acceptable levels compared to what we have billed. We expect our revenue growth will increase as more payers make a positive coverage decision and as payers enter into contracts with us, which should enhance our accrued revenue and collections. To drive increased adoption of Afirma, we increased our internal sales force in high-volume geographies domestically during 2014 and are continuing to do so, to a lesser extent, in 2015, along with increasing our marketing efforts. We have also hired institutional channel managers to focus on the institutional segment, which accounts generally send us only GECs. If we are unable to expand the base of prescribing physicians and penetration within these accounts at an acceptable rate, or if we are not able to execute our strategy for increasing reimbursement, we may not be able to effectively increase our revenue.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 large portion of our revenue is recognized upon the earlier of receipt of third-party notification of payment or when cash is received. For Medicare and certain other payers where we have an agreed upon reimbursement rate or we are able to make a reasonable estimate of reimbursement at the time delivery is complete, we recognize the related revenue on an accrual basis. In the first period in which revenue is accrued for a particular payer, there generally is a one-time increase in revenue. Until we have contracts with or can make a reasonable estimate of reimbursement from a larger number of payers, we will recognize a large portion of our revenue upon the earlier of notification of payment or when cash is received. Additionally, as we commercialize new products, we will need to contract with or be able to make a reasonable estimate of reimbursement for each payer for each new product offering prior to being able to recognize the related revenue on an accrual basis. Because the timing and amount of cash payments received from payers is difficult to predict, we expect that our revenue will fluctuate significantly in any given quarter. In addition, even if we begin to accrue larger amounts of revenue related to Afirma, when we introduce new products, we do not expect we will be able to recognize revenue from new products on an accrual basis for some period of time. This may result in continued fluctuations in our revenue.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recognized when cash is received and on an accrual basis for the three and six months ended June 30, 2015 and 2014 was as follows:</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47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when cash is received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5,321</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6,046</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11,153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Revenue recognized on an accrual basis</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6,587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2,631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11,973</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4,990</w:t>
            </w:r>
          </w:p>
        </w:tc>
      </w:tr>
      <w:tr>
        <w:trPr>
          <w:trHeight w:val="210"/>
        </w:trPr>
        <w:tc>
          <w:tcPr>
            <w:tcW w:w="4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of June 30, 2015, amounts billed in the last six months at list price, for tests processed which were not recognized as revenue upon delivery of a patient report because our accrual revenue recognition criteria were not met and for which we have not received notification of payment, collected cash or written off as uncollectible, totaled $26.4 million.</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of December 31, 2014, amounts billed in the last 12 months at list price, for tests processed which were not recognized as revenue upon delivery of a patient report because our accrual revenue recognition criteria were not met and for which we have not received notification of payment, collected cash or written off as uncollectible, totaled $47.1 million. Of this amount, we recognized revenue of $2.7 million and $7.3 million in the three and six months ended June 30, 2015, respectively, when cash was received.</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Although primarily all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revenue from previously performed but unpaid tests. Revenue from these tests, if any, may not be equal to the billed amount due to a number of factors, including differences in reimbursement rates, the amounts of patient co-payments and co-insurance, the existence of secondary payers and claims denials.</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 Accordingly, any revenue that we recognize as a result of cash collection in respect of previously performed but unpaid tests will favorably impact our liquidity and results of operations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Genzyme Co-promotion Agreement</w:t>
      </w:r>
    </w:p>
    <w:p>
      <w:pPr>
        <w:spacing w:after="0" w:line="225"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The $10.0 million up-front co-promotion fee we received from Genzyme under the Co-promotion Agreement dated as of January 18, 2012 is being amortized over the estimated useful life based on the provisions of the agreement, and is recorded as a reduction to selling and marketing expenses. We amortized $0.9 million and $1.3 million of the $10.0 million of this fee in the six months ended June 30, 2015 and 2014, respectively, which is reflected as a reduction to selling and marketing expenses in our condensed consolidated statements of operations and comprehensive loss. The 2012 agreement required that we pay a certain percentage of our cash receipts from the sale of the Afirma GEC test to Genzyme, which percentage decreased over time. The percentage was initially 50%, 40% from January 2013 through February 2014, 32% from February 2014 through December 2014, and decreased to 15% in January 2015. Our co-promotion fees were $1.7 million and $3.4 million in the three and six months ended June 30, 2015, respectively, compared to $2.7 million and $5.5 million in the same periods in 2014, and are included in selling and marketing expenses in our condensed consolidated statements of operations and comprehensive loss.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November 2014, we signed an Amended and Restated U.S. Co-promotion Agreement, or Amended Agreement, with Genzyme. Under the Amended Agreement, the co-promotion fees Genzyme receives as a percentage of U.S. cash receipts from the sale of the Afirma GEC test were reduced from 32% to 15% beginning January 1, 2015. Further, we have agreed to assume more responsibilities for sales and marketing activities. Either party may terminate the agreement with six months prior notice, however, neither party can terminate the agreement for convenience prior to June 30, 2016. Our agreement with Genzyme expires in January 2027.</w:t>
      </w:r>
    </w:p>
    <w:p>
      <w:pPr>
        <w:sectPr>
          <w:pgSz w:w="11900" w:h="16838" w:orient="portrait"/>
          <w:cols w:equalWidth="0" w:num="1">
            <w:col w:w="11420"/>
          </w:cols>
          <w:pgMar w:left="240" w:top="125" w:right="239" w:bottom="0" w:gutter="0" w:footer="0" w:header="0"/>
        </w:sectPr>
      </w:pPr>
    </w:p>
    <w:bookmarkStart w:id="16" w:name="page17"/>
    <w:bookmarkEnd w:id="16"/>
    <w:p>
      <w:pPr>
        <w:ind w:right="40" w:firstLine="648"/>
        <w:spacing w:after="0" w:line="255" w:lineRule="auto"/>
        <w:rPr>
          <w:sz w:val="20"/>
          <w:szCs w:val="20"/>
          <w:color w:val="auto"/>
        </w:rPr>
      </w:pPr>
      <w:r>
        <w:rPr>
          <w:rFonts w:ascii="Arial" w:cs="Arial" w:eastAsia="Arial" w:hAnsi="Arial"/>
          <w:sz w:val="18"/>
          <w:szCs w:val="18"/>
          <w:color w:val="auto"/>
        </w:rPr>
        <w:t>In February 2015, we entered into an Ex-U.S. Co-promotion Agreement with Genzyme for the promotion of the Afirma GEC test with exclusivity in five countries outside the United States initially and in other countries agreed to from time to time. The term of the agreement is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 We will pay Genzyme 25% of net revenue from the sale of the Afirma GEC test in Brazil and Singapore over a five-year period commencing January 1, 2015. Beginning in the fourth year of the agreement, if we terminate the agreement for convenience, we may be required to pay a termination fee contingent on the number of GEC billable results generated.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rely on sales of Afirma to generate all of our revenue. In May 2014, we commercially launched our Afirma Malignancy Classifiers, which we believe enhances our Afirma Thyroid FNA Analysis as a comprehensive way to manage thyroid nodule patients and serve our current base of prescribing physicians. We are also pursuing development or acquisition of products for additional diseases to increase and diversify our revenue. For example, in September 2014 we acquired Allegro and with it, a molecular diagnostic lung cancer test designed to help physicians determine which patients with lung nodules who have had a non-diagnostic bronchoscopy result are at low risk for cancer and can thus be safely monitored with CT scans, rather than undergoing invasive procedures. We launched the Percepta Bronchial Genomic Classifier, the test acquired from Allegro, in April 2015. Additionally, we are pursuing a solution for interstitial lung disease that will offer an alternative to surgery by developing a genomic signature to classify samples collected through less invasive bronchoscopy techniques. Accordingly, we expect to continue to invest heavily in research and development in order to expand the capabilities of our solutions and to develop additional products. Our success in developing or acquiring new products will be important in our efforts to grow our business by expanding the potential market for our products and diversifying our sources of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Seasonal Fluctuations in FNAs Received, GEC Test Volume and Collections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business is subject to fluctuations in the number of FNA samples received for both cytopathology and GEC testing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Additionally, we may receive fewer FNAs in the winter months due to severe weather if patients are not able to visit their doctor’s office. Our reimbursed rates and cash collections are also subject to seasonality. Medicare normally makes adjustments in its fee schedules at the beginning of the year which may affect our reimbursement. Additionally, some plans reset their deductibles at the beginning of each year which means that patients early in the year are responsible for a greater portion of the cost of our tests, and we have lower collection rates from individuals than from third-party payers. Later in the year, particularly in the fourth quarter, we experience improved payment results as third-party payers tend to clear pending claims toward year end. This trend historically has increased our cash collections in the fourth quarter. The effects of these seasonal fluctuations in prior periods may have been obscured by the growth of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Through June 30, 2015, all of our revenues have been derived from the sale of Afirma. To date, Afirma has been delivered primarily to physicians in the United States. We generally invoice third-party payers upon delivery of a patient report to the prescribing physician. As such, we take the assignment of benefits and the risk of collection from the third-party payer and individual patients. Our third-party payers in excess of 10% of revenue and their related revenue as a percentage of revenue were as follows:</w:t>
      </w:r>
    </w:p>
    <w:p>
      <w:pPr>
        <w:spacing w:after="0" w:line="179"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280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Three Months Ended June 30,</w:t>
            </w:r>
          </w:p>
        </w:tc>
        <w:tc>
          <w:tcPr>
            <w:tcW w:w="27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82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Aetna</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9%</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12%</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9%</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UnitedHealthcare</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28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28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the number of payers reimbursing for Afirma increases, the percentage of revenue derived from Medicare and other significant third-party payers has changed and will continue to change as a percentage of revenue.</w:t>
      </w:r>
    </w:p>
    <w:p>
      <w:pPr>
        <w:spacing w:after="0" w:line="17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For tests performed where we have an agreed upon reimbursement rate or we are able to make a reasonable estimate of reimbursement at the time delivery is complete, such as in the case of Medicare and certain other payers, we recognize the related revenue upon delivery of a patient report to the prescribing physician based on the established billing rate less contractual and other adjustments to arrive at the amount that we expect to collect. We determine the amount we expect to collect based on a per payer, per contract or agreement basis. The expected amount is typically lower than, if applicable, the agreed upon reimbursement amount due to several factors, such as the amount of patient co-payments, the existence of secondary payers and claim denials. In other situations, where we are not able to make a reasonable estimate of reimbursement, we recognize revenue upon the earlier of receipt of third-party payer notification of payment or when cash is received. Incremental accrued revenue as a result of additional payer(s) meeting our revenue recognition</w:t>
      </w:r>
    </w:p>
    <w:p>
      <w:pPr>
        <w:sectPr>
          <w:pgSz w:w="11900" w:h="16838" w:orient="portrait"/>
          <w:cols w:equalWidth="0" w:num="1">
            <w:col w:w="11420"/>
          </w:cols>
          <w:pgMar w:left="240" w:top="125" w:right="239" w:bottom="0" w:gutter="0" w:footer="0" w:header="0"/>
        </w:sectPr>
      </w:pPr>
    </w:p>
    <w:bookmarkStart w:id="17" w:name="page18"/>
    <w:bookmarkEnd w:id="17"/>
    <w:p>
      <w:pPr>
        <w:ind w:right="100"/>
        <w:spacing w:after="0" w:line="273" w:lineRule="auto"/>
        <w:rPr>
          <w:sz w:val="20"/>
          <w:szCs w:val="20"/>
          <w:color w:val="auto"/>
        </w:rPr>
      </w:pPr>
      <w:r>
        <w:rPr>
          <w:rFonts w:ascii="Arial" w:cs="Arial" w:eastAsia="Arial" w:hAnsi="Arial"/>
          <w:sz w:val="17"/>
          <w:szCs w:val="17"/>
          <w:color w:val="auto"/>
        </w:rPr>
        <w:t>criteria in the three and six months ended June 30, 2015 was approximately $0.2 million and $0.5 million, respectively. Upon ultimate collection, the amount received from Medicare and commercial payers where reimbursement was estimated is compared to previous estimates and the contractual allowance is adjusted accordingly. Our ability to increase our revenue will depend on our ability to penetrate the market, obtain positive coverage policies from additional third-party payers, obtain reimbursement and/or enter into contracts with additional third-party payers, and increase reimbursement rates for tests performed. Finally, should we recognize revenue from payers on an accrual basis and later determine the judgments underlying estimated reimbursement change, our financial results could be negatively impacted in future quarters.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components of our cost of revenue are materials and service costs, including cytopathology testing services,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and will increase disproportionately our aggregate cost of revenue until we achieve efficiencies in processing these new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future periods as we continue to invest in research and development activities related to developing additional products and evaluating various platforms. We expect that in 2015 the increase in research and development expenses will be for the continued development and support of the Afirma and Percepta tests and other new products and programs under development, including our ILD programs. Specifically, we plan to: increase the body of clinical evidence to support Afirma; incur research and development expenses associated with clinical utility studies to support the commercialization of Percepta; and incur expenses associated with clinical validation studies in our ILD program.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Selling and marketing expenses consist of personnel costs, including stock-based compensation expense, direct marketing expenses, consulting costs, and allocated overhead including rent, information technology, equipment depreciation and utilities. In addition, up-front co-promotion fees paid to Genzyme, net of amortization, are included in selling and marketing expenses. In November 2014, we amended the co-promotion agreement with Genzyme. As a result of this amendment, we expect our selling and marketing expenses for Afirma to remain relatively flat during 2015. Our personnel costs have increased as we have taken on more sales and marketing responsibilities related to Afirma, but these increases are offset by the lower rate we are required to pay Genzyme under the agreement beginning in January 2015. Additionally, in 2015, we have begun to incur selling and marketing expenses as a result of investments in our lung product portfolio. Therefore, we believe total selling and marketing expenses will continue to increase in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General and administrative expenses include executive, finance and accounting, human resources, legal, billing and client services, and quality and regulatory functions. These expenses include personnel costs, including stock-based compensation expense, audit and legal expenses, consulting costs, costs associated with being a public company, and allocated overhead including rent, information technology, equipment depreciation and utilities. The year ended December 31, 2014 also included transaction costs related to the acquisition of Allegro in September 2014, including charges for merger related severance and bonuses. We expect our general and administration expenses will continue to increase during 2015 as we expand our billing group to support anticipated increased demand for our tests, hire more personnel in accounting and finance, incur increasing expenses related to the documentation of our internal controls in connection with compliance with Section 404 of the Sarbanes-Oxley Act of 2002, and incur greater legal costs for patent prosecution, for public company compliance and for general corporate purposes. Additionally, while we do not begin to make rent payments for our new headquarters space until April 2016, following expiration of our current lease and build out of our new facility, in accordance with generally accepted accounting principles, the rent is expensed on a straight-line basis over the lease period. Prior to beginning to utilize the space, this rent expense is being charged to general and administrative; the amount is approximately $0.5 million per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Intangible asset amortization began in April 2015 when we launched the Percepta test and as a result reclassified the indefinite-lived intangible asset to a finite-lived intangible asset. The finite-lived intangible asset with a cost of $16.0 million is being amortized over 15 years, using the straight-line method.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attributable to our borrowings under our loan and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Other income, net consists primarily of sublease rental income, interest income received from payers and from our cash equivalents, partially offset by amortization of debt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ectPr>
          <w:pgSz w:w="11900" w:h="16838" w:orient="portrait"/>
          <w:cols w:equalWidth="0" w:num="1">
            <w:col w:w="11420"/>
          </w:cols>
          <w:pgMar w:left="240" w:top="125" w:right="239" w:bottom="0" w:gutter="0" w:footer="0" w:header="0"/>
        </w:sectPr>
      </w:pPr>
    </w:p>
    <w:bookmarkStart w:id="18" w:name="page19"/>
    <w:bookmarkEnd w:id="18"/>
    <w:p>
      <w:pPr>
        <w:spacing w:after="0" w:line="11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unaudited interim condensed financial statements, which have been prepared in accordance with United States generally accepted accounting principles, or U.S. GAAP. The preparation of the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Our revenue is generated from the provision of diagnostic services using the Afirma solution. Our service is completed upon the delivery of test results to the prescribing physician which triggers the billing for the service. We recognize revenue related to billings for Medicare and commercial payers on an accrual basis, net of contractual adjustments, when we can reasonably estimate reimbursement. These contractual adjustments represent the difference between the list price (the billing rate) and the reimbursement rate for each payer. Upon ultimate collection, the amount received from Medicare and commercial payers where reimbursement was estimated is compared to previous estimates and the contractual allowance is adjusted accordingly. Until a contract has been negotiated with a commercial payer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us. In the absence of an agreement or other clearly enforceable legal right to demand payment from the patient, the related revenue is only recognized upon the earlier of payment notification, if applicable, or cash receipt.</w:t>
      </w:r>
    </w:p>
    <w:p>
      <w:pPr>
        <w:spacing w:after="0" w:line="16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For all services performed, we consider whether or not the following revenue recognition criteria are met: persuasive evidence of an arrangement exists; delivery has occurred or services have been rendered; and a reasonable estimate of reimbursement can be made.</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Persuasive evidence of an arrangement exists and delivery is deemed to have occurred upon delivery of a patient report to the prescribing physician. The assessment of whether a reasonable estimate of reimbursement can be made requires significant judgment by management. Where our judgment indicates a reasonable estimate of reimbursement can be made, we recognize revenue upon delivery of the patient report. Some patients have out-of-pocket costs for amounts not covered by their insurance carrier, and we may bill the patient directly for these amounts in the form of co-payments and co-insurance in accordance with their insurance carrier and health plans. Some payers may not cover our tests as ordered by the prescribing physician under their reimbursement policies. We pursue reimbursement from such patients on a case-by-case basis.</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the absence of contracted reimbursement coverage or the ability to reasonably estimate reimbursement, we recognize revenue upon the earlier of receipt of third-party payer notification of payment or when cash is received.</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use judgment in determining if we are able to make a reasonable estimate of reimbursement. We also use judgment in estimating the amounts we expect to collect by payer. Our judgments will continue to evolve in the future as we continue to gain payment experience with third-party payers and patients.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estimate an allowance for doubtful accounts against our individual accounts receivable based on estimates of expected payment consistent with historical payment experience. Our allowance for doubtful accounts is evaluated on a regular basis and adjusted when trends or significant events indicate that a change in estimate is appropriate. Accounts receivable are written off against the allowance when the appeals process is exhausted or when there is other substantive evidence that the account will not be paid.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account for acquisitions using the acquisition method of accounting which requires the recognition of tangible and identifiable intangible assets acquired and liabilities assumed at their estimated fair values as of the business combination date. We allocate any excess purchase price over the estimated fair value assigned to the net tangible and identifiable intangible assets acquired and liabilities assumed to goodwill. Transaction costs are expensed as incurred in general and administrative expenses. Results of operations and cash flows of acquired companies are included in our operating results from the date of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Finite-lived Intangible Assets</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Finite-lived intangible assets relates to intangible assets reclassified from indefinite-lived intangible assets, following the launch of Percepta in April 2015. We amortize finite-lived intangible assets using the straight-line method, over their estimated useful life. The estimated useful life of 15 years was used for the intangible asset related to Percepta based on management’s estimate of product life, product life of other diagnostic tests and patent life. We review this finite-lived intangible asset for impairment when facts or circumstances indicate a reduction in the fair value below its carrying amount.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Intangible Assets — In-process Research and Development</w:t>
      </w:r>
    </w:p>
    <w:p>
      <w:pPr>
        <w:spacing w:after="0" w:line="225" w:lineRule="exact"/>
        <w:rPr>
          <w:sz w:val="20"/>
          <w:szCs w:val="20"/>
          <w:color w:val="auto"/>
        </w:rPr>
      </w:pPr>
    </w:p>
    <w:p>
      <w:pPr>
        <w:jc w:val="both"/>
        <w:ind w:right="440" w:firstLine="648"/>
        <w:spacing w:after="0" w:line="312" w:lineRule="auto"/>
        <w:rPr>
          <w:sz w:val="20"/>
          <w:szCs w:val="20"/>
          <w:color w:val="auto"/>
        </w:rPr>
      </w:pPr>
      <w:r>
        <w:rPr>
          <w:rFonts w:ascii="Arial" w:cs="Arial" w:eastAsia="Arial" w:hAnsi="Arial"/>
          <w:sz w:val="16"/>
          <w:szCs w:val="16"/>
          <w:color w:val="auto"/>
        </w:rPr>
        <w:t>The Company’s indefinite-lived intangible assets are comprised of acquired in-process research and development, or IPR&amp;D. The fair value of IPR&amp;D acquired through a business combination is capitalized as an indefinite-lived intangible asset until the completion or abandonment of the related research and development activities. When research and development is complete, the associated assets are amortized on a straight-line basis over their</w:t>
      </w:r>
    </w:p>
    <w:p>
      <w:pPr>
        <w:sectPr>
          <w:pgSz w:w="11900" w:h="16952" w:orient="portrait"/>
          <w:cols w:equalWidth="0" w:num="1">
            <w:col w:w="11400"/>
          </w:cols>
          <w:pgMar w:left="240" w:top="125" w:right="259" w:bottom="0" w:gutter="0" w:footer="0" w:header="0"/>
        </w:sectPr>
      </w:pPr>
    </w:p>
    <w:bookmarkStart w:id="19" w:name="page20"/>
    <w:bookmarkEnd w:id="19"/>
    <w:p>
      <w:pPr>
        <w:jc w:val="both"/>
        <w:ind w:right="140"/>
        <w:spacing w:after="0" w:line="279" w:lineRule="auto"/>
        <w:rPr>
          <w:sz w:val="20"/>
          <w:szCs w:val="20"/>
          <w:color w:val="auto"/>
        </w:rPr>
      </w:pPr>
      <w:r>
        <w:rPr>
          <w:rFonts w:ascii="Arial" w:cs="Arial" w:eastAsia="Arial" w:hAnsi="Arial"/>
          <w:sz w:val="17"/>
          <w:szCs w:val="17"/>
          <w:color w:val="auto"/>
        </w:rPr>
        <w:t>estimated useful lives. IPR&amp;D is tested for impairment annually or more frequently if events or circumstances indicate that the fair value may be below the carrying value of the asset. The Company recognizes an impairment loss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was no impairment for the six months ended June 30,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review goodwill for impairment annually or more frequently if events or circumstances indicate that it may be impaired. Our goodwill evaluation is based on both qualitative and quantitative assessments regarding the fair value of goodwill relative to its carrying value. We have determined that we operate in a single segment and have a single reporting unit associated with the development and commercialization of diagnostic products. In the event we determine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We perform our annual evaluation of goodwill during the fourth quarter of each fiscal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file U.S. federal income tax returns and tax returns in California, Texas and other states.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of December 31, 2014, our gross deferred tax assets were $43.4 million. The deferred tax assets were primarily comprised of federal and state tax net operating loss and tax credit carryforwards. Utilization of the net operating loss and tax credit carryforwards may be subject to annual limitation due to 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17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are required to reduce our deferred tax assets by a valuation allowance if it is more-likely-than-not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based on all available evidence, we believe it is more-likely-than-not that our recorded net deferred tax assets will not be realized. Accordingly, we recorded a valuation allowance against all of our net deferred tax assets at June 30, 2015 and December 31, 2014. We will continue to maintain a full valuation allowance on our net deferred tax assets until there is sufficient evidence to support the reversal of all or some portion of this allowance.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recognize stock-based compensation cost for only those shares underlying stock options that we expect to vest on a straight-line basis over the requisite service period of the award. We estimate the fair value of stock options using a Black-Scholes option-pricing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2015 and 2014</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9"/>
              </w:rPr>
              <w:t>Three Months Ended June 30,</w:t>
            </w:r>
          </w:p>
        </w:tc>
        <w:tc>
          <w:tcPr>
            <w:tcW w:w="32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Dollar</w:t>
            </w:r>
          </w:p>
        </w:tc>
        <w:tc>
          <w:tcPr>
            <w:tcW w:w="920" w:type="dxa"/>
            <w:vAlign w:val="bottom"/>
          </w:tcPr>
          <w:p>
            <w:pPr>
              <w:jc w:val="right"/>
              <w:ind w:right="29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9"/>
              </w:rPr>
              <w:t>Change</w:t>
            </w:r>
          </w:p>
        </w:tc>
        <w:tc>
          <w:tcPr>
            <w:tcW w:w="10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(In thousands except GECs processed)</w:t>
            </w:r>
          </w:p>
        </w:tc>
        <w:tc>
          <w:tcPr>
            <w:tcW w:w="8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11,908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8,677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3,231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5,139</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3,966</w:t>
            </w:r>
          </w:p>
        </w:tc>
        <w:tc>
          <w:tcPr>
            <w:tcW w:w="3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1,173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2,243</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6,937</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5,101</w:t>
            </w:r>
          </w:p>
        </w:tc>
        <w:tc>
          <w:tcPr>
            <w:tcW w:w="3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1,836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5,536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3,928</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267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15,238</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(9,074)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(6,561)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(2,513)</w:t>
            </w: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Other Operating Data:</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GECs processed</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3,451</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Revenue increased $3.2 million, or 37%, for the three months ended June 30, 2015 compared to the same period in 2014. The increase was primarily due to increased adoption of Afirma, and, to a lesser extent, additional payers meeting our revenue recognition criteria for accrual, offset by a decrease in revenue recorded as cash is received. For the three months ended June 30, 2015 compared to the same period in 2014, revenue recognized when</w:t>
      </w:r>
    </w:p>
    <w:p>
      <w:pPr>
        <w:sectPr>
          <w:pgSz w:w="11900" w:h="16838" w:orient="portrait"/>
          <w:cols w:equalWidth="0" w:num="1">
            <w:col w:w="11400"/>
          </w:cols>
          <w:pgMar w:left="240" w:top="125" w:right="259" w:bottom="0" w:gutter="0" w:footer="0" w:header="0"/>
        </w:sectPr>
      </w:pPr>
    </w:p>
    <w:bookmarkStart w:id="20" w:name="page21"/>
    <w:bookmarkEnd w:id="20"/>
    <w:p>
      <w:pPr>
        <w:ind w:right="260"/>
        <w:spacing w:after="0" w:line="277" w:lineRule="auto"/>
        <w:rPr>
          <w:sz w:val="20"/>
          <w:szCs w:val="20"/>
          <w:color w:val="auto"/>
        </w:rPr>
      </w:pPr>
      <w:r>
        <w:rPr>
          <w:rFonts w:ascii="Arial" w:cs="Arial" w:eastAsia="Arial" w:hAnsi="Arial"/>
          <w:sz w:val="18"/>
          <w:szCs w:val="18"/>
          <w:color w:val="auto"/>
        </w:rPr>
        <w:t>cash was received decreased by approximately $0.7 million, or 12%, to $5.3 million. Revenue recognized on an accrual basis increased by approximately $4.0 million, or 150%, to $6.6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Cost of revenue increased $1.2 million, or 30%, for the three months ended June 30, 2015 compared to the same period in 2014. The increase was primarily due to an increase in variable costs that are directly related to the increase in the number of GEC and cytology samples processed, offset in part by continuing refinements in our testing process and economies of scale related to the increase in samples processed. GECs processed increased by 1,307, or 38%, to 4,758 in the three months ended June 30, 2015 compared to the same period in 2014. FNAs received increased by 3,528, or 21%, to 19,986 in the same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800" w:type="dxa"/>
            <w:vAlign w:val="bottom"/>
            <w:gridSpan w:val="7"/>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Dollar</w:t>
            </w:r>
          </w:p>
        </w:tc>
        <w:tc>
          <w:tcPr>
            <w:tcW w:w="122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2"/>
                <w:szCs w:val="12"/>
                <w:color w:val="auto"/>
              </w:rPr>
            </w:pPr>
          </w:p>
        </w:tc>
        <w:tc>
          <w:tcPr>
            <w:tcW w:w="11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9"/>
              </w:rPr>
              <w:t>Change</w:t>
            </w:r>
          </w:p>
        </w:tc>
      </w:tr>
      <w:tr>
        <w:trPr>
          <w:trHeight w:val="142"/>
        </w:trPr>
        <w:tc>
          <w:tcPr>
            <w:tcW w:w="43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Personnel related expense</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1,492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989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503</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Direct R&amp;D expense</w:t>
            </w:r>
          </w:p>
        </w:tc>
        <w:tc>
          <w:tcPr>
            <w:tcW w:w="7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687</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10"/>
        </w:trPr>
        <w:tc>
          <w:tcPr>
            <w:tcW w:w="4340" w:type="dxa"/>
            <w:vAlign w:val="bottom"/>
          </w:tcPr>
          <w:p>
            <w:pPr>
              <w:ind w:left="36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3,103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20" w:type="dxa"/>
            <w:vAlign w:val="bottom"/>
            <w:tcBorders>
              <w:bottom w:val="single" w:sz="8" w:color="auto"/>
            </w:tcBorders>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r>
      <w:tr>
        <w:trPr>
          <w:trHeight w:val="20"/>
        </w:trPr>
        <w:tc>
          <w:tcPr>
            <w:tcW w:w="4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 increased $0.9 million, or 38%, for the three months ended June 30, 2015 compared to the same period in 2014. The increase in personnel related expense was primarily due to a 29% increase in headcount at June 30, 2015 as compared to June 30, 2014. The increase in stock-based compensation expense reflects option grants to new and existing employees. The increase in other expense was primarily due to consulting, facility and equipment charges.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800" w:type="dxa"/>
            <w:vAlign w:val="bottom"/>
            <w:gridSpan w:val="7"/>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Dollar</w:t>
            </w: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Change</w:t>
            </w:r>
          </w:p>
        </w:tc>
        <w:tc>
          <w:tcPr>
            <w:tcW w:w="11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9"/>
              </w:rPr>
              <w:t>Change</w:t>
            </w:r>
          </w:p>
        </w:tc>
      </w:tr>
      <w:tr>
        <w:trPr>
          <w:trHeight w:val="142"/>
        </w:trPr>
        <w:tc>
          <w:tcPr>
            <w:tcW w:w="43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Genzyme co-promotion expense, net</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1,212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2,077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(865)</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 related expense</w:t>
            </w:r>
          </w:p>
        </w:tc>
        <w:tc>
          <w:tcPr>
            <w:tcW w:w="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3,251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1,281</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7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503</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7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1,264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476</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788</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r>
      <w:tr>
        <w:trPr>
          <w:trHeight w:val="210"/>
        </w:trPr>
        <w:tc>
          <w:tcPr>
            <w:tcW w:w="43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6,937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r>
        <w:trPr>
          <w:trHeight w:val="20"/>
        </w:trPr>
        <w:tc>
          <w:tcPr>
            <w:tcW w:w="4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Selling and marketing expense increased $1.8 million, or 36%, for the three months ended June 30, 2015 compared to the same period in 2014. The decrease in Genzyme co-promotion expense, net, reflects a reduction in the co-promotion percentage rate payable to Genzyme in the second quarter of 2015 as compared to the second quarter of 2014 under the Co-promotion Agreement with Genzyme, which was amended in November 2014, partially offset by growth in cash collections. The increase in personnel related expense was primarily due to a 52% increase in headcount of our sales force at June 30, 2015 as compared to June 30, 2014. The increase in stock-based compensation expense reflects option grants to new and existing employees. The increase in direct marketing expense was due primarily to increased marketing and promotional materials, trade shows and market research for Afirma and, to a lesser extent, lung-related marketing expenses. The increase in other expense was primarily due to consulting expenses and an increase in information technology and facilities expenses that were related to sales and marketing activities.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6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Dollar</w:t>
            </w:r>
          </w:p>
        </w:tc>
        <w:tc>
          <w:tcPr>
            <w:tcW w:w="960" w:type="dxa"/>
            <w:vAlign w:val="bottom"/>
          </w:tcPr>
          <w:p>
            <w:pPr>
              <w:jc w:val="right"/>
              <w:ind w:right="31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Change</w:t>
            </w:r>
          </w:p>
        </w:tc>
        <w:tc>
          <w:tcPr>
            <w:tcW w:w="11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Change</w:t>
            </w:r>
          </w:p>
        </w:tc>
      </w:tr>
      <w:tr>
        <w:trPr>
          <w:trHeight w:val="142"/>
        </w:trPr>
        <w:tc>
          <w:tcPr>
            <w:tcW w:w="43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Personnel related expense</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2,664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1,891</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773</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Professional fees expense</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1,032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868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164</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 and other facilities expense</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7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133</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0"/>
        </w:trPr>
        <w:tc>
          <w:tcPr>
            <w:tcW w:w="43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5,536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r>
      <w:tr>
        <w:trPr>
          <w:trHeight w:val="20"/>
        </w:trPr>
        <w:tc>
          <w:tcPr>
            <w:tcW w:w="4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General and administrative expense increased $1.6 million, or 41%, for the three months ended June 30, 2015 compared to the same period in 2014. The increase in personnel related expense was primarily due to a 20% increase in headcount at June 30, 2015 as compared to June 30, 2014. The increase in stock-based compensation expense was primarily due to option grants to new and existing employees. The increase in professional fees includes higher accounting, audit, legal and other corporate expenses including insurance. The increase in rent and other facilities expense is largely due to our new headquarters building being expensed to general and administrative prior to the space being utilized. The increase in other expense was due primarily to an increase in consulting expense of approximately $0.3 million, partially offset by decreases in information technology and facilities allocations as a result of increased headcount in other functions.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ectPr>
          <w:pgSz w:w="11900" w:h="16838" w:orient="portrait"/>
          <w:cols w:equalWidth="0" w:num="1">
            <w:col w:w="11320"/>
          </w:cols>
          <w:pgMar w:left="240" w:top="125" w:right="339" w:bottom="0" w:gutter="0" w:footer="0" w:header="0"/>
        </w:sectPr>
      </w:pPr>
    </w:p>
    <w:bookmarkStart w:id="21" w:name="page22"/>
    <w:bookmarkEnd w:id="21"/>
    <w:p>
      <w:pPr>
        <w:spacing w:after="0" w:line="4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Intangible asset amortization began in April 2015 when we launched Percepta and as a result reclassified the indefinite-lived intangible asset to a finite-lived intangible asset. The finite-lived intangible asset with a cost of $16.0 million is being amortized over 15 years, using the straight-line method. Intangible asset amortization of $267,000 was recorded in the three months ended June 30, 2015.</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Interest expense decreased $23,000 for the three months ended June 30, 2015 compared to the same period in 2014 reflecting the debt modification under the amended loan and security agreement entered into in December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Other income, net, increased $9,000 for the three months ended June 30, 2015 compared to the same period in 2014 primarily due to interest income received from payers and lower amortization of debt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2015 and 2014</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Dollar</w:t>
            </w:r>
          </w:p>
        </w:tc>
        <w:tc>
          <w:tcPr>
            <w:tcW w:w="960" w:type="dxa"/>
            <w:vAlign w:val="bottom"/>
          </w:tcPr>
          <w:p>
            <w:pPr>
              <w:jc w:val="right"/>
              <w:ind w:right="31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9"/>
              </w:rPr>
              <w:t>Change</w:t>
            </w:r>
          </w:p>
        </w:tc>
        <w:tc>
          <w:tcPr>
            <w:tcW w:w="11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900" w:type="dxa"/>
            <w:vAlign w:val="bottom"/>
            <w:tcBorders>
              <w:top w:val="single" w:sz="8" w:color="auto"/>
            </w:tcBorders>
            <w:gridSpan w:val="7"/>
          </w:tcPr>
          <w:p>
            <w:pPr>
              <w:jc w:val="right"/>
              <w:spacing w:after="0" w:line="142" w:lineRule="exact"/>
              <w:rPr>
                <w:sz w:val="20"/>
                <w:szCs w:val="20"/>
                <w:color w:val="auto"/>
              </w:rPr>
            </w:pPr>
            <w:r>
              <w:rPr>
                <w:rFonts w:ascii="Arial" w:cs="Arial" w:eastAsia="Arial" w:hAnsi="Arial"/>
                <w:sz w:val="14"/>
                <w:szCs w:val="14"/>
                <w:b w:val="1"/>
                <w:bCs w:val="1"/>
                <w:color w:val="auto"/>
              </w:rPr>
              <w:t>(In thousands except GECs processed)</w:t>
            </w:r>
          </w:p>
        </w:tc>
        <w:tc>
          <w:tcPr>
            <w:tcW w:w="8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23,126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16,153</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6,973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9,705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2,132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5,890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12,557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3,120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11,334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3,424</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267</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10,464</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(16,627)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(3,491)</w:t>
            </w: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rPr>
              <w:t>Other Operating Data:</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GECs processed</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8,778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2,229</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Revenue increased $7.0 million, or 43%, for the six months ended June 30, 2015 compared to the same period in 2014. The increase was primarily due to increased adoption of Afirma, additional payers meeting our revenue recognition criteria for accrual and, to a lesser extent, increased collections. For the six months ended June 30, 2015 compared to the same period in 2014, revenue recognized when cash was received was unchanged at approximately $11.1 million while revenue recognized on an accrual basis increased by approximately $7.0 million, or 140%, to $12.0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Cost of revenue increased $2.1 million, or 28%, for the six months ended June 30, 2015 compared to the same period in 2014. The increase was primarily due to an increase in variable costs that are directly related to the increase in the number of GEC and cytology samples processed, offset in part by continuing refinements in our testing process and economies of scale related to the increase in samples processed. GECs processed increased by 2,229, or 34%, to 8,778 in the six months ended June 30, 2015 compared to the same period in 2014. FNAs received increased by 6,470, or 21%, to 37,301 in the same periods.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20" w:type="dxa"/>
            <w:vAlign w:val="bottom"/>
            <w:gridSpan w:val="6"/>
          </w:tcPr>
          <w:p>
            <w:pPr>
              <w:ind w:left="42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4"/>
                <w:szCs w:val="14"/>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Dollar</w:t>
            </w:r>
          </w:p>
        </w:tc>
        <w:tc>
          <w:tcPr>
            <w:tcW w:w="960" w:type="dxa"/>
            <w:vAlign w:val="bottom"/>
          </w:tcPr>
          <w:p>
            <w:pPr>
              <w:jc w:val="right"/>
              <w:ind w:right="3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Borders>
              <w:top w:val="single" w:sz="8" w:color="auto"/>
            </w:tcBorders>
          </w:tcPr>
          <w:p>
            <w:pPr>
              <w:ind w:left="420"/>
              <w:spacing w:after="0" w:line="142" w:lineRule="exact"/>
              <w:rPr>
                <w:sz w:val="20"/>
                <w:szCs w:val="20"/>
                <w:color w:val="auto"/>
              </w:rPr>
            </w:pPr>
            <w:r>
              <w:rPr>
                <w:rFonts w:ascii="Arial" w:cs="Arial" w:eastAsia="Arial" w:hAnsi="Arial"/>
                <w:sz w:val="14"/>
                <w:szCs w:val="14"/>
                <w:b w:val="1"/>
                <w:bCs w:val="1"/>
                <w:color w:val="auto"/>
                <w:w w:val="89"/>
              </w:rPr>
              <w:t>2015</w:t>
            </w: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tcPr>
          <w:p>
            <w:pPr>
              <w:jc w:val="center"/>
              <w:ind w:right="500"/>
              <w:spacing w:after="0" w:line="142" w:lineRule="exact"/>
              <w:rPr>
                <w:sz w:val="20"/>
                <w:szCs w:val="20"/>
                <w:color w:val="auto"/>
              </w:rPr>
            </w:pPr>
            <w:r>
              <w:rPr>
                <w:rFonts w:ascii="Arial" w:cs="Arial" w:eastAsia="Arial" w:hAnsi="Arial"/>
                <w:sz w:val="14"/>
                <w:szCs w:val="14"/>
                <w:b w:val="1"/>
                <w:bCs w:val="1"/>
                <w:color w:val="auto"/>
                <w:w w:val="93"/>
              </w:rPr>
              <w:t>Change</w:t>
            </w:r>
          </w:p>
        </w:tc>
        <w:tc>
          <w:tcPr>
            <w:tcW w:w="11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Change</w:t>
            </w:r>
          </w:p>
        </w:tc>
      </w:tr>
      <w:tr>
        <w:trPr>
          <w:trHeight w:val="142"/>
        </w:trPr>
        <w:tc>
          <w:tcPr>
            <w:tcW w:w="3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Personnel related expense</w:t>
            </w:r>
          </w:p>
        </w:tc>
        <w:tc>
          <w:tcPr>
            <w:tcW w:w="1340" w:type="dxa"/>
            <w:vAlign w:val="bottom"/>
            <w:gridSpan w:val="2"/>
          </w:tcPr>
          <w:p>
            <w:pPr>
              <w:jc w:val="right"/>
              <w:ind w:right="54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2,917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2,065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852</w:t>
            </w: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Direct R&amp;D expense</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1,328</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1,214</w:t>
            </w:r>
          </w:p>
        </w:tc>
        <w:tc>
          <w:tcPr>
            <w:tcW w:w="20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114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1,050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210"/>
        </w:trPr>
        <w:tc>
          <w:tcPr>
            <w:tcW w:w="3340" w:type="dxa"/>
            <w:vAlign w:val="bottom"/>
          </w:tcPr>
          <w:p>
            <w:pPr>
              <w:ind w:left="360"/>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5,890</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4,369</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0"/>
        </w:trPr>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Research and development expense increased $1.5 million, or 35%, for the six months ended June 30, 2015 compared to the same period in 2014. The increase in personnel related expense was primarily due to a 29% increase in headcount at June 30, 2015 as compared to June 30, 2014. The increase in stock-based compensation expense reflects option grants to new and existing employees. The increase in direct R&amp;D expense was primarily due to increased clinical expenses. Other expense increased primarily as a result of increased information technology and facilities expenses that were related to research and development activities.</w:t>
      </w:r>
    </w:p>
    <w:p>
      <w:pPr>
        <w:sectPr>
          <w:pgSz w:w="11900" w:h="16884" w:orient="portrait"/>
          <w:cols w:equalWidth="0" w:num="1">
            <w:col w:w="11360"/>
          </w:cols>
          <w:pgMar w:left="240" w:top="125" w:right="299" w:bottom="0" w:gutter="0" w:footer="0" w:header="0"/>
        </w:sectPr>
      </w:pPr>
    </w:p>
    <w:bookmarkStart w:id="22" w:name="page23"/>
    <w:bookmarkEnd w:id="22"/>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Dollar</w:t>
            </w: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Change</w:t>
            </w:r>
          </w:p>
        </w:tc>
        <w:tc>
          <w:tcPr>
            <w:tcW w:w="11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Change</w:t>
            </w:r>
          </w:p>
        </w:tc>
      </w:tr>
      <w:tr>
        <w:trPr>
          <w:trHeight w:val="142"/>
        </w:trPr>
        <w:tc>
          <w:tcPr>
            <w:tcW w:w="3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Genzyme co-promotion expense, net</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2,422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4,229</w:t>
            </w:r>
          </w:p>
        </w:tc>
        <w:tc>
          <w:tcPr>
            <w:tcW w:w="140" w:type="dxa"/>
            <w:vAlign w:val="bottom"/>
          </w:tcPr>
          <w:p>
            <w:pPr>
              <w:spacing w:after="0"/>
              <w:rPr>
                <w:sz w:val="18"/>
                <w:szCs w:val="18"/>
                <w:color w:val="auto"/>
              </w:rPr>
            </w:pP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(1,807)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 related expense</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5,916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305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984</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870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1,177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r>
      <w:tr>
        <w:trPr>
          <w:trHeight w:val="210"/>
        </w:trPr>
        <w:tc>
          <w:tcPr>
            <w:tcW w:w="34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0"/>
        </w:trPr>
        <w:tc>
          <w:tcPr>
            <w:tcW w:w="3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Selling and marketing expense increased $3.1 million, or 33%, for the six months ended June 30, 2015 compared to the same period in 2014. The decrease in Genzyme co-promotion expense, net, reflects a reduction in the co-promotion percentage rate payable to Genzyme in the first six months of 2015 as compared to the first six months of 2014 under the Co-promotion Agreement with Genzyme, amended in November 2014, partially offset by growth in cash collections. The increase in personnel related expense was primarily due to a 52% increase in headcount of our sales and marketing team at June 30, 2015 as compared to June 30, 2014. The increase in stock-based compensation expense reflects option grants to new and existing employees. The increase in direct marketing expense was due primarily to increased marketing and promotional materials, trade shows and market research for Afirma and, to a lesser extent, lung-related marketing expenses. The increase in other expense was primarily due to an increase in consulting expenses and, to a lesser extent, an increase in information technology and facilities expenses that were related to sales and marketing activities.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Dollar</w:t>
            </w:r>
          </w:p>
        </w:tc>
        <w:tc>
          <w:tcPr>
            <w:tcW w:w="960" w:type="dxa"/>
            <w:vAlign w:val="bottom"/>
          </w:tcPr>
          <w:p>
            <w:pPr>
              <w:jc w:val="right"/>
              <w:ind w:right="31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42"/>
        </w:trPr>
        <w:tc>
          <w:tcPr>
            <w:tcW w:w="3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Change</w:t>
            </w:r>
          </w:p>
        </w:tc>
        <w:tc>
          <w:tcPr>
            <w:tcW w:w="11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Change</w:t>
            </w:r>
          </w:p>
        </w:tc>
      </w:tr>
      <w:tr>
        <w:trPr>
          <w:trHeight w:val="142"/>
        </w:trPr>
        <w:tc>
          <w:tcPr>
            <w:tcW w:w="3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Personnel related expense</w:t>
            </w:r>
          </w:p>
        </w:tc>
        <w:tc>
          <w:tcPr>
            <w:tcW w:w="6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5,214</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3,808</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1,406</w:t>
            </w:r>
          </w:p>
        </w:tc>
        <w:tc>
          <w:tcPr>
            <w:tcW w:w="2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698</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Professional fees expense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690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 and other facilities expense</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523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347</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210"/>
        </w:trPr>
        <w:tc>
          <w:tcPr>
            <w:tcW w:w="31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0"/>
        </w:trPr>
        <w:tc>
          <w:tcPr>
            <w:tcW w:w="3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General and administrative expense increased $3.4 million, or 43%, for the six months ended June 30, 2015 compared to the same period in 2014. The increase in personnel related expense was primarily due to a 20% increase in headcount at June 30, 2015 as compared to June 30, 2014. The increase in stock-based compensation expense was primarily due to option grants to new and existing employees. The increase in professional fees includes higher accounting, audit, legal and other corporate expenses including insurance. The increase in rent and other facilities expense is largely due to our new headquarters building being expensed to general and administrative prior to the space being utilized. The increase in other expense was due primarily to an increase in consulting expense of approximately $0.6 million partially offset by decreases in information technology and facilities allocations as a result of increased headcount in other functions.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Intangible asset amortization began in April 2015 when we launched Percepta and as a result reclassified the indefinite-lived intangible asset to a finite-lived intangible asset. The finite-lived intangible asset with a cost of $16.0 million is being amortized over 15 years, using the straight-line method. Intangible asset amortization was $267,000 for the six months ended June 30,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right="280" w:firstLine="648"/>
        <w:spacing w:after="0" w:line="277" w:lineRule="auto"/>
        <w:rPr>
          <w:sz w:val="20"/>
          <w:szCs w:val="20"/>
          <w:color w:val="auto"/>
        </w:rPr>
      </w:pPr>
      <w:r>
        <w:rPr>
          <w:rFonts w:ascii="Arial" w:cs="Arial" w:eastAsia="Arial" w:hAnsi="Arial"/>
          <w:sz w:val="18"/>
          <w:szCs w:val="18"/>
          <w:color w:val="auto"/>
        </w:rPr>
        <w:t>Interest expense decreased $47,000 for the six months ended June 30, 2015 compared to the same period in 2014 reflecting the debt modification under the amended loan and security agreement entered into in December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Other income, net, increased $27,000 for the six months ended June 30, 2015 compared to the same period in 2014 primarily due to interest income received from payers and lower amortization of debt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have incurred net losses since our inception. For the six months ended June 30, 2015 and the year ended December 31, 2014, we had a net loss of $16.7 million and $29.4 million, respectively, and we expect to incur additional losses in 2015 and in future years. As of June 30, 2015, we had an accumulated deficit of $131.8 million. We may never achieve revenue sufficient to offset our expenses.</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On April 28, 2015, we issued and sold 4,907,975 shares of our common stock in a private placement, at a price of $8.15 per share. We received $37.3 million in net proceeds, after deducting expenses payable by us of $2.7 million.</w:t>
      </w:r>
    </w:p>
    <w:p>
      <w:pPr>
        <w:spacing w:after="0" w:line="170"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In June 2015, we filed a universal shelf registration statement with the Securities and Exchange Commission which provides us the ability to offer for sale up to $125.0 million of securities in a primary offering, including common stock, preferred stock, debt securities, depositary shares and rights. This shelf registration statement provides us the ability, within the $125.0 million, to offer for sale up to $25.0 million of our common stock at market prices</w:t>
      </w:r>
    </w:p>
    <w:p>
      <w:pPr>
        <w:sectPr>
          <w:pgSz w:w="11900" w:h="16858" w:orient="portrait"/>
          <w:cols w:equalWidth="0" w:num="1">
            <w:col w:w="11400"/>
          </w:cols>
          <w:pgMar w:left="240" w:top="341" w:right="259" w:bottom="0" w:gutter="0" w:footer="0" w:header="0"/>
        </w:sectPr>
      </w:pPr>
    </w:p>
    <w:bookmarkStart w:id="23" w:name="page24"/>
    <w:bookmarkEnd w:id="23"/>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pursuant to the terms of a Controlled Equity Sales Agreement. Approximately $0.2 million of costs associated with this registration statement have been deferred in other current assets as of June 30, 2015.</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believe our existing cash and cash equivalents of $51.0 million as of June 30, 2015 and our revenue from the sale of Afirma during the next 12 months will be sufficient to meet our anticipated cash requirements for at least the next 12 months.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From inception through June 30, 2015, we have received $191.8 million in net proceeds from various sources to finance our operations, including net proceeds of $78.6 million from sales of our preferred stock, net proceeds of $59.2 million from our initial public offering, or IPO, net proceeds of $37.3 million from our sale of common stock in a private placement, $10.0 million from the Genzyme co-promotion agreement, net borrowings of $4.9 million under our loan and security agreement, and $1.8 million from the exercise of stock options.</w:t>
      </w:r>
    </w:p>
    <w:p>
      <w:pPr>
        <w:spacing w:after="0" w:line="17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June 2013, we entered into a loan and security agreement, or the Original Loan, with a financial institution. The Original Loan provided for term loans of up to $10.0 million in aggregate. We drew down $5.0 million in funds under the agreement in June 2013, and did not draw the remaining $5.0 million on or before the expiration date of March 31, 2014. We were required to repay the outstanding principal in 30 equal installments beginning 18 months after the date of the borrowing, and the loan was due in full in June 2017. The Original Loan had an interest rate of 6.06% per annum, carried prepayment penalties of 2.25% and 1.50% for prepayment within one and two years, respectively, and 0.75% thereafter.</w:t>
      </w:r>
    </w:p>
    <w:p>
      <w:pPr>
        <w:spacing w:after="0" w:line="173"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December 2014, we amended certain terms and conditions of the Original Loan, which we refer to as the Amended Loan. The Amended Loan provides for term loans of up to $15.0 million in aggregate, in three tranches of $5.0 million each. We borrowed $5.0 million under the first tranche in December 2014 and used the funds for repayment of the $5.0 million in principal outstanding under the Original Loan, in a cashless transaction. In addition, we paid the accrued but unpaid interest of $14,000 due on the Original Loan and the related end-of-term payment of $110,000. The Amended Loan waived the prepayment premium of $75,000 under the Original Loan and reduced the end-of-term payment of $225,000 under the Original Loan to $110,000. The second $5.0 million tranche under the Amended Loan is available through December 31, 2015, and we may borrow the third $5.0 million tranche any time through June 30, 2016 after achieving the third tranche revenue milestone as defined in the Amended Loan.</w:t>
      </w:r>
    </w:p>
    <w:p>
      <w:pPr>
        <w:spacing w:after="0" w:line="16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Under the Amended Loan, we are required to repay the outstanding principal in 24 equal installments beginning 24 months after the date of the borrowing, and the loan is due in full in December 2018. The first tranche of the Amended Loan bears interest at a rate of 5.00% per annum and the obligation includes an end-of-term payment of $237,500, representing 4.75% of the total outstanding principal balance, which accretes over the life of the loan as interest expense. The Amended Loan carries prepayment penalties of 2.00% and 1.00% for prepayment within one and two years, respectively, and no prepayment penalty thereafter. In connection with the Amended Loan, we paid approximately $45,000 in third-party fees. As a result of the debt discount and the end-of-term payment, the effective interest rate for the loan differs from the contractual rate.</w:t>
      </w:r>
    </w:p>
    <w:p>
      <w:pPr>
        <w:spacing w:after="0" w:line="17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Loans drawn under the Original Loan and the Amended Loan were used for working capital and general corporate purposes. Our obligations under the Amended Loan are secured by a security interest on substantially all of our assets, excluding our intellectual property and certain other assets. The Amended Loan contains customary conditions related to borrowing, events of default, and covenants, including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Amended Loan also allows the lender to call the debt in the event there is a material adverse change in our business or financial condition. We are required to be in compliance with a minimum liquidity or minimum revenue covenant. As of June 30, 2015, we were in compliance with all covenants.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September 2014, we acquired Allegro Diagnostics Corp., or Allegro, to accelerate our entry into pulmonology, our second planned clinical area. Allegro was focused on the development of genomic tests to improve the preoperative diagnosis of lung cancer. In conjunction with the acquisition, we issued 964,377 shares of our common stock, paid $2.7 million in cash, settled in cash outstanding indebtedness of Allegro totaling $4.3 million, and paid severance and bonus to Allegro personnel of $1.2 million.</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expect that our near- and longer-term liquidity requirements will continue to consist of selling and marketing expenses, research and development expenses, working capital,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may result. Any equity securities issued may also provide for rights, preferences or privileges senior to those of holders of our common stock. If we raise funds by issuing debt securities, these debt securities would have rights, preferences and privileges senior to those of holders of our common stock. The terms of debt securities or borrowings could impose significant restrictions on our operations. If we raise funds through collaborations and licensing arrangements, we might be required to relinquish significant rights to our technologies or products, or grant licenses on terms that are not favorable to us. The credit market and financial services industry have in the past, and may in the future, experience periods of upheaval that could impact the availability and cost of equity and debt financing. If we are not able to secure additional funding when needed, on acceptable terms,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six months ended June 30, 2015 and 2014:</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40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621"/>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142"/>
        </w:trPr>
        <w:tc>
          <w:tcPr>
            <w:tcW w:w="4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2"/>
          </w:tcPr>
          <w:p>
            <w:pPr>
              <w:jc w:val="center"/>
              <w:ind w:left="541"/>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(20,333)</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(12,664)</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0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(1,385)</w:t>
            </w:r>
          </w:p>
        </w:tc>
        <w:tc>
          <w:tcPr>
            <w:tcW w:w="5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(904)</w:t>
            </w:r>
          </w:p>
        </w:tc>
      </w:tr>
      <w:tr>
        <w:trPr>
          <w:trHeight w:val="178"/>
        </w:trPr>
        <w:tc>
          <w:tcPr>
            <w:tcW w:w="4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bl>
    <w:p>
      <w:pPr>
        <w:sectPr>
          <w:pgSz w:w="11900" w:h="16900" w:orient="portrait"/>
          <w:cols w:equalWidth="0" w:num="1">
            <w:col w:w="11420"/>
          </w:cols>
          <w:pgMar w:left="240" w:top="125" w:right="239" w:bottom="0" w:gutter="0" w:footer="0" w:header="0"/>
        </w:sectPr>
      </w:pPr>
    </w:p>
    <w:bookmarkStart w:id="24" w:name="page25"/>
    <w:bookmarkEnd w:id="24"/>
    <w:p>
      <w:pPr>
        <w:spacing w:after="0" w:line="5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37,749</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Cash used in operating activities for the six months ended June 30, 2015 was $20.3 million. The net loss of $16.7 million includes non-cash charges of $0.9 million in amortization of the deferred fee received from Genzyme, offset primarily by $2.7 million of stock-based compensation expense and $1.0 million of depreciation and amortization. Cash used as a result in changes in operating assets and liabilities of $6.5 million was primarily due to a $5.2 million decrease in accounts payable and accrued liabilities resulting from the timing of payments, and increases in accounts receivable, prepaid expenses and other current assets and supplies inventory of $1.3 million.</w:t>
      </w:r>
    </w:p>
    <w:p>
      <w:pPr>
        <w:spacing w:after="0" w:line="188"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Cash used in operating activities for the six months ended June 30, 2014 was $12.7 million. The net loss of $13.3 million reflects non-cash charges of $1.3 million in amortization of the deferred fee received from Genzyme, offset primarily by $1.4 million of stock-based compensation expense,</w:t>
      </w:r>
    </w:p>
    <w:p>
      <w:pPr>
        <w:jc w:val="both"/>
        <w:ind w:right="200"/>
        <w:spacing w:after="0" w:line="254" w:lineRule="auto"/>
        <w:rPr>
          <w:sz w:val="20"/>
          <w:szCs w:val="20"/>
          <w:color w:val="auto"/>
        </w:rPr>
      </w:pPr>
      <w:r>
        <w:rPr>
          <w:rFonts w:ascii="Arial" w:cs="Arial" w:eastAsia="Arial" w:hAnsi="Arial"/>
          <w:sz w:val="18"/>
          <w:szCs w:val="18"/>
          <w:color w:val="auto"/>
        </w:rPr>
        <w:t>$0.5 million of depreciation and amortization, and $0.1 million in debt interest and deferred financing costs amortization and debt balloon interest expense. Cash used as a result of changes in operating assets and liabilities of $0.1 million was primarily due to a $1.0 million net increase in supplies inventory and accounts receivable due to increases in Afirma adoption, offset by a $0.9 million net increase in accounts payable and accrued liabilities resulting from the timing of payments.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Cash used in investing activities, primarily related to the acquisition of property and equipment, was $0.9 million and $0.9 million for the six months ended June 30, 2015 and 2014, respectively. Additionally, for the six months ended June 30, 2015, we restricted additional cash of $0.5 million, consisting of $0.6 million in conjunction with collateral for an irrevocable standby letter of credit as security for our new headquarters, offset by approximately $0.1 million of cash used to pay down liabilities associated with the acquisition of Allegro.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Cash provided by financing activities for the six months ended June 30, 2015 of $37.7 million consisted of $37.3 million net proceeds from our sale of common stock in a private placement and $0.5 million of cash we received from the exercise of options to purchase our common stock. Cash provided by financing activities for the six months ended June 30, 2014 of $0.3 million consisted of cash we received from the exercise of options to purchase our common stock, net of $0.1 million of IPO-related disbursements.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Except for the lease signed in April 2015 described below, during the three months ended June 30, 2015, there were no material changes to our contractual obligations and commitments described under Management’s Discussion and Analysis of Financial Condition and Results of Operations included in our Form 10-K for the year ended December 31, 2014.</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April 29, 2015, we signed a non-cancelable lease agreement for approximately 59,000 square feet to serve as our new South San Francisco headquarters and laboratory facilities. The lease begins in June 2015 and ends in March 2026 and contains extension of lease term and expansion options. In conjunction with this lease, the landlord is providing funding of approximately $3.3 million for tenant improvements. We currently estimate we will invest an additional approximate $3.5 million in our new facility. As of June 30, 2015, we had recorded approximately $0.1 million as a receivable from the landlord. Upon signing the lease, we provided $0.6 million in the form of a letter of credit held as security for the lease. The lease for our current South San Francisco headquarters and laboratory facilities expires on March 31, 2016.</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rent payment obligations under our non-cancelable operating leases as of June 30, 2015: (in thousands):</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July through December 31, 2015</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2016 - 2017</w:t>
            </w:r>
          </w:p>
        </w:tc>
        <w:tc>
          <w:tcPr>
            <w:tcW w:w="4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3,964</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2018 - 2019</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14,038</w:t>
            </w:r>
          </w:p>
        </w:tc>
      </w:tr>
      <w:tr>
        <w:trPr>
          <w:trHeight w:val="210"/>
        </w:trPr>
        <w:tc>
          <w:tcPr>
            <w:tcW w:w="4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In May 2014, the Financial Accounting Standards Board, or FASB, issued Accounting Standards Update, or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requiring an entity to recognize the amount of revenue to which it expects to be entitled for the transfer of promised goods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customers. The updated standard will replace most existing revenue recognition guidance in U.S. GAAP when it becomes effective and permits the use of either the retrospective or cumulative effect transition method. Adoption is permitted as early as the first quarter of fiscal 2017 and is required for us in the first quarter of fiscal 2018. We have not yet selected a transition method and are currently evaluating the effect that the updated standard may have on our consolidated financial statements.</w:t>
      </w:r>
    </w:p>
    <w:p>
      <w:pPr>
        <w:sectPr>
          <w:pgSz w:w="11900" w:h="16893" w:orient="portrait"/>
          <w:cols w:equalWidth="0" w:num="1">
            <w:col w:w="11380"/>
          </w:cols>
          <w:pgMar w:left="240" w:top="140" w:right="279" w:bottom="0" w:gutter="0" w:footer="0" w:header="0"/>
        </w:sectPr>
      </w:pPr>
    </w:p>
    <w:bookmarkStart w:id="25" w:name="page26"/>
    <w:bookmarkEnd w:id="25"/>
    <w:p>
      <w:pPr>
        <w:ind w:right="400" w:firstLine="648"/>
        <w:spacing w:after="0" w:line="259"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to require debt issuance costs to be presented as an offset against debt outstanding. The ASU is effective for interim and annual periods beginning after December 15, 2015. Adoption of the ASU is retrospective to each prior period presented. We do not anticipate that the adoption of the ASU will have a material impact on our condensed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We had cash and cash equivalents of $51.0 million as of June 30, 2015 which consisted of bank deposits and money market funds. Such interest-bearing instruments carry a degree of risk; however, a hypothetical 10% change in interest rates during any of the periods presented would not have had a material impact on our unaudited interim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quarter ended June 30, 2015 that have materially affected, or are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are an early-stage company with a history of losses, and we expect to incur net losses for the foreseeable future and may never achieve or sustain profitability.</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incurred net losses since our inception. For the six months ended June 30, 2015 and the year ended December 31, 2014, we had a net loss of $16.7 million and $29.4 million, respectively, and we expect to incur additional losses in 2015 and in future years. As of June 30, 2015, we had an accumulated deficit of $131.8 million. We may never achieve revenue sufficient to offset our expenses. Over the next several years, we expect to continue to devote substantially all of our resources to increase adoption of, and reimbursement for, our Afirma test, as well as our lung cancer test, Percepta, which we launched in April 2015, as well as the development of additional tests we plan to commercialize, including our test for Idiopathic Pulmonary Fibrosis, or IPF. We may never achieve or sustain profitability, and our failure to achieve and sustain profitability in the future could cause the market price of our common stock to decline.</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financial results depend solely on sales of Afirma, and we will need to generate sufficient revenue from this and other diagnostic solutions to grow our business.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All of our revenues have been derived from the sale of Afirma, which we commercially launched in January 2011. For the foreseeable future, we expect to derive substantially all of our revenue from sales of Afirma. We launched our first product in pulmonology for lung cancer, Percepta, in April 2015, and our efforts may not be successful. In addition,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and expand reimbursement for Afirma, or successfully commercialize Percepta and develop and commercialize other solutions, our revenue and our ability to achieve and sustain profitability would be impaired, and the market price of our common stock could decline.</w:t>
      </w:r>
    </w:p>
    <w:p>
      <w:pPr>
        <w:sectPr>
          <w:pgSz w:w="11900" w:h="16838" w:orient="portrait"/>
          <w:cols w:equalWidth="0" w:num="1">
            <w:col w:w="11420"/>
          </w:cols>
          <w:pgMar w:left="240" w:top="341" w:right="239" w:bottom="0" w:gutter="0" w:footer="0" w:header="0"/>
        </w:sectPr>
      </w:pPr>
    </w:p>
    <w:bookmarkStart w:id="26" w:name="page27"/>
    <w:bookmarkEnd w:id="26"/>
    <w:p>
      <w:pPr>
        <w:spacing w:after="0" w:line="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Revenue for tests performed on patients covered by Medicare, UnitedHealthcare and Aetna was 26%, 14% and 9%, respectively, of our revenue for the six months ended June 30, 2015, compared with 28%, 16% and 11%, respectively, in the six months ended June 30, 2014. The percentage of our revenue derived from significant payers is expected to fluctuate from period to period as our revenue increases, as additional payers provide reimbursement for our tests or if one or more payers were to stop reimbursing for our tests. Effective January 2012, Palmetto GBA, the regional Medicare administrative contractor, or MAC, that handled claims processing for Medicare services with jurisdiction at that time, issued coverage and payment determinations for the GEC. On a five-year rotational basis, Medicare requests bids for its regional MAC services. Any future changes, in the MAC processing or coding for Medicare claims for the Afirma GEC could result in a change in the coverage or reimbursement rates for such products, or the loss of coverage.</w:t>
      </w:r>
    </w:p>
    <w:p>
      <w:pPr>
        <w:spacing w:after="0" w:line="16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Although we have entered into contracts with certain third-party payers which establish in-network allowable rates of reimbursement for our Afirma tests, payers may suspend or discontinue reimbursement at any time, may require or increase co-payments from patients, or may reduce the reimbursement rates paid to us. Any such actions could have a negative effect on our revenue.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Physicians may not order our tests unless payers reimburse a substantial portion of the test price. There is significant uncertainty concerning third-party reimbursement of any test incorporating new technology, including the Afirma GEC and Malignancy Classifiers as well as Percepta, which we launched in April 2015. Reimbursement by a payer may depend on a number of factors, including a payer’s determination that these tests are:</w:t>
      </w:r>
    </w:p>
    <w:p>
      <w:pPr>
        <w:spacing w:after="0" w:line="166"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 seeking these approvals is a time-consuming and costly process.</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do not have a contracted rate of reimbursement with many payers for Afirma, and we do not have any contracted reimbursement with respect to Percepta.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7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expect to continue to focus substantial resources on increasing adoption of and coverage and reimbursement for the Afirma test. We believe it may take several years to achieve coverage and contracted reimbursement with a majority of third-party payers. However, we cannot predict whether, under what circumstances, or at what payment levels payers will reimburse for our test. In addition, the Afirma Malignancy Classifiers, launched in May 2014, and Percepta, launched in April 2015, and any other new tests we may develop in the future will require that we expend substantial time and resources in order to obtain reimbursement. Also, payer consolidation is underway and creates uncertainty as to whether coverage and contracts with existing payers will survive.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Afirma.</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If we are unable to create or maintain demand for Afirma in sufficient volume, we may not become profitable. To generate demand, we will need to continue to educate physicians about the benefits and cost-effectiveness of Afirma through published papers, presentations at scientific conferences and one-on-one education by our sales force. In addition, our ability to obtain and maintain adequate reimbursement from third-party payers will be critical to generating revenue.</w:t>
      </w:r>
    </w:p>
    <w:p>
      <w:pPr>
        <w:spacing w:after="0" w:line="18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Several existing guidelines and historical practices in the United States regarding indeterminate thyroid nodule FNA results recommend a full or partial surgical thyroidectomy in most cases. Accordingly, physicians may be reluctant to order a diagnostic solution that may suggest surgery is unnecessary where some current guidelines and historical practice have typically led to such procedures. Moreover, our diagnostic services are performed at a specialized clinical reference laboratory rather than by a pathologist in a local laboratory, so pathologists may be reluctant to support our services. In addition, guidelines for the diagnosis and treatment of thyroid nodules may subsequently be revised to recommend another type of treatment protocol, and these changes may result in medical practitioners deciding not to use Afirma. These facts may make physicians reluctant to convert to using or continuing to use Afirma, which could limit our ability to generate revenue and our ability to achieve profitability. To the extent international markets have existing practices and standards of care that are different than those in the United States, we may face challenges with the adoption of Afirma outside the United States.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9" w:orient="portrait"/>
          <w:cols w:equalWidth="0" w:num="1">
            <w:col w:w="11400"/>
          </w:cols>
          <w:pgMar w:left="240" w:top="125" w:right="25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success of our relationship with Genzyme to co-promote Afirma may have a significant effect on our business.</w:t>
      </w:r>
    </w:p>
    <w:p>
      <w:pPr>
        <w:sectPr>
          <w:pgSz w:w="11900" w:h="16839" w:orient="portrait"/>
          <w:cols w:equalWidth="0" w:num="1">
            <w:col w:w="11400"/>
          </w:cols>
          <w:pgMar w:left="240" w:top="125" w:right="259" w:bottom="0" w:gutter="0" w:footer="0" w:header="0"/>
          <w:type w:val="continuous"/>
        </w:sectPr>
      </w:pPr>
    </w:p>
    <w:bookmarkStart w:id="27" w:name="page28"/>
    <w:bookmarkEnd w:id="27"/>
    <w:p>
      <w:pPr>
        <w:spacing w:after="0" w:line="4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sell Afirma in the United States through our internal sales team and through our Amended and Restated U.S. Co-promotion Agreement with Genzyme Corporation, or Amended Agreement. Under the Amended Agreement, we are required to pay Genzyme a co-promotion fee that is equal to a percentage of our cash receipts from the sale of the Afirma GEC test. The percentage is currently set at 15% beginning on January 1, 2015. Our agreement with Genzyme expires in 2027. We have also granted Genzyme a right of first offer to co-promote any future thyroid cancer product that we commercialize. If Genzyme does not commit the necessary resources to market and sell the Afirma GEC test to the level of our expectations, or if they terminate the agreement, we may not realize the benefits of this relationship and our ability to generate revenue in the future may be harmed. If our agreement with Genzyme were terminated, we would have to hire additional sales personnel to support the growth of Afirma and any other thyroid product we had previously agreed to co-promote with Genzyme.</w:t>
      </w:r>
    </w:p>
    <w:p>
      <w:pPr>
        <w:spacing w:after="0" w:line="19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February 2015, we entered into an Ex-U.S. Co-promotion Agreement with Genzyme for the promotion of the Afirma GEC test with exclusivity in five countries outside the United States initially and in other countries agreed to from time to time. The term of the agreement is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 We will pay Genzyme 25% of net revenue from the sale of the Afirma GEC test in Brazil and Singapore over a five-year period commencing January 1, 2015. Beginning in the fourth year of the agreement, if we terminate the agreement for convenience, we may be required to pay a termination fee contingent on the number of GEC billable results generated. If Genzyme does not commit the necessary resources to market and sell the Afirma GEC test outside the United States to the level of our expectations, or if they terminate the agreement, we may not realize the benefits of this relationship and our ability to generate revenue in the future may be harmed.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how we recognize revenue, our quarterly operating results are likely to fluctuate.</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recognize a large portion of our revenue upon the earlier of receipt of third-party payer notification of payment or when cash is received. We have little visibility as to when we will receive payment for our diagnostic test, and we must appeal negative payment decisions, which delays collections. For tests performed where we have an agreed upon reimbursement rate or we are able to make a reasonable estimate of reimbursement at the time delivery is complete, such as in the case of Medicare and certain other payers, we recognize the related revenue upon delivery of a patient report to the prescribing physician based on the established billing rate less contractual and other adjustments to arrive at the amount that we expect to collect. We determine the amount we expect to collect based on a per payer, per contract or agreement basis. In the first period in which revenue is accrued for a particular payer, there generally is a one-time increase in revenue. In situations where we are not able to make a reasonable estimate of reimbursement, we recognize revenue upon the earlier of receipt of third-party notification of payment or when cash is received. Upon ultimate collection, the amount received from Medicare and other payers where reimbursement was estimated is compared to previous estimates and the contractual allowance is adjusted accordingly. These factors will likely result in fluctuations in our quarterly revenue. Should we recognize revenue from payers on an accrual basis and later determine the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w:t>
      </w:r>
    </w:p>
    <w:p>
      <w:pPr>
        <w:spacing w:after="0" w:line="17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70" w:lineRule="exact"/>
        <w:rPr>
          <w:sz w:val="20"/>
          <w:szCs w:val="20"/>
          <w:color w:val="auto"/>
        </w:rPr>
      </w:pPr>
    </w:p>
    <w:p>
      <w:pPr>
        <w:jc w:val="both"/>
        <w:ind w:right="220" w:firstLine="648"/>
        <w:spacing w:after="0" w:line="288" w:lineRule="auto"/>
        <w:rPr>
          <w:sz w:val="20"/>
          <w:szCs w:val="20"/>
          <w:color w:val="auto"/>
        </w:rPr>
      </w:pPr>
      <w:r>
        <w:rPr>
          <w:rFonts w:ascii="Arial" w:cs="Arial" w:eastAsia="Arial" w:hAnsi="Arial"/>
          <w:sz w:val="16"/>
          <w:szCs w:val="16"/>
          <w:color w:val="auto"/>
        </w:rPr>
        <w:t>We rely on sole suppliers, such as NuGEN Technologies, Inc., Affymetrix, Inc. and Thermo Fischer Scientific, Inc., for critical supply of reagents, equipment, chips and other materials that we use to perform our tests. We also purchase components used in our collection kits from sole-source suppliers. Some of these items are unique to these suppliers and vendors. In addition, we utilize a sole source to assemble and distribute our sample collection kits.</w:t>
      </w:r>
    </w:p>
    <w:p>
      <w:pPr>
        <w:ind w:right="100"/>
        <w:spacing w:after="0" w:line="269" w:lineRule="auto"/>
        <w:rPr>
          <w:sz w:val="20"/>
          <w:szCs w:val="20"/>
          <w:color w:val="auto"/>
        </w:rPr>
      </w:pPr>
      <w:r>
        <w:rPr>
          <w:rFonts w:ascii="Arial" w:cs="Arial" w:eastAsia="Arial" w:hAnsi="Arial"/>
          <w:sz w:val="17"/>
          <w:szCs w:val="17"/>
          <w:color w:val="auto"/>
        </w:rPr>
        <w:t>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if we cannot obtain acceptable substitute materials, an interruption in test processing could occur and we may not be able to deliver patient reports.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we may hold excess inventory with expiration dates that occur before use which would adversely affect our losses and cash flow position.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70"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We rely on Thyroid Cytopathology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through December 31, 2015 and thereafter automatically renews every year unless either party provides notice of intent not to renew at least 12 months prior to the end of the then-current term.</w:t>
      </w:r>
    </w:p>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If TCP were not able to support our current test volume or future increases in test volume or to provide the quality of services we require, or if we are unable to agree on commercial terms and our relationship with TCP were to terminate, our business would be harmed until we are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tests until a replacement was fully integrated with our test processing operations.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If we are unable to support demand for Afirma or any of our future products or solutions, our business could suffer.</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As demand for Afirma grows, and as we commercialize new products such as the Percepta test,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w:t>
      </w:r>
    </w:p>
    <w:p>
      <w:pPr>
        <w:sectPr>
          <w:pgSz w:w="11900" w:h="16885" w:orient="portrait"/>
          <w:cols w:equalWidth="0" w:num="1">
            <w:col w:w="11420"/>
          </w:cols>
          <w:pgMar w:left="240" w:top="341" w:right="239" w:bottom="0" w:gutter="0" w:footer="0" w:header="0"/>
        </w:sectPr>
      </w:pPr>
    </w:p>
    <w:bookmarkStart w:id="28" w:name="page29"/>
    <w:bookmarkEnd w:id="28"/>
    <w:p>
      <w:pPr>
        <w:ind w:right="120"/>
        <w:spacing w:after="0" w:line="276" w:lineRule="auto"/>
        <w:rPr>
          <w:sz w:val="20"/>
          <w:szCs w:val="20"/>
          <w:color w:val="auto"/>
        </w:rPr>
      </w:pPr>
      <w:r>
        <w:rPr>
          <w:rFonts w:ascii="Arial" w:cs="Arial" w:eastAsia="Arial" w:hAnsi="Arial"/>
          <w:sz w:val="17"/>
          <w:szCs w:val="17"/>
          <w:color w:val="auto"/>
        </w:rPr>
        <w:t>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7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Clinical laboratory tests like our tests are regulated under the Clinical Laboratory Improvement Amendments of 1988, or CLIA, as well as by applicable state laws. Most laboratory developed tests, or LDTs, are not currently subject to FDA regulation, although reagents, instruments, software or components provided by third parties and used to perform LDTs may be subject to regulation. Although the FDA has never defined what qualifies as an LDT, we believe that the Afirma and Percepta tests are LDTs. FDA currently exercises its enforcement discretion for LDTs. In October 2014, the FDA published draft guidance documents describing the framework by which they might regulate LDTs. The framework is similar to the guidance they issued previously. There is no timeframe in which the FDA must issue final guidance documents.</w:t>
      </w:r>
    </w:p>
    <w:p>
      <w:pPr>
        <w:spacing w:after="0" w:line="17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If the FDA requires us to seek clearance or approval to offer our existing tests or any of our future products for clinical use, we may not be able to obtain such approvals on a timely basis, or at all. If premarket review is required, our business could be negatively impacted if we are required to stop selling our products pending their clearance or approval or the launch of any new products that we develop could be delayed by new requirements. The cost of conducting clinical trials and otherwise developing data and information to support premarket applications may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In addition, we could be subject to a recall or seizure of current or future products, operating restrictions, partial suspension or total shutdown of production. Any such enforcement action would have a material adverse effect on our business, financial condition and operations. In addition, our sample collection containers are classified as Class I medical devices and are listed with the FDA. If the FDA were to determine that they are a Class II medical devices, we would be required to file 510(k) applications and obtain FDA clearance to use the containers, which could be time consuming and expensive.</w:t>
      </w:r>
    </w:p>
    <w:p>
      <w:pPr>
        <w:spacing w:after="0" w:line="16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Some of the materials we use for the Afirma and Percepta tests and that we may use for future products are labeled for research use only. In November 2013, the FDA finalized guidance regarding the sale and use of products labeled for research or investigational use only. Among other things, the guidance advises that the FDA continues to be concerned about distribution of research- 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research-investigational- use only, the device would be misbranded and adulterated within the meaning of the Federal Food, Drug and Cosmetic Act. Some of the reagents, instruments, software or components obtained by us from suppliers for use in our products are currently labeled as research-use only products. If the FDA were to undertake enforcement actions, some of our suppliers might cease selling research use only products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principal competition for our tests comes from traditional methods used by physicians to diagnose and manage patient care decisions. For example, with our Afirma test,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test to change clinical practice. The same will be true for Percepta.</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also face competition from commercial laboratories, such as Laboratory Corporation of America Holdings, Quest Diagnostics Incorporated and Sonic Healthcare USA with strong infrastructure to support the commercialization of diagnostic services. We face potential competition from companies such as Illumina, Inc. and Thermo Fisher Scientific Inc., both of which have announced their intention to enter the clinical diagnostics market. Other potential competitors include companies that develop diagnostic products, such as Roche Diagnostics, a division of Roche Holding Ltd, Siemens AG and Qiagen N.V. We also face competition from companies and academic institutions that use next generation sequencing technology or other methods to measure mutational markers such as BRAF and KRAS along with numerous other mutations. In the future, we may also face competition from companies such as Rosetta Genomics Ltd., Integrated Diagnostics, Inc. and others who are developing new products or technologies that may compete with our tests.</w:t>
      </w:r>
    </w:p>
    <w:p>
      <w:pPr>
        <w:spacing w:after="0" w:line="16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2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ectPr>
          <w:pgSz w:w="11900" w:h="16838" w:orient="portrait"/>
          <w:cols w:equalWidth="0" w:num="1">
            <w:col w:w="11400"/>
          </w:cols>
          <w:pgMar w:left="240" w:top="125" w:right="259" w:bottom="0" w:gutter="0" w:footer="0" w:header="0"/>
        </w:sectPr>
      </w:pPr>
    </w:p>
    <w:bookmarkStart w:id="29" w:name="page30"/>
    <w:bookmarkEnd w:id="29"/>
    <w:p>
      <w:pPr>
        <w:ind w:right="240" w:firstLine="648"/>
        <w:spacing w:after="0" w:line="259"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As a public company located in the San Francisco Bay Area, we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Additionally, our success depends on our ability to attract and retain qualified sales people. During 2014, we significantly expanded our sales force for Afirma and will continue to do so, to a lesser extent, in 2015. There can be no assurance that they will be successful in maintaining and growing the business. As we plan to further increase our sales channels for new tests such as Percepta, we may have difficulties locating and recruiting additional sales personnel 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In addition,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Additionally, growth requires us to expand and move our South San Francisco operations, and we have leased a new facility beginning in June 2015. The move to the new laboratory facility could require us to re-certify our laboratory in South San Francisco. This move of our offices and laboratory could disrupt our business and will require the investment of resources. If we are unable to manage our growth effectively, it may be difficult for us to execute our business strategy and our business could be harmed.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for our diagnostic tests is complex, and we must dedicate substantial time and resources to the billing process to be paid.</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25"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 including the need for prior authorization and/or advanced notification;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to billing codes used for our tests;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Standard industry billing codes, known as CPT codes, that we use to bill for cytopathology do not exist for our proprietary molecular diagnostic tests. Therefore, until such time that we are awarded and are able to use a designated CPT code specific to our tests, we use “miscellaneous” codes for claim submissions.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there can be no assurance that payers will recognize these codes in a timely manner or that the process to transitioning to such a code will not result in errors or delays in payments. A specific CPT code for the GEC was published by the American</w:t>
      </w:r>
    </w:p>
    <w:p>
      <w:pPr>
        <w:sectPr>
          <w:pgSz w:w="11900" w:h="16838" w:orient="portrait"/>
          <w:cols w:equalWidth="0" w:num="1">
            <w:col w:w="11420"/>
          </w:cols>
          <w:pgMar w:left="240" w:top="125" w:right="239" w:bottom="0" w:gutter="0" w:footer="0" w:header="0"/>
        </w:sectPr>
      </w:pPr>
    </w:p>
    <w:bookmarkStart w:id="30" w:name="page31"/>
    <w:bookmarkEnd w:id="30"/>
    <w:p>
      <w:pPr>
        <w:ind w:right="60"/>
        <w:spacing w:after="0" w:line="342" w:lineRule="auto"/>
        <w:rPr>
          <w:sz w:val="20"/>
          <w:szCs w:val="20"/>
          <w:color w:val="auto"/>
        </w:rPr>
      </w:pPr>
      <w:r>
        <w:rPr>
          <w:rFonts w:ascii="Arial" w:cs="Arial" w:eastAsia="Arial" w:hAnsi="Arial"/>
          <w:sz w:val="16"/>
          <w:szCs w:val="16"/>
          <w:color w:val="auto"/>
        </w:rPr>
        <w:t>Medical Association in early 2015. It is anticipated that the code will become effective by January 1, 2016. There can be no assurance that we or our customers who bill will not face issues as the new code is utilized, which could have an adverse effect on our collection rates, revenue, and cost of collecting.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As we introduce new tests, such as Percepta, we will need to add new codes to our billing process as well as our financial reporting systems. Failure or delays in effecting these changes in external billing and internal systems and processes could negatively affect our revenue and cash flow.</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October 2015, the Centers for Medicare and Medicaid Services, or CMS, will replace the ICD-9 code set with the ICD-10 code set. The transition will require ordering physicians to submit ICD-10 codes along with their requisitions for our tests with FNA samples. If physicians do not send proper coding with requisitions, electronic billing systems are not prepared for the transition, or payers have not upgraded their systems to appropriately pay claims with the new codes, we may experience delays in collecting payments, which would impact our revenue recognized on a cash basis, and our cash position.</w:t>
      </w:r>
    </w:p>
    <w:p>
      <w:pPr>
        <w:spacing w:after="0" w:line="15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These billing complexities, and the related uncertainty in obtaining payment for our diagnostic solution, could negatively affect our revenue and cash flow, our ability to achieve profitability, and the consistency and comparability of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a third-party to transmit claims to payers, and any delay in transmitting claims could have an adverse effect on our revenue.</w:t>
      </w:r>
    </w:p>
    <w:p>
      <w:pPr>
        <w:spacing w:after="0" w:line="23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which would have an adverse effect on our revenue and our business.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have enhancements to our current Afirma offering and other diagnostic solutions under development that will require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We have recently launched the Percepta test and are in the process of developing a test for interstitial lung disease, specifically IPF. We still must complete clinical utility studies of Percepta in order to obtain reimbursement, which studies are currently underway. Our product for interstitial lung diseases may not be fully developed and introduced as planned in 2016.</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develop and commercialize diagnostic tests, we need to:</w:t>
      </w:r>
    </w:p>
    <w:p>
      <w:pPr>
        <w:spacing w:after="0" w:line="225"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70"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at an acceptable cost and on an acceptable timeframe to conduct analytical and clinical studies; or</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ectPr>
          <w:pgSz w:w="11900" w:h="16838" w:orient="portrait"/>
          <w:cols w:equalWidth="0" w:num="1">
            <w:col w:w="11400"/>
          </w:cols>
          <w:pgMar w:left="240" w:top="125" w:right="259" w:bottom="0" w:gutter="0" w:footer="0" w:header="0"/>
        </w:sectPr>
      </w:pPr>
    </w:p>
    <w:bookmarkStart w:id="31" w:name="page32"/>
    <w:bookmarkEnd w:id="31"/>
    <w:p>
      <w:pPr>
        <w:spacing w:after="0" w:line="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acquired Allegro Diagnostics in September 2014,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our recent acquisition of Allegro or any businesses we may acquire in the future. Any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7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current loan and security agreement contains covenants that could limit our ability to sell debt securities or obtain additional debt financing arrangements.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8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state and foreign laboratory licensing requirements, we could lose the ability to perform our tests or experience disruptions to our business.</w:t>
      </w:r>
    </w:p>
    <w:p>
      <w:pPr>
        <w:spacing w:after="0" w:line="17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 If we relocate either of our facilities, we could be required to undergo certification at our new facility in order to offer our tests.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also required to maintain state licenses to conduct testing in our laboratories. California, New York, Texas, among other states’ laws, require that we maintain a license and establish standards for the day-to-day operation of our clinical reference laboratories, including the training and skills required of personnel and quality control matters. In addition, both of our clinical reference laboratories are required to be licensed on a test-specific basis by New York State. We have received approval for the Afirma tests we currently offer, but will need to obtain approval for the Percepta test and any other tests we may offer in the future. New York law also mandates proficiency testing for laboratories licensed under New York state law, regardless of whether such laboratories are located in New York. Several other states require that we hold licenses to test samples from patients in those states. Other states may have similar requirements or may adopt similar requirements in the future. If we were to lose our CLIA certificate or California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Finally, we may be subject to regulation in foreign jurisdictions as we pursue offering our tests internationally. Other limitations, such as prohibitions on the import of tissue necessary for us to perform our tests or restrictions on the export of tissue imposed by countries outside of the United States may constrain our ability to offer tests internationally in the future.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Patient Protection and Affordable Care Act, as amended by the Health Care and Education Affordability Reconciliation Act, collectively the PPACA, enacted in March 2010, makes changes that are expected to significantly affect the pharmaceutical and medical device industries and clinical laboratories. Beginning in 2013, each medical device manufacturer must pay a sales tax in an amount equal to 2.3% of the price for which such manufacturer sells its medical devices that are listed with the FDA. The FDA has asserted that clinical laboratory tests such as Afirma are medical devices. However, consistent with the FDA’s policy of exercising enforcement discretion for LDTs, Afirma is not currently listed as a medical device with the FDA. We cannot assure you that the tax will not be extended to services such as ours in the future if Afirma or our other tests were to be regulated as a device. The PPACA also mandates a reduction in payments for clinical laboratory services paid under the Medicare Clinical Laboratory Fee Schedule, or CLFS, of 1.75% for the years 2011 through 2015 and a productivity adjustment to the CLFS which affects our cytopathology billings.</w:t>
      </w:r>
    </w:p>
    <w:p>
      <w:pPr>
        <w:spacing w:after="0" w:line="179"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Other significant measures contained in the PPACA include, for example, coordination and promotion of research on comparative clinical effectiveness of different technologies and procedures, initiatives to revise Medicare payment methodologies, such as bundling of payments across the</w:t>
      </w:r>
    </w:p>
    <w:p>
      <w:pPr>
        <w:sectPr>
          <w:pgSz w:w="11900" w:h="16908" w:orient="portrait"/>
          <w:cols w:equalWidth="0" w:num="1">
            <w:col w:w="11420"/>
          </w:cols>
          <w:pgMar w:left="240" w:top="125" w:right="239" w:bottom="0" w:gutter="0" w:footer="0" w:header="0"/>
        </w:sectPr>
      </w:pPr>
    </w:p>
    <w:bookmarkStart w:id="32" w:name="page33"/>
    <w:bookmarkEnd w:id="32"/>
    <w:p>
      <w:pPr>
        <w:spacing w:after="0" w:line="6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continuum of care by providers and physicians, and initiatives to promote quality indicators in payment methodologies. The PPACA also includes significant new fraud and abuse measures, including required disclosures of financial arrangements with physician customers, lower thresholds for violations and increasing potential penalties for such violations. In addition, the PPACA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PPACA to determine the trends and changes that may be necessitated by the legislation, any of which may potentially affect our business.</w:t>
      </w:r>
    </w:p>
    <w:p>
      <w:pPr>
        <w:spacing w:after="0" w:line="18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In addition to the PPACA,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resets the clinical lab payment rates on the Medicare CLFS by 2% in 2013. In addition, a further reduction of 2% is anticipated from implementation of the automatic expense reductions (sequester) under the Budget Control Act of 2011, which is legislated to be in effect for dates of service on or after April 1, 2013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78"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Recent changes to reimbursement methodologies have not changed the payment rate for Afirma; however,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will subject our business to foreign regulatory requirements and cost-reduction measures, which may also change over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Ongoing calls for deficit reduction at the Federal government level and reforms to programs such as the Medicare program to pay for such reductions may affect the pharmaceutical, medical device and clinical laboratory industries. In particular, recommendations by the Simpson-Bowles Commission called for the combination of Medicare Part A (hospital insurance) and Part B (physician and ancillary service insurance) into a single co-insurance and co-payment structure. Currently, clinical laboratory services are excluded from the Medicare Part B co-insurance and co-payment as preventative services. Combining Parts A and B may require clinical laboratories to collect co-payments from patients which may increase our costs and reduce the amount ultimately collected.</w:t>
      </w:r>
    </w:p>
    <w:p>
      <w:pPr>
        <w:spacing w:after="0" w:line="158"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In April 2014, the President signed the Protecting Access to Medicare Act of 2014, or PAMA, which included a substantial new payment system for clinical laboratory tests under the CLFS. Under PAMA, laboratories that receive the majority of their Medicare revenues from payments made under the CLFS would report, beginning January 1, 2016, and then on an every three year basis thereafter (or annually for “advanced diagnostic laboratory tests”), private payer payment rates and volumes for their tests. CMS will use the rates and volumes reported by laboratories to develop Medicare payment rates for the tests equal to the volume-weighted median of the private payer payment rates for the tests. The payment rates calculated under PAMA will be effective starting January 1, 2017. Any reductions to payment rates resulting from the new methodology are limited to 10% per test per year in each of the years 2017 through 2019 and to 15% per test per year in each of 2020 through 2022. Although CMS has not yet issued regulations to implement PAMA, we believe our Afirma GEC as well as our Percepta test would be considered an advanced diagnostic laboratory test. Further rule-making from CMS will define the time period and data elements evaluated on an annual basis to set reimbursement rates for tests like ours.</w:t>
      </w:r>
    </w:p>
    <w:p>
      <w:pPr>
        <w:spacing w:after="0" w:line="167"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PAMA also requires CMS to issue unique Health Care Common Procedure Coding System, or HCPCS code, to advanced diagnostic laboratory tests by January 1, 2016 for tests that were paid under the Medicare program prior to passage of the Act. In March 2015, we were issued a unique Tier1 CPT code that could impact reimbursement of the Afirma GEC in the future. Under PAMA, new advanced diagnostic laboratory tests paid by Medicare after the date of passage of PAMA will also receive unique HCPCS codes impacting private payer reimbursement of future tests we may commercialize.</w:t>
      </w:r>
    </w:p>
    <w:p>
      <w:pPr>
        <w:spacing w:after="0" w:line="15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PAMA codified coverage rules for laboratory tests by requiring any local coverage determination to be made following the established procedures for development and appeals of local coverage determinations. PAMA also authorizes CMS to consolidate coverage policies for clinical laboratory tests among one to four laboratory-specific MACs. These same contractors may also be designated to process claims if CMS determines that such a model is appropriate.</w:t>
      </w:r>
    </w:p>
    <w:p>
      <w:pPr>
        <w:spacing w:after="0" w:line="18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In addition to changes adopted by PAMA, in 2013 CMS announced plans to bundle payments for clinical laboratory tests together with other services performed during hospital outpatient visits under the Hospital Outpatient Prospective Payment System. CMS exempted molecular diagnostic tests from this packaging provision at that time. It is possible that this exemption could be removed by CMS in future rule making, which might result in lower reimbursement for tests performed in this setting.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Implementation of provisions of the PPACA has also resulted in increases in premiums and reductions in coverage for some patients. These events may result in patients delaying or forgoing medical checkups or treatment due to their inability to pay for our tests, which could have an adverse effect on our revenue.</w:t>
      </w:r>
    </w:p>
    <w:p>
      <w:pPr>
        <w:spacing w:after="0" w:line="15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70" w:lineRule="exact"/>
        <w:rPr>
          <w:sz w:val="20"/>
          <w:szCs w:val="20"/>
          <w:color w:val="auto"/>
        </w:rPr>
      </w:pPr>
    </w:p>
    <w:p>
      <w:pPr>
        <w:ind w:left="980" w:right="200" w:hanging="324"/>
        <w:spacing w:after="0" w:line="342" w:lineRule="auto"/>
        <w:tabs>
          <w:tab w:leader="none" w:pos="94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w:t>
      </w:r>
    </w:p>
    <w:p>
      <w:pPr>
        <w:sectPr>
          <w:pgSz w:w="11900" w:h="16908" w:orient="portrait"/>
          <w:cols w:equalWidth="0" w:num="1">
            <w:col w:w="11420"/>
          </w:cols>
          <w:pgMar w:left="240" w:top="125" w:right="239" w:bottom="0" w:gutter="0" w:footer="0" w:header="0"/>
        </w:sectPr>
      </w:pPr>
    </w:p>
    <w:bookmarkStart w:id="33" w:name="page34"/>
    <w:bookmarkEnd w:id="33"/>
    <w:p>
      <w:pPr>
        <w:jc w:val="both"/>
        <w:ind w:left="980" w:right="140"/>
        <w:spacing w:after="0" w:line="264" w:lineRule="auto"/>
        <w:rPr>
          <w:sz w:val="20"/>
          <w:szCs w:val="20"/>
          <w:color w:val="auto"/>
        </w:rPr>
      </w:pPr>
      <w:r>
        <w:rPr>
          <w:rFonts w:ascii="Arial" w:cs="Arial" w:eastAsia="Arial" w:hAnsi="Arial"/>
          <w:sz w:val="18"/>
          <w:szCs w:val="18"/>
          <w:color w:val="auto"/>
        </w:rPr>
        <w:t>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81" w:lineRule="exact"/>
        <w:rPr>
          <w:sz w:val="20"/>
          <w:szCs w:val="20"/>
          <w:color w:val="auto"/>
        </w:rPr>
      </w:pPr>
    </w:p>
    <w:p>
      <w:pPr>
        <w:ind w:left="5620" w:right="4980" w:hanging="4964"/>
        <w:spacing w:after="0" w:line="624" w:lineRule="auto"/>
        <w:tabs>
          <w:tab w:leader="none" w:pos="941" w:val="left"/>
        </w:tabs>
        <w:numPr>
          <w:ilvl w:val="0"/>
          <w:numId w:val="9"/>
        </w:numPr>
        <w:rPr>
          <w:rFonts w:ascii="Arial" w:cs="Arial" w:eastAsia="Arial" w:hAnsi="Arial"/>
          <w:sz w:val="16"/>
          <w:szCs w:val="16"/>
          <w:color w:val="auto"/>
        </w:rPr>
      </w:pPr>
      <w:r>
        <w:rPr>
          <w:rFonts w:ascii="Arial" w:cs="Arial" w:eastAsia="Arial" w:hAnsi="Arial"/>
          <w:sz w:val="16"/>
          <w:szCs w:val="16"/>
          <w:color w:val="auto"/>
        </w:rPr>
        <w:t>Medicare billing and payment regulations applicable to clinical laboratories;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7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260" w:hanging="324"/>
        <w:spacing w:after="0" w:line="264"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 care program;</w:t>
      </w:r>
    </w:p>
    <w:p>
      <w:pPr>
        <w:spacing w:after="0" w:line="181" w:lineRule="exact"/>
        <w:rPr>
          <w:rFonts w:ascii="Arial" w:cs="Arial" w:eastAsia="Arial" w:hAnsi="Arial"/>
          <w:sz w:val="18"/>
          <w:szCs w:val="18"/>
          <w:color w:val="auto"/>
        </w:rPr>
      </w:pPr>
    </w:p>
    <w:p>
      <w:pPr>
        <w:ind w:left="980" w:right="80" w:hanging="324"/>
        <w:spacing w:after="0" w:line="259"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6" w:lineRule="exact"/>
        <w:rPr>
          <w:rFonts w:ascii="Arial" w:cs="Arial" w:eastAsia="Arial" w:hAnsi="Arial"/>
          <w:sz w:val="18"/>
          <w:szCs w:val="18"/>
          <w:color w:val="auto"/>
        </w:rPr>
      </w:pPr>
    </w:p>
    <w:p>
      <w:pPr>
        <w:ind w:left="980" w:right="180" w:hanging="324"/>
        <w:spacing w:after="0" w:line="286" w:lineRule="auto"/>
        <w:tabs>
          <w:tab w:leader="none" w:pos="94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65" w:lineRule="exact"/>
        <w:rPr>
          <w:rFonts w:ascii="Arial" w:cs="Arial" w:eastAsia="Arial" w:hAnsi="Arial"/>
          <w:sz w:val="17"/>
          <w:szCs w:val="17"/>
          <w:color w:val="auto"/>
        </w:rPr>
      </w:pPr>
    </w:p>
    <w:p>
      <w:pPr>
        <w:ind w:left="980" w:right="46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that, among other things, knowingly presents, or causes to be presented, a false or fraudulent claim for payment to the federal government;</w:t>
      </w:r>
    </w:p>
    <w:p>
      <w:pPr>
        <w:spacing w:after="0" w:line="170" w:lineRule="exact"/>
        <w:rPr>
          <w:rFonts w:ascii="Arial" w:cs="Arial" w:eastAsia="Arial" w:hAnsi="Arial"/>
          <w:sz w:val="18"/>
          <w:szCs w:val="18"/>
          <w:color w:val="auto"/>
        </w:rPr>
      </w:pPr>
    </w:p>
    <w:p>
      <w:pPr>
        <w:jc w:val="both"/>
        <w:ind w:left="980" w:right="240" w:hanging="324"/>
        <w:spacing w:after="0" w:line="264"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70" w:lineRule="exact"/>
        <w:rPr>
          <w:rFonts w:ascii="Arial" w:cs="Arial" w:eastAsia="Arial" w:hAnsi="Arial"/>
          <w:sz w:val="18"/>
          <w:szCs w:val="18"/>
          <w:color w:val="auto"/>
        </w:rPr>
      </w:pPr>
    </w:p>
    <w:p>
      <w:pPr>
        <w:jc w:val="both"/>
        <w:ind w:left="980" w:right="60" w:hanging="324"/>
        <w:spacing w:after="0" w:line="264"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81" w:lineRule="exact"/>
        <w:rPr>
          <w:rFonts w:ascii="Arial" w:cs="Arial" w:eastAsia="Arial" w:hAnsi="Arial"/>
          <w:sz w:val="18"/>
          <w:szCs w:val="18"/>
          <w:color w:val="auto"/>
        </w:rPr>
      </w:pPr>
    </w:p>
    <w:p>
      <w:pPr>
        <w:ind w:left="980" w:right="20" w:hanging="324"/>
        <w:spacing w:after="0" w:line="264"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 and</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 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181" w:lineRule="exact"/>
        <w:rPr>
          <w:sz w:val="20"/>
          <w:szCs w:val="20"/>
          <w:color w:val="auto"/>
        </w:rPr>
      </w:pPr>
    </w:p>
    <w:p>
      <w:pPr>
        <w:ind w:left="980" w:right="620" w:hanging="324"/>
        <w:spacing w:after="0" w:line="277"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 in various countries;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ectPr>
          <w:pgSz w:w="11900" w:h="16838" w:orient="portrait"/>
          <w:cols w:equalWidth="0" w:num="1">
            <w:col w:w="11420"/>
          </w:cols>
          <w:pgMar w:left="240" w:top="125" w:right="239" w:bottom="0" w:gutter="0" w:footer="0" w:header="0"/>
        </w:sectPr>
      </w:pPr>
    </w:p>
    <w:bookmarkStart w:id="34" w:name="page35"/>
    <w:bookmarkEnd w:id="34"/>
    <w:p>
      <w:pPr>
        <w:spacing w:after="0" w:line="69" w:lineRule="exact"/>
        <w:rPr>
          <w:sz w:val="20"/>
          <w:szCs w:val="20"/>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25" w:lineRule="exact"/>
        <w:rPr>
          <w:rFonts w:ascii="Arial" w:cs="Arial" w:eastAsia="Arial" w:hAnsi="Arial"/>
          <w:sz w:val="18"/>
          <w:szCs w:val="18"/>
          <w:color w:val="auto"/>
        </w:rPr>
      </w:pPr>
    </w:p>
    <w:p>
      <w:pPr>
        <w:ind w:left="980" w:right="500" w:hanging="324"/>
        <w:spacing w:after="0" w:line="27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inventory management, sample logistics, billing and promotional activities;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70" w:lineRule="exact"/>
        <w:rPr>
          <w:rFonts w:ascii="Arial" w:cs="Arial" w:eastAsia="Arial" w:hAnsi="Arial"/>
          <w:sz w:val="18"/>
          <w:szCs w:val="18"/>
          <w:color w:val="auto"/>
        </w:rPr>
      </w:pPr>
    </w:p>
    <w:p>
      <w:pPr>
        <w:ind w:left="980" w:right="40" w:hanging="324"/>
        <w:spacing w:after="0" w:line="308" w:lineRule="auto"/>
        <w:tabs>
          <w:tab w:leader="none" w:pos="9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4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our Afirma Malignancy Classifiers and Percepta, as well as tests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perform all of the Afirma GEC testing at our laboratory in South San Francisco, California. Our laboratory in Austin, Texas accepts and stores substantially all FNA samples pending transfer to our California laboratory for Afirma GEC processing. We have commenced Percepta testing in our South San Francisco laboratory as well.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3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3"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expand our infrastructure, commercial operations and research and development activities. We may seek to raise additional capital through equity offerings, debt financings, collaborations or</w:t>
      </w:r>
    </w:p>
    <w:p>
      <w:pPr>
        <w:sectPr>
          <w:pgSz w:w="11900" w:h="16908" w:orient="portrait"/>
          <w:cols w:equalWidth="0" w:num="1">
            <w:col w:w="11420"/>
          </w:cols>
          <w:pgMar w:left="240" w:top="125" w:right="239" w:bottom="0" w:gutter="0" w:footer="0" w:header="0"/>
        </w:sectPr>
      </w:pPr>
    </w:p>
    <w:bookmarkStart w:id="35" w:name="page36"/>
    <w:bookmarkEnd w:id="35"/>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69"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0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seven issued patents that expire between 2029 and 2032 related to methods used in the Afirma diagnostic platform, in addition to seven pending U.S. utility patent applications, three U.S. provisional applications and one PCT application. Some of these U.S. utility patent applications have pending foreign counterparts. We also exclusively licensed intellectual property, including rights to one issued patent that will expire in 2031 and three pending U.S. utility patent applications in the thyroid space that would expire between 2030 and 2033 once issued, related to methods that are used in the Afirma diagnostic test, some of which have foreign counterparts. </w:t>
      </w:r>
      <w:r>
        <w:rPr>
          <w:rFonts w:ascii="Arial" w:cs="Arial" w:eastAsia="Arial" w:hAnsi="Arial"/>
          <w:sz w:val="15"/>
          <w:szCs w:val="15"/>
          <w:color w:val="auto"/>
        </w:rPr>
        <w:t>In the lung diagnostic space, we exclusively license intellectual property rights to seven pending patent applications</w:t>
      </w:r>
      <w:r>
        <w:rPr>
          <w:rFonts w:ascii="Arial" w:cs="Arial" w:eastAsia="Arial" w:hAnsi="Arial"/>
          <w:sz w:val="16"/>
          <w:szCs w:val="16"/>
          <w:color w:val="auto"/>
        </w:rPr>
        <w:t xml:space="preserve"> </w:t>
      </w:r>
      <w:r>
        <w:rPr>
          <w:rFonts w:ascii="Arial" w:cs="Arial" w:eastAsia="Arial" w:hAnsi="Arial"/>
          <w:sz w:val="15"/>
          <w:szCs w:val="15"/>
          <w:color w:val="auto"/>
        </w:rPr>
        <w:t xml:space="preserve">and one issued patent in the United States and abroad. Patents issuing from the licensed portfolio will expire between 2024 and 2028. In addition, we own a PCT application related to our Percepta test. We also own two applications related to other lung diseases, and a pending U.S. application, two ex-U.S. applications, and two provisional U.S. applications related to our interstitial lung disease test under development. Any patents granted from the current lung cancer patent applications will expire from 2032 to 2034 and those from the interstitial lung disease patent applications will expire from 2034 to 2036. </w:t>
      </w:r>
      <w:r>
        <w:rPr>
          <w:rFonts w:ascii="Arial" w:cs="Arial" w:eastAsia="Arial" w:hAnsi="Arial"/>
          <w:sz w:val="16"/>
          <w:szCs w:val="16"/>
          <w:color w:val="auto"/>
        </w:rPr>
        <w:t>It is possible that none</w:t>
      </w:r>
      <w:r>
        <w:rPr>
          <w:rFonts w:ascii="Arial" w:cs="Arial" w:eastAsia="Arial" w:hAnsi="Arial"/>
          <w:sz w:val="15"/>
          <w:szCs w:val="15"/>
          <w:color w:val="auto"/>
        </w:rPr>
        <w:t xml:space="preserve"> </w:t>
      </w:r>
      <w:r>
        <w:rPr>
          <w:rFonts w:ascii="Arial" w:cs="Arial" w:eastAsia="Arial" w:hAnsi="Arial"/>
          <w:sz w:val="16"/>
          <w:szCs w:val="16"/>
          <w:color w:val="auto"/>
        </w:rPr>
        <w:t>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w:t>
      </w:r>
    </w:p>
    <w:p>
      <w:pPr>
        <w:sectPr>
          <w:pgSz w:w="11900" w:h="16861" w:orient="portrait"/>
          <w:cols w:equalWidth="0" w:num="1">
            <w:col w:w="11420"/>
          </w:cols>
          <w:pgMar w:left="240" w:top="125" w:right="239" w:bottom="0" w:gutter="0" w:footer="0" w:header="0"/>
        </w:sectPr>
      </w:pPr>
    </w:p>
    <w:bookmarkStart w:id="36" w:name="page37"/>
    <w:bookmarkEnd w:id="36"/>
    <w:p>
      <w:pPr>
        <w:spacing w:after="0" w:line="1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others may not be successful, or, if successful, may take substantial time and result in substantial cost, and may divert our efforts and attention from other aspects of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71" w:lineRule="exact"/>
        <w:rPr>
          <w:sz w:val="20"/>
          <w:szCs w:val="20"/>
          <w:color w:val="auto"/>
        </w:rPr>
      </w:pPr>
    </w:p>
    <w:p>
      <w:pPr>
        <w:ind w:right="80" w:firstLine="654"/>
        <w:spacing w:after="0" w:line="291" w:lineRule="auto"/>
        <w:rPr>
          <w:sz w:val="20"/>
          <w:szCs w:val="20"/>
          <w:color w:val="auto"/>
        </w:rPr>
      </w:pPr>
      <w:r>
        <w:rPr>
          <w:rFonts w:ascii="Arial" w:cs="Arial" w:eastAsia="Arial" w:hAnsi="Arial"/>
          <w:sz w:val="16"/>
          <w:szCs w:val="16"/>
          <w:color w:val="auto"/>
        </w:rPr>
        <w:t>In particular, the patent positions of companies engaged in the development and commercialization of genomic diagnostic tests, like the Afirma GEC, Malignancy Classifiers and Percepta,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6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93"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not registered certain of our trademarks, including Afirma and Percepta,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w:t>
      </w:r>
    </w:p>
    <w:p>
      <w:pPr>
        <w:sectPr>
          <w:pgSz w:w="11900" w:h="16975" w:orient="portrait"/>
          <w:cols w:equalWidth="0" w:num="1">
            <w:col w:w="11420"/>
          </w:cols>
          <w:pgMar w:left="240" w:top="125" w:right="239" w:bottom="0" w:gutter="0" w:footer="0" w:header="0"/>
        </w:sectPr>
      </w:pPr>
    </w:p>
    <w:bookmarkStart w:id="37" w:name="page38"/>
    <w:bookmarkEnd w:id="37"/>
    <w:p>
      <w:pPr>
        <w:spacing w:after="0" w:line="2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misuse by us of third-party trade secrets, infringement by us of third-party patents and trademarks or other rights, or the validity of our patents, trademarks or other rights, will not be asserted or prosecuted against us.</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8"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73"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7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24"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beginning with the annual report for the year ending December 31, 2014,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w:t>
      </w:r>
    </w:p>
    <w:p>
      <w:pPr>
        <w:sectPr>
          <w:pgSz w:w="11900" w:h="16865" w:orient="portrait"/>
          <w:cols w:equalWidth="0" w:num="1">
            <w:col w:w="11420"/>
          </w:cols>
          <w:pgMar w:left="240" w:top="125" w:right="239" w:bottom="0" w:gutter="0" w:footer="0" w:header="0"/>
        </w:sectPr>
      </w:pPr>
    </w:p>
    <w:bookmarkStart w:id="38" w:name="page39"/>
    <w:bookmarkEnd w:id="38"/>
    <w:p>
      <w:pPr>
        <w:spacing w:after="0" w:line="4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weaknesses in our internal controls, in which case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7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are an emerging growth company, as defined under the Securities Act of 1933, or the Securities Act. We will remain an emerging growth company until December 31, 2018,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We cannot predict whether investors will find our common stock less attractive if we choose to rely on any of these exemptions. If some investors find our common stock less attractive as a result of any choices to reduce future disclosure we may make, there may be a less active trading market for our common stock and our stock price may be more volatile.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Prior to our initial public offering in October 2013, there was no public market for our common stock, and an active and liquid public market for our stock may not develop or be sustained. In addition, the trading price of our common stock is likely to continue to be highly volatile and could be subject to wide fluctuations in response to various factors, some of which are beyond our control. These factors include:</w:t>
      </w:r>
    </w:p>
    <w:p>
      <w:pPr>
        <w:spacing w:after="0" w:line="181"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our revenue, due in part to the way in which we recognize revenue;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in the trading market for our stock for some period of time following our initial public offering, especially if substantial investors sell large blocks of stock, particularly if the trading volume in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The trading market for our common stock will depend in part on the research and reports that equity research analysts publish about us and our business.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w:t>
      </w:r>
    </w:p>
    <w:p>
      <w:pPr>
        <w:sectPr>
          <w:pgSz w:w="11900" w:h="16885" w:orient="portrait"/>
          <w:cols w:equalWidth="0" w:num="1">
            <w:col w:w="11420"/>
          </w:cols>
          <w:pgMar w:left="240" w:top="125" w:right="239" w:bottom="0" w:gutter="0" w:footer="0" w:header="0"/>
        </w:sectPr>
      </w:pPr>
    </w:p>
    <w:bookmarkStart w:id="39" w:name="page40"/>
    <w:bookmarkEnd w:id="39"/>
    <w:p>
      <w:pPr>
        <w:ind w:right="480"/>
        <w:spacing w:after="0" w:line="264" w:lineRule="auto"/>
        <w:rPr>
          <w:sz w:val="20"/>
          <w:szCs w:val="20"/>
          <w:color w:val="auto"/>
        </w:rPr>
      </w:pPr>
      <w:r>
        <w:rPr>
          <w:rFonts w:ascii="Arial" w:cs="Arial" w:eastAsia="Arial" w:hAnsi="Arial"/>
          <w:sz w:val="18"/>
          <w:szCs w:val="18"/>
          <w:color w:val="auto"/>
        </w:rPr>
        <w:t>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As of August 3, 2015, directors and executive officers and their affiliates beneficially owned, in the aggregate, 38%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47"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right="16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Veracyte, Inc. Employee Stock Purchase Plan</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Office Building Lease By and Between American Fund US Investments L.P. and the Registrant dated April 29, 2015.</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t># Indicates management contract or compensating plan or arrangement</w:t>
      </w:r>
    </w:p>
    <w:p>
      <w:pPr>
        <w:spacing w:after="0" w:line="225" w:lineRule="exact"/>
        <w:rPr>
          <w:sz w:val="20"/>
          <w:szCs w:val="20"/>
          <w:color w:val="auto"/>
        </w:rPr>
      </w:pPr>
    </w:p>
    <w:p>
      <w:pPr>
        <w:ind w:right="100" w:firstLine="8"/>
        <w:spacing w:after="0" w:line="259" w:lineRule="auto"/>
        <w:tabs>
          <w:tab w:leader="none" w:pos="2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9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2"/>
          </w:tcPr>
          <w:p>
            <w:pPr>
              <w:ind w:left="394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2"/>
          </w:tcPr>
          <w:p>
            <w:pPr>
              <w:ind w:left="3940"/>
              <w:spacing w:after="0"/>
              <w:rPr>
                <w:sz w:val="20"/>
                <w:szCs w:val="20"/>
                <w:color w:val="auto"/>
              </w:rPr>
            </w:pPr>
            <w:r>
              <w:rPr>
                <w:rFonts w:ascii="Arial" w:cs="Arial" w:eastAsia="Arial" w:hAnsi="Arial"/>
                <w:sz w:val="18"/>
                <w:szCs w:val="18"/>
                <w:color w:val="auto"/>
              </w:rPr>
              <w:t>By:   /s/ Shelly D. Guyer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5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2"/>
          </w:tcPr>
          <w:p>
            <w:pPr>
              <w:ind w:left="4240"/>
              <w:spacing w:after="0"/>
              <w:rPr>
                <w:sz w:val="20"/>
                <w:szCs w:val="20"/>
                <w:color w:val="auto"/>
              </w:rPr>
            </w:pPr>
            <w:r>
              <w:rPr>
                <w:rFonts w:ascii="Arial" w:cs="Arial" w:eastAsia="Arial" w:hAnsi="Arial"/>
                <w:sz w:val="18"/>
                <w:szCs w:val="18"/>
                <w:color w:val="auto"/>
              </w:rPr>
              <w:t>55</w:t>
            </w:r>
          </w:p>
        </w:tc>
        <w:tc>
          <w:tcPr>
            <w:tcW w:w="5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440" w:type="dxa"/>
            <w:vAlign w:val="bottom"/>
            <w:tcBorders>
              <w:bottom w:val="single" w:sz="8" w:color="808080"/>
            </w:tcBorders>
          </w:tcPr>
          <w:p>
            <w:pPr>
              <w:spacing w:after="0"/>
              <w:rPr>
                <w:sz w:val="11"/>
                <w:szCs w:val="11"/>
                <w:color w:val="auto"/>
              </w:rPr>
            </w:pPr>
          </w:p>
        </w:tc>
        <w:tc>
          <w:tcPr>
            <w:tcW w:w="5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80" w:type="dxa"/>
            <w:vAlign w:val="bottom"/>
            <w:gridSpan w:val="4"/>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1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4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Veracyte, Inc. Employee Stock Purchase Plan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Office Building Lease By and Between American Fund US Investments L.P. and the Registrant dated April 29, 2015.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Calculation Linkbase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Label Linkbase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Presentation Linkbase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-2368550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-2368550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compensating plan or arrangement.</w:t>
      </w:r>
    </w:p>
    <w:p>
      <w:pPr>
        <w:spacing w:after="0" w:line="225" w:lineRule="exact"/>
        <w:rPr>
          <w:sz w:val="20"/>
          <w:szCs w:val="20"/>
          <w:color w:val="auto"/>
        </w:rPr>
      </w:pPr>
    </w:p>
    <w:p>
      <w:pPr>
        <w:ind w:right="100" w:firstLine="8"/>
        <w:spacing w:after="0" w:line="259" w:lineRule="auto"/>
        <w:tabs>
          <w:tab w:leader="none" w:pos="2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71" w:right="199" w:bottom="1440" w:gutter="0" w:footer="0" w:header="0"/>
        </w:sectPr>
      </w:pPr>
    </w:p>
    <w:bookmarkStart w:id="41" w:name="page42"/>
    <w:bookmarkEnd w:id="41"/>
    <w:p>
      <w:pPr>
        <w:spacing w:after="0" w:line="5" w:lineRule="exact"/>
        <w:rPr>
          <w:sz w:val="20"/>
          <w:szCs w:val="20"/>
          <w:color w:val="auto"/>
        </w:rPr>
      </w:pPr>
    </w:p>
    <w:p>
      <w:pPr>
        <w:ind w:left="10480"/>
        <w:spacing w:after="0"/>
        <w:rPr>
          <w:sz w:val="20"/>
          <w:szCs w:val="20"/>
          <w:color w:val="auto"/>
        </w:rPr>
      </w:pPr>
      <w:r>
        <w:rPr>
          <w:rFonts w:ascii="Arial" w:cs="Arial" w:eastAsia="Arial" w:hAnsi="Arial"/>
          <w:sz w:val="17"/>
          <w:szCs w:val="17"/>
          <w:b w:val="1"/>
          <w:bCs w:val="1"/>
          <w:color w:val="auto"/>
        </w:rPr>
        <w:t>Exhibit 10.1</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EMPLOYEE STOCK PURCHASE PLAN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adopted March 10, 2015 by the Board and approved May 18, 2015 by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980" w:type="dxa"/>
            <w:vAlign w:val="bottom"/>
            <w:gridSpan w:val="5"/>
          </w:tcPr>
          <w:p>
            <w:pPr>
              <w:jc w:val="right"/>
              <w:ind w:right="5100"/>
              <w:spacing w:after="0"/>
              <w:rPr>
                <w:sz w:val="20"/>
                <w:szCs w:val="20"/>
                <w:color w:val="auto"/>
              </w:rPr>
            </w:pPr>
            <w:r>
              <w:rPr>
                <w:rFonts w:ascii="Arial" w:cs="Arial" w:eastAsia="Arial" w:hAnsi="Arial"/>
                <w:sz w:val="18"/>
                <w:szCs w:val="18"/>
                <w:color w:val="auto"/>
              </w:rPr>
              <w:t>Table of Contents</w:t>
            </w:r>
          </w:p>
        </w:tc>
      </w:tr>
      <w:tr>
        <w:trPr>
          <w:trHeight w:val="385"/>
        </w:trPr>
        <w:tc>
          <w:tcPr>
            <w:tcW w:w="1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160" w:type="dxa"/>
            <w:vAlign w:val="bottom"/>
          </w:tcPr>
          <w:p>
            <w:pPr>
              <w:spacing w:after="0"/>
              <w:rPr>
                <w:sz w:val="24"/>
                <w:szCs w:val="2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200" w:type="dxa"/>
            <w:vAlign w:val="bottom"/>
          </w:tcPr>
          <w:p>
            <w:pPr>
              <w:spacing w:after="0"/>
              <w:rPr>
                <w:sz w:val="20"/>
                <w:szCs w:val="20"/>
                <w:color w:val="auto"/>
              </w:rPr>
            </w:pPr>
            <w:r>
              <w:rPr>
                <w:rFonts w:ascii="Arial" w:cs="Arial" w:eastAsia="Arial" w:hAnsi="Arial"/>
                <w:sz w:val="18"/>
                <w:szCs w:val="18"/>
                <w:color w:val="auto"/>
              </w:rPr>
              <w:t>SECTION 1</w:t>
            </w:r>
          </w:p>
        </w:tc>
        <w:tc>
          <w:tcPr>
            <w:tcW w:w="3280" w:type="dxa"/>
            <w:vAlign w:val="bottom"/>
          </w:tcPr>
          <w:p>
            <w:pPr>
              <w:ind w:left="240"/>
              <w:spacing w:after="0"/>
              <w:rPr>
                <w:sz w:val="20"/>
                <w:szCs w:val="20"/>
                <w:color w:val="auto"/>
              </w:rPr>
            </w:pPr>
            <w:r>
              <w:rPr>
                <w:rFonts w:ascii="Arial" w:cs="Arial" w:eastAsia="Arial" w:hAnsi="Arial"/>
                <w:sz w:val="18"/>
                <w:szCs w:val="18"/>
                <w:color w:val="auto"/>
              </w:rPr>
              <w:t>Purpose Of The Plan</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1</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2</w:t>
            </w:r>
          </w:p>
        </w:tc>
        <w:tc>
          <w:tcPr>
            <w:tcW w:w="328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(a)</w:t>
            </w:r>
          </w:p>
        </w:tc>
        <w:tc>
          <w:tcPr>
            <w:tcW w:w="3280" w:type="dxa"/>
            <w:vAlign w:val="bottom"/>
          </w:tcPr>
          <w:p>
            <w:pPr>
              <w:ind w:left="240"/>
              <w:spacing w:after="0"/>
              <w:rPr>
                <w:sz w:val="20"/>
                <w:szCs w:val="20"/>
                <w:color w:val="auto"/>
              </w:rPr>
            </w:pPr>
            <w:r>
              <w:rPr>
                <w:rFonts w:ascii="Arial" w:cs="Arial" w:eastAsia="Arial" w:hAnsi="Arial"/>
                <w:sz w:val="18"/>
                <w:szCs w:val="18"/>
                <w:color w:val="auto"/>
              </w:rPr>
              <w:t>“Board”</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(b)</w:t>
            </w:r>
          </w:p>
        </w:tc>
        <w:tc>
          <w:tcPr>
            <w:tcW w:w="3280" w:type="dxa"/>
            <w:vAlign w:val="bottom"/>
          </w:tcPr>
          <w:p>
            <w:pPr>
              <w:ind w:left="240"/>
              <w:spacing w:after="0"/>
              <w:rPr>
                <w:sz w:val="20"/>
                <w:szCs w:val="20"/>
                <w:color w:val="auto"/>
              </w:rPr>
            </w:pPr>
            <w:r>
              <w:rPr>
                <w:rFonts w:ascii="Arial" w:cs="Arial" w:eastAsia="Arial" w:hAnsi="Arial"/>
                <w:sz w:val="18"/>
                <w:szCs w:val="18"/>
                <w:color w:val="auto"/>
              </w:rPr>
              <w:t>“Code”</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(c)</w:t>
            </w:r>
          </w:p>
        </w:tc>
        <w:tc>
          <w:tcPr>
            <w:tcW w:w="3280" w:type="dxa"/>
            <w:vAlign w:val="bottom"/>
          </w:tcPr>
          <w:p>
            <w:pPr>
              <w:ind w:left="240"/>
              <w:spacing w:after="0"/>
              <w:rPr>
                <w:sz w:val="20"/>
                <w:szCs w:val="20"/>
                <w:color w:val="auto"/>
              </w:rPr>
            </w:pPr>
            <w:r>
              <w:rPr>
                <w:rFonts w:ascii="Arial" w:cs="Arial" w:eastAsia="Arial" w:hAnsi="Arial"/>
                <w:sz w:val="18"/>
                <w:szCs w:val="18"/>
                <w:color w:val="auto"/>
              </w:rPr>
              <w:t>“Committee”</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(d)</w:t>
            </w:r>
          </w:p>
        </w:tc>
        <w:tc>
          <w:tcPr>
            <w:tcW w:w="3280" w:type="dxa"/>
            <w:vAlign w:val="bottom"/>
          </w:tcPr>
          <w:p>
            <w:pPr>
              <w:ind w:left="240"/>
              <w:spacing w:after="0"/>
              <w:rPr>
                <w:sz w:val="20"/>
                <w:szCs w:val="20"/>
                <w:color w:val="auto"/>
              </w:rPr>
            </w:pPr>
            <w:r>
              <w:rPr>
                <w:rFonts w:ascii="Arial" w:cs="Arial" w:eastAsia="Arial" w:hAnsi="Arial"/>
                <w:sz w:val="18"/>
                <w:szCs w:val="18"/>
                <w:color w:val="auto"/>
              </w:rPr>
              <w:t>“Company”</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(e)</w:t>
            </w:r>
          </w:p>
        </w:tc>
        <w:tc>
          <w:tcPr>
            <w:tcW w:w="3280" w:type="dxa"/>
            <w:vAlign w:val="bottom"/>
          </w:tcPr>
          <w:p>
            <w:pPr>
              <w:ind w:left="240"/>
              <w:spacing w:after="0"/>
              <w:rPr>
                <w:sz w:val="20"/>
                <w:szCs w:val="20"/>
                <w:color w:val="auto"/>
              </w:rPr>
            </w:pPr>
            <w:r>
              <w:rPr>
                <w:rFonts w:ascii="Arial" w:cs="Arial" w:eastAsia="Arial" w:hAnsi="Arial"/>
                <w:sz w:val="18"/>
                <w:szCs w:val="18"/>
                <w:color w:val="auto"/>
              </w:rPr>
              <w:t>“Compensation”</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(f)</w:t>
            </w:r>
          </w:p>
        </w:tc>
        <w:tc>
          <w:tcPr>
            <w:tcW w:w="3280" w:type="dxa"/>
            <w:vAlign w:val="bottom"/>
          </w:tcPr>
          <w:p>
            <w:pPr>
              <w:ind w:left="240"/>
              <w:spacing w:after="0"/>
              <w:rPr>
                <w:sz w:val="20"/>
                <w:szCs w:val="20"/>
                <w:color w:val="auto"/>
              </w:rPr>
            </w:pPr>
            <w:r>
              <w:rPr>
                <w:rFonts w:ascii="Arial" w:cs="Arial" w:eastAsia="Arial" w:hAnsi="Arial"/>
                <w:sz w:val="18"/>
                <w:szCs w:val="18"/>
                <w:color w:val="auto"/>
              </w:rPr>
              <w:t>“Corporate Reorganization”</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(g)</w:t>
            </w:r>
          </w:p>
        </w:tc>
        <w:tc>
          <w:tcPr>
            <w:tcW w:w="3280" w:type="dxa"/>
            <w:vAlign w:val="bottom"/>
          </w:tcPr>
          <w:p>
            <w:pPr>
              <w:ind w:left="240"/>
              <w:spacing w:after="0"/>
              <w:rPr>
                <w:sz w:val="20"/>
                <w:szCs w:val="20"/>
                <w:color w:val="auto"/>
              </w:rPr>
            </w:pPr>
            <w:r>
              <w:rPr>
                <w:rFonts w:ascii="Arial" w:cs="Arial" w:eastAsia="Arial" w:hAnsi="Arial"/>
                <w:sz w:val="18"/>
                <w:szCs w:val="18"/>
                <w:color w:val="auto"/>
              </w:rPr>
              <w:t>“Eligible Employee”</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(h)</w:t>
            </w:r>
          </w:p>
        </w:tc>
        <w:tc>
          <w:tcPr>
            <w:tcW w:w="3280" w:type="dxa"/>
            <w:vAlign w:val="bottom"/>
          </w:tcPr>
          <w:p>
            <w:pPr>
              <w:ind w:left="240"/>
              <w:spacing w:after="0"/>
              <w:rPr>
                <w:sz w:val="20"/>
                <w:szCs w:val="20"/>
                <w:color w:val="auto"/>
              </w:rPr>
            </w:pPr>
            <w:r>
              <w:rPr>
                <w:rFonts w:ascii="Arial" w:cs="Arial" w:eastAsia="Arial" w:hAnsi="Arial"/>
                <w:sz w:val="18"/>
                <w:szCs w:val="18"/>
                <w:color w:val="auto"/>
              </w:rPr>
              <w:t>“Exchange Act”</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(i)</w:t>
            </w:r>
          </w:p>
        </w:tc>
        <w:tc>
          <w:tcPr>
            <w:tcW w:w="3280" w:type="dxa"/>
            <w:vAlign w:val="bottom"/>
          </w:tcPr>
          <w:p>
            <w:pPr>
              <w:ind w:left="240"/>
              <w:spacing w:after="0"/>
              <w:rPr>
                <w:sz w:val="20"/>
                <w:szCs w:val="20"/>
                <w:color w:val="auto"/>
              </w:rPr>
            </w:pPr>
            <w:r>
              <w:rPr>
                <w:rFonts w:ascii="Arial" w:cs="Arial" w:eastAsia="Arial" w:hAnsi="Arial"/>
                <w:sz w:val="18"/>
                <w:szCs w:val="18"/>
                <w:color w:val="auto"/>
              </w:rPr>
              <w:t>“Fair Market Value”</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(j)</w:t>
            </w:r>
          </w:p>
        </w:tc>
        <w:tc>
          <w:tcPr>
            <w:tcW w:w="3280" w:type="dxa"/>
            <w:vAlign w:val="bottom"/>
          </w:tcPr>
          <w:p>
            <w:pPr>
              <w:ind w:left="240"/>
              <w:spacing w:after="0"/>
              <w:rPr>
                <w:sz w:val="20"/>
                <w:szCs w:val="20"/>
                <w:color w:val="auto"/>
              </w:rPr>
            </w:pPr>
            <w:r>
              <w:rPr>
                <w:rFonts w:ascii="Arial" w:cs="Arial" w:eastAsia="Arial" w:hAnsi="Arial"/>
                <w:sz w:val="18"/>
                <w:szCs w:val="18"/>
                <w:color w:val="auto"/>
              </w:rPr>
              <w:t>“Offering”</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(k)</w:t>
            </w:r>
          </w:p>
        </w:tc>
        <w:tc>
          <w:tcPr>
            <w:tcW w:w="3280" w:type="dxa"/>
            <w:vAlign w:val="bottom"/>
          </w:tcPr>
          <w:p>
            <w:pPr>
              <w:ind w:left="240"/>
              <w:spacing w:after="0"/>
              <w:rPr>
                <w:sz w:val="20"/>
                <w:szCs w:val="20"/>
                <w:color w:val="auto"/>
              </w:rPr>
            </w:pPr>
            <w:r>
              <w:rPr>
                <w:rFonts w:ascii="Arial" w:cs="Arial" w:eastAsia="Arial" w:hAnsi="Arial"/>
                <w:sz w:val="18"/>
                <w:szCs w:val="18"/>
                <w:color w:val="auto"/>
              </w:rPr>
              <w:t>“Offering Date”</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(l)</w:t>
            </w:r>
          </w:p>
        </w:tc>
        <w:tc>
          <w:tcPr>
            <w:tcW w:w="3280" w:type="dxa"/>
            <w:vAlign w:val="bottom"/>
          </w:tcPr>
          <w:p>
            <w:pPr>
              <w:ind w:left="240"/>
              <w:spacing w:after="0"/>
              <w:rPr>
                <w:sz w:val="20"/>
                <w:szCs w:val="20"/>
                <w:color w:val="auto"/>
              </w:rPr>
            </w:pPr>
            <w:r>
              <w:rPr>
                <w:rFonts w:ascii="Arial" w:cs="Arial" w:eastAsia="Arial" w:hAnsi="Arial"/>
                <w:sz w:val="18"/>
                <w:szCs w:val="18"/>
                <w:color w:val="auto"/>
              </w:rPr>
              <w:t>“Offering Period”</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(m)</w:t>
            </w:r>
          </w:p>
        </w:tc>
        <w:tc>
          <w:tcPr>
            <w:tcW w:w="3280" w:type="dxa"/>
            <w:vAlign w:val="bottom"/>
          </w:tcPr>
          <w:p>
            <w:pPr>
              <w:ind w:left="240"/>
              <w:spacing w:after="0"/>
              <w:rPr>
                <w:sz w:val="20"/>
                <w:szCs w:val="20"/>
                <w:color w:val="auto"/>
              </w:rPr>
            </w:pPr>
            <w:r>
              <w:rPr>
                <w:rFonts w:ascii="Arial" w:cs="Arial" w:eastAsia="Arial" w:hAnsi="Arial"/>
                <w:sz w:val="18"/>
                <w:szCs w:val="18"/>
                <w:color w:val="auto"/>
              </w:rPr>
              <w:t>“Participant”</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(n)</w:t>
            </w:r>
          </w:p>
        </w:tc>
        <w:tc>
          <w:tcPr>
            <w:tcW w:w="3280" w:type="dxa"/>
            <w:vAlign w:val="bottom"/>
          </w:tcPr>
          <w:p>
            <w:pPr>
              <w:ind w:left="240"/>
              <w:spacing w:after="0"/>
              <w:rPr>
                <w:sz w:val="20"/>
                <w:szCs w:val="20"/>
                <w:color w:val="auto"/>
              </w:rPr>
            </w:pPr>
            <w:r>
              <w:rPr>
                <w:rFonts w:ascii="Arial" w:cs="Arial" w:eastAsia="Arial" w:hAnsi="Arial"/>
                <w:sz w:val="18"/>
                <w:szCs w:val="18"/>
                <w:color w:val="auto"/>
              </w:rPr>
              <w:t>“Participating Company”</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(o)</w:t>
            </w:r>
          </w:p>
        </w:tc>
        <w:tc>
          <w:tcPr>
            <w:tcW w:w="3280" w:type="dxa"/>
            <w:vAlign w:val="bottom"/>
          </w:tcPr>
          <w:p>
            <w:pPr>
              <w:ind w:left="240"/>
              <w:spacing w:after="0"/>
              <w:rPr>
                <w:sz w:val="20"/>
                <w:szCs w:val="20"/>
                <w:color w:val="auto"/>
              </w:rPr>
            </w:pPr>
            <w:r>
              <w:rPr>
                <w:rFonts w:ascii="Arial" w:cs="Arial" w:eastAsia="Arial" w:hAnsi="Arial"/>
                <w:sz w:val="18"/>
                <w:szCs w:val="18"/>
                <w:color w:val="auto"/>
              </w:rPr>
              <w:t>“Plan”</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(p)</w:t>
            </w:r>
          </w:p>
        </w:tc>
        <w:tc>
          <w:tcPr>
            <w:tcW w:w="3280" w:type="dxa"/>
            <w:vAlign w:val="bottom"/>
          </w:tcPr>
          <w:p>
            <w:pPr>
              <w:ind w:left="240"/>
              <w:spacing w:after="0"/>
              <w:rPr>
                <w:sz w:val="20"/>
                <w:szCs w:val="20"/>
                <w:color w:val="auto"/>
              </w:rPr>
            </w:pPr>
            <w:r>
              <w:rPr>
                <w:rFonts w:ascii="Arial" w:cs="Arial" w:eastAsia="Arial" w:hAnsi="Arial"/>
                <w:sz w:val="18"/>
                <w:szCs w:val="18"/>
                <w:color w:val="auto"/>
              </w:rPr>
              <w:t>“Plan Account”</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(q)</w:t>
            </w:r>
          </w:p>
        </w:tc>
        <w:tc>
          <w:tcPr>
            <w:tcW w:w="3280" w:type="dxa"/>
            <w:vAlign w:val="bottom"/>
          </w:tcPr>
          <w:p>
            <w:pPr>
              <w:ind w:left="240"/>
              <w:spacing w:after="0"/>
              <w:rPr>
                <w:sz w:val="20"/>
                <w:szCs w:val="20"/>
                <w:color w:val="auto"/>
              </w:rPr>
            </w:pPr>
            <w:r>
              <w:rPr>
                <w:rFonts w:ascii="Arial" w:cs="Arial" w:eastAsia="Arial" w:hAnsi="Arial"/>
                <w:sz w:val="18"/>
                <w:szCs w:val="18"/>
                <w:color w:val="auto"/>
              </w:rPr>
              <w:t>“Purchase Date”</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(r)</w:t>
            </w:r>
          </w:p>
        </w:tc>
        <w:tc>
          <w:tcPr>
            <w:tcW w:w="3280" w:type="dxa"/>
            <w:vAlign w:val="bottom"/>
          </w:tcPr>
          <w:p>
            <w:pPr>
              <w:ind w:left="240"/>
              <w:spacing w:after="0"/>
              <w:rPr>
                <w:sz w:val="20"/>
                <w:szCs w:val="20"/>
                <w:color w:val="auto"/>
              </w:rPr>
            </w:pPr>
            <w:r>
              <w:rPr>
                <w:rFonts w:ascii="Arial" w:cs="Arial" w:eastAsia="Arial" w:hAnsi="Arial"/>
                <w:sz w:val="18"/>
                <w:szCs w:val="18"/>
                <w:color w:val="auto"/>
              </w:rPr>
              <w:t>“Purchase Period”</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(s)</w:t>
            </w:r>
          </w:p>
        </w:tc>
        <w:tc>
          <w:tcPr>
            <w:tcW w:w="3280" w:type="dxa"/>
            <w:vAlign w:val="bottom"/>
          </w:tcPr>
          <w:p>
            <w:pPr>
              <w:ind w:left="240"/>
              <w:spacing w:after="0"/>
              <w:rPr>
                <w:sz w:val="20"/>
                <w:szCs w:val="20"/>
                <w:color w:val="auto"/>
              </w:rPr>
            </w:pPr>
            <w:r>
              <w:rPr>
                <w:rFonts w:ascii="Arial" w:cs="Arial" w:eastAsia="Arial" w:hAnsi="Arial"/>
                <w:sz w:val="18"/>
                <w:szCs w:val="18"/>
                <w:color w:val="auto"/>
              </w:rPr>
              <w:t>“Purchase Price”</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(t)</w:t>
            </w:r>
          </w:p>
        </w:tc>
        <w:tc>
          <w:tcPr>
            <w:tcW w:w="3280" w:type="dxa"/>
            <w:vAlign w:val="bottom"/>
          </w:tcPr>
          <w:p>
            <w:pPr>
              <w:ind w:left="240"/>
              <w:spacing w:after="0"/>
              <w:rPr>
                <w:sz w:val="20"/>
                <w:szCs w:val="20"/>
                <w:color w:val="auto"/>
              </w:rPr>
            </w:pPr>
            <w:r>
              <w:rPr>
                <w:rFonts w:ascii="Arial" w:cs="Arial" w:eastAsia="Arial" w:hAnsi="Arial"/>
                <w:sz w:val="18"/>
                <w:szCs w:val="18"/>
                <w:color w:val="auto"/>
              </w:rPr>
              <w:t>“Stock”</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1200" w:type="dxa"/>
            <w:vAlign w:val="bottom"/>
          </w:tcPr>
          <w:p>
            <w:pPr>
              <w:ind w:left="680"/>
              <w:spacing w:after="0"/>
              <w:rPr>
                <w:sz w:val="20"/>
                <w:szCs w:val="20"/>
                <w:color w:val="auto"/>
              </w:rPr>
            </w:pPr>
            <w:r>
              <w:rPr>
                <w:rFonts w:ascii="Arial" w:cs="Arial" w:eastAsia="Arial" w:hAnsi="Arial"/>
                <w:sz w:val="18"/>
                <w:szCs w:val="18"/>
                <w:color w:val="auto"/>
              </w:rPr>
              <w:t>(u)</w:t>
            </w:r>
          </w:p>
        </w:tc>
        <w:tc>
          <w:tcPr>
            <w:tcW w:w="3280" w:type="dxa"/>
            <w:vAlign w:val="bottom"/>
          </w:tcPr>
          <w:p>
            <w:pPr>
              <w:ind w:left="240"/>
              <w:spacing w:after="0"/>
              <w:rPr>
                <w:sz w:val="20"/>
                <w:szCs w:val="20"/>
                <w:color w:val="auto"/>
              </w:rPr>
            </w:pPr>
            <w:r>
              <w:rPr>
                <w:rFonts w:ascii="Arial" w:cs="Arial" w:eastAsia="Arial" w:hAnsi="Arial"/>
                <w:sz w:val="18"/>
                <w:szCs w:val="18"/>
                <w:color w:val="auto"/>
              </w:rPr>
              <w:t>“Subsidiary”</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3</w:t>
            </w:r>
          </w:p>
        </w:tc>
        <w:tc>
          <w:tcPr>
            <w:tcW w:w="3280" w:type="dxa"/>
            <w:vAlign w:val="bottom"/>
          </w:tcPr>
          <w:p>
            <w:pPr>
              <w:ind w:left="240"/>
              <w:spacing w:after="0"/>
              <w:rPr>
                <w:sz w:val="20"/>
                <w:szCs w:val="20"/>
                <w:color w:val="auto"/>
              </w:rPr>
            </w:pPr>
            <w:r>
              <w:rPr>
                <w:rFonts w:ascii="Arial" w:cs="Arial" w:eastAsia="Arial" w:hAnsi="Arial"/>
                <w:sz w:val="18"/>
                <w:szCs w:val="18"/>
                <w:color w:val="auto"/>
              </w:rPr>
              <w:t>Administration Of The Plan</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(a)</w:t>
            </w:r>
          </w:p>
        </w:tc>
        <w:tc>
          <w:tcPr>
            <w:tcW w:w="3280" w:type="dxa"/>
            <w:vAlign w:val="bottom"/>
          </w:tcPr>
          <w:p>
            <w:pPr>
              <w:ind w:left="240"/>
              <w:spacing w:after="0"/>
              <w:rPr>
                <w:sz w:val="20"/>
                <w:szCs w:val="20"/>
                <w:color w:val="auto"/>
              </w:rPr>
            </w:pPr>
            <w:r>
              <w:rPr>
                <w:rFonts w:ascii="Arial" w:cs="Arial" w:eastAsia="Arial" w:hAnsi="Arial"/>
                <w:sz w:val="18"/>
                <w:szCs w:val="18"/>
                <w:color w:val="auto"/>
              </w:rPr>
              <w:t>Committee Composition</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1200" w:type="dxa"/>
            <w:vAlign w:val="bottom"/>
          </w:tcPr>
          <w:p>
            <w:pPr>
              <w:ind w:left="680"/>
              <w:spacing w:after="0"/>
              <w:rPr>
                <w:sz w:val="20"/>
                <w:szCs w:val="20"/>
                <w:color w:val="auto"/>
              </w:rPr>
            </w:pPr>
            <w:r>
              <w:rPr>
                <w:rFonts w:ascii="Arial" w:cs="Arial" w:eastAsia="Arial" w:hAnsi="Arial"/>
                <w:sz w:val="18"/>
                <w:szCs w:val="18"/>
                <w:color w:val="auto"/>
              </w:rPr>
              <w:t>(b)</w:t>
            </w:r>
          </w:p>
        </w:tc>
        <w:tc>
          <w:tcPr>
            <w:tcW w:w="3280" w:type="dxa"/>
            <w:vAlign w:val="bottom"/>
          </w:tcPr>
          <w:p>
            <w:pPr>
              <w:ind w:left="240"/>
              <w:spacing w:after="0"/>
              <w:rPr>
                <w:sz w:val="20"/>
                <w:szCs w:val="20"/>
                <w:color w:val="auto"/>
              </w:rPr>
            </w:pPr>
            <w:r>
              <w:rPr>
                <w:rFonts w:ascii="Arial" w:cs="Arial" w:eastAsia="Arial" w:hAnsi="Arial"/>
                <w:sz w:val="18"/>
                <w:szCs w:val="18"/>
                <w:color w:val="auto"/>
              </w:rPr>
              <w:t>Committee Responsibilities</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4</w:t>
            </w:r>
          </w:p>
        </w:tc>
        <w:tc>
          <w:tcPr>
            <w:tcW w:w="3280" w:type="dxa"/>
            <w:vAlign w:val="bottom"/>
          </w:tcPr>
          <w:p>
            <w:pPr>
              <w:ind w:left="240"/>
              <w:spacing w:after="0"/>
              <w:rPr>
                <w:sz w:val="20"/>
                <w:szCs w:val="20"/>
                <w:color w:val="auto"/>
              </w:rPr>
            </w:pPr>
            <w:r>
              <w:rPr>
                <w:rFonts w:ascii="Arial" w:cs="Arial" w:eastAsia="Arial" w:hAnsi="Arial"/>
                <w:sz w:val="18"/>
                <w:szCs w:val="18"/>
                <w:color w:val="auto"/>
              </w:rPr>
              <w:t>Enrollment And Participation</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(a)</w:t>
            </w:r>
          </w:p>
        </w:tc>
        <w:tc>
          <w:tcPr>
            <w:tcW w:w="3280" w:type="dxa"/>
            <w:vAlign w:val="bottom"/>
          </w:tcPr>
          <w:p>
            <w:pPr>
              <w:ind w:left="240"/>
              <w:spacing w:after="0"/>
              <w:rPr>
                <w:sz w:val="20"/>
                <w:szCs w:val="20"/>
                <w:color w:val="auto"/>
              </w:rPr>
            </w:pPr>
            <w:r>
              <w:rPr>
                <w:rFonts w:ascii="Arial" w:cs="Arial" w:eastAsia="Arial" w:hAnsi="Arial"/>
                <w:sz w:val="18"/>
                <w:szCs w:val="18"/>
                <w:color w:val="auto"/>
              </w:rPr>
              <w:t>Offering Periods</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(b)</w:t>
            </w:r>
          </w:p>
        </w:tc>
        <w:tc>
          <w:tcPr>
            <w:tcW w:w="3280" w:type="dxa"/>
            <w:vAlign w:val="bottom"/>
          </w:tcPr>
          <w:p>
            <w:pPr>
              <w:ind w:left="240"/>
              <w:spacing w:after="0"/>
              <w:rPr>
                <w:sz w:val="20"/>
                <w:szCs w:val="20"/>
                <w:color w:val="auto"/>
              </w:rPr>
            </w:pPr>
            <w:r>
              <w:rPr>
                <w:rFonts w:ascii="Arial" w:cs="Arial" w:eastAsia="Arial" w:hAnsi="Arial"/>
                <w:sz w:val="18"/>
                <w:szCs w:val="18"/>
                <w:color w:val="auto"/>
              </w:rPr>
              <w:t>Enrollment</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1200" w:type="dxa"/>
            <w:vAlign w:val="bottom"/>
          </w:tcPr>
          <w:p>
            <w:pPr>
              <w:ind w:left="680"/>
              <w:spacing w:after="0"/>
              <w:rPr>
                <w:sz w:val="20"/>
                <w:szCs w:val="20"/>
                <w:color w:val="auto"/>
              </w:rPr>
            </w:pPr>
            <w:r>
              <w:rPr>
                <w:rFonts w:ascii="Arial" w:cs="Arial" w:eastAsia="Arial" w:hAnsi="Arial"/>
                <w:sz w:val="18"/>
                <w:szCs w:val="18"/>
                <w:color w:val="auto"/>
              </w:rPr>
              <w:t>(c)</w:t>
            </w:r>
          </w:p>
        </w:tc>
        <w:tc>
          <w:tcPr>
            <w:tcW w:w="3280" w:type="dxa"/>
            <w:vAlign w:val="bottom"/>
          </w:tcPr>
          <w:p>
            <w:pPr>
              <w:ind w:left="240"/>
              <w:spacing w:after="0"/>
              <w:rPr>
                <w:sz w:val="20"/>
                <w:szCs w:val="20"/>
                <w:color w:val="auto"/>
              </w:rPr>
            </w:pPr>
            <w:r>
              <w:rPr>
                <w:rFonts w:ascii="Arial" w:cs="Arial" w:eastAsia="Arial" w:hAnsi="Arial"/>
                <w:sz w:val="18"/>
                <w:szCs w:val="18"/>
                <w:color w:val="auto"/>
              </w:rPr>
              <w:t>Duration of Participation</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4</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5</w:t>
            </w:r>
          </w:p>
        </w:tc>
        <w:tc>
          <w:tcPr>
            <w:tcW w:w="3280" w:type="dxa"/>
            <w:vAlign w:val="bottom"/>
          </w:tcPr>
          <w:p>
            <w:pPr>
              <w:ind w:left="240"/>
              <w:spacing w:after="0"/>
              <w:rPr>
                <w:sz w:val="20"/>
                <w:szCs w:val="20"/>
                <w:color w:val="auto"/>
              </w:rPr>
            </w:pPr>
            <w:r>
              <w:rPr>
                <w:rFonts w:ascii="Arial" w:cs="Arial" w:eastAsia="Arial" w:hAnsi="Arial"/>
                <w:sz w:val="18"/>
                <w:szCs w:val="18"/>
                <w:color w:val="auto"/>
              </w:rPr>
              <w:t>Employee Contributions</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(a)</w:t>
            </w:r>
          </w:p>
        </w:tc>
        <w:tc>
          <w:tcPr>
            <w:tcW w:w="3280" w:type="dxa"/>
            <w:vAlign w:val="bottom"/>
          </w:tcPr>
          <w:p>
            <w:pPr>
              <w:ind w:left="240"/>
              <w:spacing w:after="0"/>
              <w:rPr>
                <w:sz w:val="20"/>
                <w:szCs w:val="20"/>
                <w:color w:val="auto"/>
              </w:rPr>
            </w:pPr>
            <w:r>
              <w:rPr>
                <w:rFonts w:ascii="Arial" w:cs="Arial" w:eastAsia="Arial" w:hAnsi="Arial"/>
                <w:sz w:val="18"/>
                <w:szCs w:val="18"/>
                <w:color w:val="auto"/>
              </w:rPr>
              <w:t>Frequency of Payroll Deductions</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(b)</w:t>
            </w:r>
          </w:p>
        </w:tc>
        <w:tc>
          <w:tcPr>
            <w:tcW w:w="3280" w:type="dxa"/>
            <w:vAlign w:val="bottom"/>
          </w:tcPr>
          <w:p>
            <w:pPr>
              <w:ind w:left="240"/>
              <w:spacing w:after="0"/>
              <w:rPr>
                <w:sz w:val="20"/>
                <w:szCs w:val="20"/>
                <w:color w:val="auto"/>
              </w:rPr>
            </w:pPr>
            <w:r>
              <w:rPr>
                <w:rFonts w:ascii="Arial" w:cs="Arial" w:eastAsia="Arial" w:hAnsi="Arial"/>
                <w:sz w:val="18"/>
                <w:szCs w:val="18"/>
                <w:color w:val="auto"/>
              </w:rPr>
              <w:t>Amount of Payroll Deductions</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(c)</w:t>
            </w:r>
          </w:p>
        </w:tc>
        <w:tc>
          <w:tcPr>
            <w:tcW w:w="3280" w:type="dxa"/>
            <w:vAlign w:val="bottom"/>
          </w:tcPr>
          <w:p>
            <w:pPr>
              <w:ind w:left="240"/>
              <w:spacing w:after="0"/>
              <w:rPr>
                <w:sz w:val="20"/>
                <w:szCs w:val="20"/>
                <w:color w:val="auto"/>
              </w:rPr>
            </w:pPr>
            <w:r>
              <w:rPr>
                <w:rFonts w:ascii="Arial" w:cs="Arial" w:eastAsia="Arial" w:hAnsi="Arial"/>
                <w:sz w:val="18"/>
                <w:szCs w:val="18"/>
                <w:color w:val="auto"/>
              </w:rPr>
              <w:t>Changing Withholding Rate</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1200" w:type="dxa"/>
            <w:vAlign w:val="bottom"/>
          </w:tcPr>
          <w:p>
            <w:pPr>
              <w:ind w:left="680"/>
              <w:spacing w:after="0"/>
              <w:rPr>
                <w:sz w:val="20"/>
                <w:szCs w:val="20"/>
                <w:color w:val="auto"/>
              </w:rPr>
            </w:pPr>
            <w:r>
              <w:rPr>
                <w:rFonts w:ascii="Arial" w:cs="Arial" w:eastAsia="Arial" w:hAnsi="Arial"/>
                <w:sz w:val="18"/>
                <w:szCs w:val="18"/>
                <w:color w:val="auto"/>
              </w:rPr>
              <w:t>(d)</w:t>
            </w:r>
          </w:p>
        </w:tc>
        <w:tc>
          <w:tcPr>
            <w:tcW w:w="3280" w:type="dxa"/>
            <w:vAlign w:val="bottom"/>
          </w:tcPr>
          <w:p>
            <w:pPr>
              <w:ind w:left="240"/>
              <w:spacing w:after="0"/>
              <w:rPr>
                <w:sz w:val="20"/>
                <w:szCs w:val="20"/>
                <w:color w:val="auto"/>
              </w:rPr>
            </w:pPr>
            <w:r>
              <w:rPr>
                <w:rFonts w:ascii="Arial" w:cs="Arial" w:eastAsia="Arial" w:hAnsi="Arial"/>
                <w:sz w:val="18"/>
                <w:szCs w:val="18"/>
                <w:color w:val="auto"/>
              </w:rPr>
              <w:t>Discontinuing Payroll Deductions</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5</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6</w:t>
            </w:r>
          </w:p>
        </w:tc>
        <w:tc>
          <w:tcPr>
            <w:tcW w:w="3280" w:type="dxa"/>
            <w:vAlign w:val="bottom"/>
          </w:tcPr>
          <w:p>
            <w:pPr>
              <w:ind w:left="240"/>
              <w:spacing w:after="0"/>
              <w:rPr>
                <w:sz w:val="20"/>
                <w:szCs w:val="20"/>
                <w:color w:val="auto"/>
              </w:rPr>
            </w:pPr>
            <w:r>
              <w:rPr>
                <w:rFonts w:ascii="Arial" w:cs="Arial" w:eastAsia="Arial" w:hAnsi="Arial"/>
                <w:sz w:val="18"/>
                <w:szCs w:val="18"/>
                <w:color w:val="auto"/>
              </w:rPr>
              <w:t>Withdrawal From The Plan</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200" w:type="dxa"/>
            <w:vAlign w:val="bottom"/>
          </w:tcPr>
          <w:p>
            <w:pPr>
              <w:ind w:left="680"/>
              <w:spacing w:after="0"/>
              <w:rPr>
                <w:sz w:val="20"/>
                <w:szCs w:val="20"/>
                <w:color w:val="auto"/>
              </w:rPr>
            </w:pPr>
            <w:r>
              <w:rPr>
                <w:rFonts w:ascii="Arial" w:cs="Arial" w:eastAsia="Arial" w:hAnsi="Arial"/>
                <w:sz w:val="18"/>
                <w:szCs w:val="18"/>
                <w:color w:val="auto"/>
              </w:rPr>
              <w:t>(a)</w:t>
            </w:r>
          </w:p>
        </w:tc>
        <w:tc>
          <w:tcPr>
            <w:tcW w:w="3280" w:type="dxa"/>
            <w:vAlign w:val="bottom"/>
          </w:tcPr>
          <w:p>
            <w:pPr>
              <w:ind w:left="240"/>
              <w:spacing w:after="0"/>
              <w:rPr>
                <w:sz w:val="20"/>
                <w:szCs w:val="20"/>
                <w:color w:val="auto"/>
              </w:rPr>
            </w:pPr>
            <w:r>
              <w:rPr>
                <w:rFonts w:ascii="Arial" w:cs="Arial" w:eastAsia="Arial" w:hAnsi="Arial"/>
                <w:sz w:val="18"/>
                <w:szCs w:val="18"/>
                <w:color w:val="auto"/>
              </w:rPr>
              <w:t>Withdrawal</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1200" w:type="dxa"/>
            <w:vAlign w:val="bottom"/>
          </w:tcPr>
          <w:p>
            <w:pPr>
              <w:ind w:left="680"/>
              <w:spacing w:after="0"/>
              <w:rPr>
                <w:sz w:val="20"/>
                <w:szCs w:val="20"/>
                <w:color w:val="auto"/>
              </w:rPr>
            </w:pPr>
            <w:r>
              <w:rPr>
                <w:rFonts w:ascii="Arial" w:cs="Arial" w:eastAsia="Arial" w:hAnsi="Arial"/>
                <w:sz w:val="18"/>
                <w:szCs w:val="18"/>
                <w:color w:val="auto"/>
              </w:rPr>
              <w:t>(b)</w:t>
            </w:r>
          </w:p>
        </w:tc>
        <w:tc>
          <w:tcPr>
            <w:tcW w:w="3280" w:type="dxa"/>
            <w:vAlign w:val="bottom"/>
          </w:tcPr>
          <w:p>
            <w:pPr>
              <w:ind w:left="240"/>
              <w:spacing w:after="0"/>
              <w:rPr>
                <w:sz w:val="20"/>
                <w:szCs w:val="20"/>
                <w:color w:val="auto"/>
              </w:rPr>
            </w:pPr>
            <w:r>
              <w:rPr>
                <w:rFonts w:ascii="Arial" w:cs="Arial" w:eastAsia="Arial" w:hAnsi="Arial"/>
                <w:sz w:val="18"/>
                <w:szCs w:val="18"/>
                <w:color w:val="auto"/>
              </w:rPr>
              <w:t>Re-enrollment After Withdrawal</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6</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7</w:t>
            </w:r>
          </w:p>
        </w:tc>
        <w:tc>
          <w:tcPr>
            <w:tcW w:w="3280" w:type="dxa"/>
            <w:vAlign w:val="bottom"/>
          </w:tcPr>
          <w:p>
            <w:pPr>
              <w:ind w:left="240"/>
              <w:spacing w:after="0"/>
              <w:rPr>
                <w:sz w:val="20"/>
                <w:szCs w:val="20"/>
                <w:color w:val="auto"/>
              </w:rPr>
            </w:pPr>
            <w:r>
              <w:rPr>
                <w:rFonts w:ascii="Arial" w:cs="Arial" w:eastAsia="Arial" w:hAnsi="Arial"/>
                <w:sz w:val="18"/>
                <w:szCs w:val="18"/>
                <w:color w:val="auto"/>
              </w:rPr>
              <w:t>Change In Employment Status</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1200" w:type="dxa"/>
            <w:vAlign w:val="bottom"/>
          </w:tcPr>
          <w:p>
            <w:pPr>
              <w:ind w:left="680"/>
              <w:spacing w:after="0"/>
              <w:rPr>
                <w:sz w:val="20"/>
                <w:szCs w:val="20"/>
                <w:color w:val="auto"/>
              </w:rPr>
            </w:pPr>
            <w:r>
              <w:rPr>
                <w:rFonts w:ascii="Arial" w:cs="Arial" w:eastAsia="Arial" w:hAnsi="Arial"/>
                <w:sz w:val="18"/>
                <w:szCs w:val="18"/>
                <w:color w:val="auto"/>
              </w:rPr>
              <w:t>(a)</w:t>
            </w:r>
          </w:p>
        </w:tc>
        <w:tc>
          <w:tcPr>
            <w:tcW w:w="3280" w:type="dxa"/>
            <w:vAlign w:val="bottom"/>
          </w:tcPr>
          <w:p>
            <w:pPr>
              <w:ind w:left="240"/>
              <w:spacing w:after="0"/>
              <w:rPr>
                <w:sz w:val="20"/>
                <w:szCs w:val="20"/>
                <w:color w:val="auto"/>
              </w:rPr>
            </w:pPr>
            <w:r>
              <w:rPr>
                <w:rFonts w:ascii="Arial" w:cs="Arial" w:eastAsia="Arial" w:hAnsi="Arial"/>
                <w:sz w:val="18"/>
                <w:szCs w:val="18"/>
                <w:color w:val="auto"/>
              </w:rPr>
              <w:t>Termination of Employment</w:t>
            </w:r>
          </w:p>
        </w:tc>
        <w:tc>
          <w:tcPr>
            <w:tcW w:w="6980" w:type="dxa"/>
            <w:vAlign w:val="bottom"/>
            <w:gridSpan w:val="5"/>
          </w:tcPr>
          <w:p>
            <w:pPr>
              <w:jc w:val="right"/>
              <w:ind w:right="40"/>
              <w:spacing w:after="0"/>
              <w:rPr>
                <w:sz w:val="20"/>
                <w:szCs w:val="20"/>
                <w:color w:val="auto"/>
              </w:rPr>
            </w:pPr>
            <w:r>
              <w:rPr>
                <w:rFonts w:ascii="Arial" w:cs="Arial" w:eastAsia="Arial" w:hAnsi="Arial"/>
                <w:sz w:val="18"/>
                <w:szCs w:val="18"/>
                <w:color w:val="auto"/>
              </w:rPr>
              <w:t>6</w:t>
            </w:r>
          </w:p>
        </w:tc>
      </w:tr>
      <w:tr>
        <w:trPr>
          <w:trHeight w:val="348"/>
        </w:trPr>
        <w:tc>
          <w:tcPr>
            <w:tcW w:w="120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(b)</w:t>
            </w:r>
          </w:p>
        </w:tc>
        <w:tc>
          <w:tcPr>
            <w:tcW w:w="6640" w:type="dxa"/>
            <w:vAlign w:val="bottom"/>
          </w:tcPr>
          <w:p>
            <w:pPr>
              <w:ind w:left="260"/>
              <w:spacing w:after="0"/>
              <w:rPr>
                <w:sz w:val="20"/>
                <w:szCs w:val="20"/>
                <w:color w:val="auto"/>
              </w:rPr>
            </w:pPr>
            <w:r>
              <w:rPr>
                <w:rFonts w:ascii="Arial" w:cs="Arial" w:eastAsia="Arial" w:hAnsi="Arial"/>
                <w:sz w:val="18"/>
                <w:szCs w:val="18"/>
                <w:color w:val="auto"/>
              </w:rPr>
              <w:t>Leave of Absence</w:t>
            </w:r>
          </w:p>
        </w:tc>
        <w:tc>
          <w:tcPr>
            <w:tcW w:w="3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180" w:type="dxa"/>
            <w:vAlign w:val="bottom"/>
          </w:tcPr>
          <w:p>
            <w:pPr>
              <w:ind w:left="680"/>
              <w:spacing w:after="0"/>
              <w:rPr>
                <w:sz w:val="20"/>
                <w:szCs w:val="20"/>
                <w:color w:val="auto"/>
              </w:rPr>
            </w:pPr>
            <w:r>
              <w:rPr>
                <w:rFonts w:ascii="Arial" w:cs="Arial" w:eastAsia="Arial" w:hAnsi="Arial"/>
                <w:sz w:val="18"/>
                <w:szCs w:val="18"/>
                <w:color w:val="auto"/>
              </w:rPr>
              <w:t>(c)</w:t>
            </w:r>
          </w:p>
        </w:tc>
        <w:tc>
          <w:tcPr>
            <w:tcW w:w="6640" w:type="dxa"/>
            <w:vAlign w:val="bottom"/>
          </w:tcPr>
          <w:p>
            <w:pPr>
              <w:ind w:left="260"/>
              <w:spacing w:after="0"/>
              <w:rPr>
                <w:sz w:val="20"/>
                <w:szCs w:val="20"/>
                <w:color w:val="auto"/>
              </w:rPr>
            </w:pPr>
            <w:r>
              <w:rPr>
                <w:rFonts w:ascii="Arial" w:cs="Arial" w:eastAsia="Arial" w:hAnsi="Arial"/>
                <w:sz w:val="18"/>
                <w:szCs w:val="18"/>
                <w:color w:val="auto"/>
              </w:rPr>
              <w:t>Death</w:t>
            </w:r>
          </w:p>
        </w:tc>
        <w:tc>
          <w:tcPr>
            <w:tcW w:w="3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8</w:t>
            </w:r>
          </w:p>
        </w:tc>
        <w:tc>
          <w:tcPr>
            <w:tcW w:w="6640" w:type="dxa"/>
            <w:vAlign w:val="bottom"/>
          </w:tcPr>
          <w:p>
            <w:pPr>
              <w:ind w:left="260"/>
              <w:spacing w:after="0"/>
              <w:rPr>
                <w:sz w:val="20"/>
                <w:szCs w:val="20"/>
                <w:color w:val="auto"/>
              </w:rPr>
            </w:pPr>
            <w:r>
              <w:rPr>
                <w:rFonts w:ascii="Arial" w:cs="Arial" w:eastAsia="Arial" w:hAnsi="Arial"/>
                <w:sz w:val="18"/>
                <w:szCs w:val="18"/>
                <w:color w:val="auto"/>
              </w:rPr>
              <w:t>Plan Accounts And Purchase Of Shares</w:t>
            </w:r>
          </w:p>
        </w:tc>
        <w:tc>
          <w:tcPr>
            <w:tcW w:w="3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(a)</w:t>
            </w:r>
          </w:p>
        </w:tc>
        <w:tc>
          <w:tcPr>
            <w:tcW w:w="6640" w:type="dxa"/>
            <w:vAlign w:val="bottom"/>
          </w:tcPr>
          <w:p>
            <w:pPr>
              <w:ind w:left="260"/>
              <w:spacing w:after="0"/>
              <w:rPr>
                <w:sz w:val="20"/>
                <w:szCs w:val="20"/>
                <w:color w:val="auto"/>
              </w:rPr>
            </w:pPr>
            <w:r>
              <w:rPr>
                <w:rFonts w:ascii="Arial" w:cs="Arial" w:eastAsia="Arial" w:hAnsi="Arial"/>
                <w:sz w:val="18"/>
                <w:szCs w:val="18"/>
                <w:color w:val="auto"/>
              </w:rPr>
              <w:t>Plan Accounts</w:t>
            </w:r>
          </w:p>
        </w:tc>
        <w:tc>
          <w:tcPr>
            <w:tcW w:w="3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(b)</w:t>
            </w:r>
          </w:p>
        </w:tc>
        <w:tc>
          <w:tcPr>
            <w:tcW w:w="6640" w:type="dxa"/>
            <w:vAlign w:val="bottom"/>
          </w:tcPr>
          <w:p>
            <w:pPr>
              <w:ind w:left="260"/>
              <w:spacing w:after="0"/>
              <w:rPr>
                <w:sz w:val="20"/>
                <w:szCs w:val="20"/>
                <w:color w:val="auto"/>
              </w:rPr>
            </w:pPr>
            <w:r>
              <w:rPr>
                <w:rFonts w:ascii="Arial" w:cs="Arial" w:eastAsia="Arial" w:hAnsi="Arial"/>
                <w:sz w:val="18"/>
                <w:szCs w:val="18"/>
                <w:color w:val="auto"/>
              </w:rPr>
              <w:t>Purchase Price</w:t>
            </w:r>
          </w:p>
        </w:tc>
        <w:tc>
          <w:tcPr>
            <w:tcW w:w="3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(c)</w:t>
            </w:r>
          </w:p>
        </w:tc>
        <w:tc>
          <w:tcPr>
            <w:tcW w:w="6640" w:type="dxa"/>
            <w:vAlign w:val="bottom"/>
          </w:tcPr>
          <w:p>
            <w:pPr>
              <w:ind w:left="260"/>
              <w:spacing w:after="0"/>
              <w:rPr>
                <w:sz w:val="20"/>
                <w:szCs w:val="20"/>
                <w:color w:val="auto"/>
              </w:rPr>
            </w:pPr>
            <w:r>
              <w:rPr>
                <w:rFonts w:ascii="Arial" w:cs="Arial" w:eastAsia="Arial" w:hAnsi="Arial"/>
                <w:sz w:val="18"/>
                <w:szCs w:val="18"/>
                <w:color w:val="auto"/>
              </w:rPr>
              <w:t>Number of Shares Purchased</w:t>
            </w:r>
          </w:p>
        </w:tc>
        <w:tc>
          <w:tcPr>
            <w:tcW w:w="3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(d)</w:t>
            </w:r>
          </w:p>
        </w:tc>
        <w:tc>
          <w:tcPr>
            <w:tcW w:w="6640" w:type="dxa"/>
            <w:vAlign w:val="bottom"/>
          </w:tcPr>
          <w:p>
            <w:pPr>
              <w:ind w:left="260"/>
              <w:spacing w:after="0"/>
              <w:rPr>
                <w:sz w:val="20"/>
                <w:szCs w:val="20"/>
                <w:color w:val="auto"/>
              </w:rPr>
            </w:pPr>
            <w:r>
              <w:rPr>
                <w:rFonts w:ascii="Arial" w:cs="Arial" w:eastAsia="Arial" w:hAnsi="Arial"/>
                <w:sz w:val="18"/>
                <w:szCs w:val="18"/>
                <w:color w:val="auto"/>
              </w:rPr>
              <w:t>Available Shares Insufficient</w:t>
            </w:r>
          </w:p>
        </w:tc>
        <w:tc>
          <w:tcPr>
            <w:tcW w:w="3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(e)</w:t>
            </w:r>
          </w:p>
        </w:tc>
        <w:tc>
          <w:tcPr>
            <w:tcW w:w="6640" w:type="dxa"/>
            <w:vAlign w:val="bottom"/>
          </w:tcPr>
          <w:p>
            <w:pPr>
              <w:ind w:left="260"/>
              <w:spacing w:after="0"/>
              <w:rPr>
                <w:sz w:val="20"/>
                <w:szCs w:val="20"/>
                <w:color w:val="auto"/>
              </w:rPr>
            </w:pPr>
            <w:r>
              <w:rPr>
                <w:rFonts w:ascii="Arial" w:cs="Arial" w:eastAsia="Arial" w:hAnsi="Arial"/>
                <w:sz w:val="18"/>
                <w:szCs w:val="18"/>
                <w:color w:val="auto"/>
              </w:rPr>
              <w:t>Issuance of Stock</w:t>
            </w:r>
          </w:p>
        </w:tc>
        <w:tc>
          <w:tcPr>
            <w:tcW w:w="3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(f)</w:t>
            </w:r>
          </w:p>
        </w:tc>
        <w:tc>
          <w:tcPr>
            <w:tcW w:w="6640" w:type="dxa"/>
            <w:vAlign w:val="bottom"/>
          </w:tcPr>
          <w:p>
            <w:pPr>
              <w:ind w:left="260"/>
              <w:spacing w:after="0"/>
              <w:rPr>
                <w:sz w:val="20"/>
                <w:szCs w:val="20"/>
                <w:color w:val="auto"/>
              </w:rPr>
            </w:pPr>
            <w:r>
              <w:rPr>
                <w:rFonts w:ascii="Arial" w:cs="Arial" w:eastAsia="Arial" w:hAnsi="Arial"/>
                <w:sz w:val="18"/>
                <w:szCs w:val="18"/>
                <w:color w:val="auto"/>
              </w:rPr>
              <w:t>Unused Cash Balances</w:t>
            </w:r>
          </w:p>
        </w:tc>
        <w:tc>
          <w:tcPr>
            <w:tcW w:w="3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180" w:type="dxa"/>
            <w:vAlign w:val="bottom"/>
          </w:tcPr>
          <w:p>
            <w:pPr>
              <w:ind w:left="680"/>
              <w:spacing w:after="0"/>
              <w:rPr>
                <w:sz w:val="20"/>
                <w:szCs w:val="20"/>
                <w:color w:val="auto"/>
              </w:rPr>
            </w:pPr>
            <w:r>
              <w:rPr>
                <w:rFonts w:ascii="Arial" w:cs="Arial" w:eastAsia="Arial" w:hAnsi="Arial"/>
                <w:sz w:val="18"/>
                <w:szCs w:val="18"/>
                <w:color w:val="auto"/>
              </w:rPr>
              <w:t>(g)</w:t>
            </w:r>
          </w:p>
        </w:tc>
        <w:tc>
          <w:tcPr>
            <w:tcW w:w="6640" w:type="dxa"/>
            <w:vAlign w:val="bottom"/>
          </w:tcPr>
          <w:p>
            <w:pPr>
              <w:ind w:left="260"/>
              <w:spacing w:after="0"/>
              <w:rPr>
                <w:sz w:val="20"/>
                <w:szCs w:val="20"/>
                <w:color w:val="auto"/>
              </w:rPr>
            </w:pPr>
            <w:r>
              <w:rPr>
                <w:rFonts w:ascii="Arial" w:cs="Arial" w:eastAsia="Arial" w:hAnsi="Arial"/>
                <w:sz w:val="18"/>
                <w:szCs w:val="18"/>
                <w:color w:val="auto"/>
              </w:rPr>
              <w:t>Stockholder Approval</w:t>
            </w:r>
          </w:p>
        </w:tc>
        <w:tc>
          <w:tcPr>
            <w:tcW w:w="360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43" w:orient="portrait"/>
          <w:cols w:equalWidth="0" w:num="1">
            <w:col w:w="11460"/>
          </w:cols>
          <w:pgMar w:left="240" w:top="121" w:right="19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9</w:t>
            </w:r>
          </w:p>
        </w:tc>
        <w:tc>
          <w:tcPr>
            <w:tcW w:w="6320" w:type="dxa"/>
            <w:vAlign w:val="bottom"/>
          </w:tcPr>
          <w:p>
            <w:pPr>
              <w:ind w:left="220"/>
              <w:spacing w:after="0"/>
              <w:rPr>
                <w:sz w:val="20"/>
                <w:szCs w:val="20"/>
                <w:color w:val="auto"/>
              </w:rPr>
            </w:pPr>
            <w:r>
              <w:rPr>
                <w:rFonts w:ascii="Arial" w:cs="Arial" w:eastAsia="Arial" w:hAnsi="Arial"/>
                <w:sz w:val="18"/>
                <w:szCs w:val="18"/>
                <w:color w:val="auto"/>
              </w:rPr>
              <w:t>Limitations On Stock Ownership</w:t>
            </w:r>
          </w:p>
        </w:tc>
        <w:tc>
          <w:tcPr>
            <w:tcW w:w="3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220" w:type="dxa"/>
            <w:vAlign w:val="bottom"/>
          </w:tcPr>
          <w:p>
            <w:pPr>
              <w:ind w:left="680"/>
              <w:spacing w:after="0"/>
              <w:rPr>
                <w:sz w:val="20"/>
                <w:szCs w:val="20"/>
                <w:color w:val="auto"/>
              </w:rPr>
            </w:pPr>
            <w:r>
              <w:rPr>
                <w:rFonts w:ascii="Arial" w:cs="Arial" w:eastAsia="Arial" w:hAnsi="Arial"/>
                <w:sz w:val="18"/>
                <w:szCs w:val="18"/>
                <w:color w:val="auto"/>
              </w:rPr>
              <w:t>(a)</w:t>
            </w:r>
          </w:p>
        </w:tc>
        <w:tc>
          <w:tcPr>
            <w:tcW w:w="6320" w:type="dxa"/>
            <w:vAlign w:val="bottom"/>
          </w:tcPr>
          <w:p>
            <w:pPr>
              <w:ind w:left="220"/>
              <w:spacing w:after="0"/>
              <w:rPr>
                <w:sz w:val="20"/>
                <w:szCs w:val="20"/>
                <w:color w:val="auto"/>
              </w:rPr>
            </w:pPr>
            <w:r>
              <w:rPr>
                <w:rFonts w:ascii="Arial" w:cs="Arial" w:eastAsia="Arial" w:hAnsi="Arial"/>
                <w:sz w:val="18"/>
                <w:szCs w:val="18"/>
                <w:color w:val="auto"/>
              </w:rPr>
              <w:t>Five Percent Limit</w:t>
            </w:r>
          </w:p>
        </w:tc>
        <w:tc>
          <w:tcPr>
            <w:tcW w:w="3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220" w:type="dxa"/>
            <w:vAlign w:val="bottom"/>
          </w:tcPr>
          <w:p>
            <w:pPr>
              <w:ind w:left="680"/>
              <w:spacing w:after="0"/>
              <w:rPr>
                <w:sz w:val="20"/>
                <w:szCs w:val="20"/>
                <w:color w:val="auto"/>
              </w:rPr>
            </w:pPr>
            <w:r>
              <w:rPr>
                <w:rFonts w:ascii="Arial" w:cs="Arial" w:eastAsia="Arial" w:hAnsi="Arial"/>
                <w:sz w:val="18"/>
                <w:szCs w:val="18"/>
                <w:color w:val="auto"/>
              </w:rPr>
              <w:t>(b)</w:t>
            </w:r>
          </w:p>
        </w:tc>
        <w:tc>
          <w:tcPr>
            <w:tcW w:w="6320" w:type="dxa"/>
            <w:vAlign w:val="bottom"/>
          </w:tcPr>
          <w:p>
            <w:pPr>
              <w:ind w:left="220"/>
              <w:spacing w:after="0"/>
              <w:rPr>
                <w:sz w:val="20"/>
                <w:szCs w:val="20"/>
                <w:color w:val="auto"/>
              </w:rPr>
            </w:pPr>
            <w:r>
              <w:rPr>
                <w:rFonts w:ascii="Arial" w:cs="Arial" w:eastAsia="Arial" w:hAnsi="Arial"/>
                <w:sz w:val="18"/>
                <w:szCs w:val="18"/>
                <w:color w:val="auto"/>
              </w:rPr>
              <w:t>Dollar Limit</w:t>
            </w:r>
          </w:p>
        </w:tc>
        <w:tc>
          <w:tcPr>
            <w:tcW w:w="3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SECTION 10</w:t>
            </w:r>
          </w:p>
        </w:tc>
        <w:tc>
          <w:tcPr>
            <w:tcW w:w="6320" w:type="dxa"/>
            <w:vAlign w:val="bottom"/>
          </w:tcPr>
          <w:p>
            <w:pPr>
              <w:ind w:left="220"/>
              <w:spacing w:after="0"/>
              <w:rPr>
                <w:sz w:val="20"/>
                <w:szCs w:val="20"/>
                <w:color w:val="auto"/>
              </w:rPr>
            </w:pPr>
            <w:r>
              <w:rPr>
                <w:rFonts w:ascii="Arial" w:cs="Arial" w:eastAsia="Arial" w:hAnsi="Arial"/>
                <w:sz w:val="18"/>
                <w:szCs w:val="18"/>
                <w:color w:val="auto"/>
              </w:rPr>
              <w:t>Rights Not Transferable</w:t>
            </w:r>
          </w:p>
        </w:tc>
        <w:tc>
          <w:tcPr>
            <w:tcW w:w="3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SECTION 11</w:t>
            </w:r>
          </w:p>
        </w:tc>
        <w:tc>
          <w:tcPr>
            <w:tcW w:w="6320" w:type="dxa"/>
            <w:vAlign w:val="bottom"/>
          </w:tcPr>
          <w:p>
            <w:pPr>
              <w:ind w:left="220"/>
              <w:spacing w:after="0"/>
              <w:rPr>
                <w:sz w:val="20"/>
                <w:szCs w:val="20"/>
                <w:color w:val="auto"/>
              </w:rPr>
            </w:pPr>
            <w:r>
              <w:rPr>
                <w:rFonts w:ascii="Arial" w:cs="Arial" w:eastAsia="Arial" w:hAnsi="Arial"/>
                <w:sz w:val="18"/>
                <w:szCs w:val="18"/>
                <w:color w:val="auto"/>
              </w:rPr>
              <w:t>No Rights As An Employee</w:t>
            </w:r>
          </w:p>
        </w:tc>
        <w:tc>
          <w:tcPr>
            <w:tcW w:w="3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SECTION 12</w:t>
            </w:r>
          </w:p>
        </w:tc>
        <w:tc>
          <w:tcPr>
            <w:tcW w:w="6320" w:type="dxa"/>
            <w:vAlign w:val="bottom"/>
          </w:tcPr>
          <w:p>
            <w:pPr>
              <w:ind w:left="220"/>
              <w:spacing w:after="0"/>
              <w:rPr>
                <w:sz w:val="20"/>
                <w:szCs w:val="20"/>
                <w:color w:val="auto"/>
              </w:rPr>
            </w:pPr>
            <w:r>
              <w:rPr>
                <w:rFonts w:ascii="Arial" w:cs="Arial" w:eastAsia="Arial" w:hAnsi="Arial"/>
                <w:sz w:val="18"/>
                <w:szCs w:val="18"/>
                <w:color w:val="auto"/>
              </w:rPr>
              <w:t>No Rights As A Stockholder</w:t>
            </w:r>
          </w:p>
        </w:tc>
        <w:tc>
          <w:tcPr>
            <w:tcW w:w="3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SECTION 13</w:t>
            </w:r>
          </w:p>
        </w:tc>
        <w:tc>
          <w:tcPr>
            <w:tcW w:w="6320" w:type="dxa"/>
            <w:vAlign w:val="bottom"/>
          </w:tcPr>
          <w:p>
            <w:pPr>
              <w:ind w:left="220"/>
              <w:spacing w:after="0"/>
              <w:rPr>
                <w:sz w:val="20"/>
                <w:szCs w:val="20"/>
                <w:color w:val="auto"/>
              </w:rPr>
            </w:pPr>
            <w:r>
              <w:rPr>
                <w:rFonts w:ascii="Arial" w:cs="Arial" w:eastAsia="Arial" w:hAnsi="Arial"/>
                <w:sz w:val="18"/>
                <w:szCs w:val="18"/>
                <w:color w:val="auto"/>
              </w:rPr>
              <w:t>Securities Law Requirements</w:t>
            </w:r>
          </w:p>
        </w:tc>
        <w:tc>
          <w:tcPr>
            <w:tcW w:w="3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SECTION 14</w:t>
            </w:r>
          </w:p>
        </w:tc>
        <w:tc>
          <w:tcPr>
            <w:tcW w:w="6320" w:type="dxa"/>
            <w:vAlign w:val="bottom"/>
          </w:tcPr>
          <w:p>
            <w:pPr>
              <w:ind w:left="220"/>
              <w:spacing w:after="0"/>
              <w:rPr>
                <w:sz w:val="20"/>
                <w:szCs w:val="20"/>
                <w:color w:val="auto"/>
              </w:rPr>
            </w:pPr>
            <w:r>
              <w:rPr>
                <w:rFonts w:ascii="Arial" w:cs="Arial" w:eastAsia="Arial" w:hAnsi="Arial"/>
                <w:sz w:val="18"/>
                <w:szCs w:val="18"/>
                <w:color w:val="auto"/>
              </w:rPr>
              <w:t>Stock Offered Under The Plan</w:t>
            </w:r>
          </w:p>
        </w:tc>
        <w:tc>
          <w:tcPr>
            <w:tcW w:w="3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220" w:type="dxa"/>
            <w:vAlign w:val="bottom"/>
          </w:tcPr>
          <w:p>
            <w:pPr>
              <w:ind w:left="680"/>
              <w:spacing w:after="0"/>
              <w:rPr>
                <w:sz w:val="20"/>
                <w:szCs w:val="20"/>
                <w:color w:val="auto"/>
              </w:rPr>
            </w:pPr>
            <w:r>
              <w:rPr>
                <w:rFonts w:ascii="Arial" w:cs="Arial" w:eastAsia="Arial" w:hAnsi="Arial"/>
                <w:sz w:val="18"/>
                <w:szCs w:val="18"/>
                <w:color w:val="auto"/>
              </w:rPr>
              <w:t>(a)</w:t>
            </w:r>
          </w:p>
        </w:tc>
        <w:tc>
          <w:tcPr>
            <w:tcW w:w="6320" w:type="dxa"/>
            <w:vAlign w:val="bottom"/>
          </w:tcPr>
          <w:p>
            <w:pPr>
              <w:ind w:left="220"/>
              <w:spacing w:after="0"/>
              <w:rPr>
                <w:sz w:val="20"/>
                <w:szCs w:val="20"/>
                <w:color w:val="auto"/>
              </w:rPr>
            </w:pPr>
            <w:r>
              <w:rPr>
                <w:rFonts w:ascii="Arial" w:cs="Arial" w:eastAsia="Arial" w:hAnsi="Arial"/>
                <w:sz w:val="18"/>
                <w:szCs w:val="18"/>
                <w:color w:val="auto"/>
              </w:rPr>
              <w:t>Authorized Shares</w:t>
            </w:r>
          </w:p>
        </w:tc>
        <w:tc>
          <w:tcPr>
            <w:tcW w:w="3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220" w:type="dxa"/>
            <w:vAlign w:val="bottom"/>
          </w:tcPr>
          <w:p>
            <w:pPr>
              <w:ind w:left="680"/>
              <w:spacing w:after="0"/>
              <w:rPr>
                <w:sz w:val="20"/>
                <w:szCs w:val="20"/>
                <w:color w:val="auto"/>
              </w:rPr>
            </w:pPr>
            <w:r>
              <w:rPr>
                <w:rFonts w:ascii="Arial" w:cs="Arial" w:eastAsia="Arial" w:hAnsi="Arial"/>
                <w:sz w:val="18"/>
                <w:szCs w:val="18"/>
                <w:color w:val="auto"/>
              </w:rPr>
              <w:t>(b)</w:t>
            </w:r>
          </w:p>
        </w:tc>
        <w:tc>
          <w:tcPr>
            <w:tcW w:w="6320" w:type="dxa"/>
            <w:vAlign w:val="bottom"/>
          </w:tcPr>
          <w:p>
            <w:pPr>
              <w:ind w:left="220"/>
              <w:spacing w:after="0"/>
              <w:rPr>
                <w:sz w:val="20"/>
                <w:szCs w:val="20"/>
                <w:color w:val="auto"/>
              </w:rPr>
            </w:pPr>
            <w:r>
              <w:rPr>
                <w:rFonts w:ascii="Arial" w:cs="Arial" w:eastAsia="Arial" w:hAnsi="Arial"/>
                <w:sz w:val="18"/>
                <w:szCs w:val="18"/>
                <w:color w:val="auto"/>
              </w:rPr>
              <w:t>Antidilution Adjustments</w:t>
            </w:r>
          </w:p>
        </w:tc>
        <w:tc>
          <w:tcPr>
            <w:tcW w:w="3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220" w:type="dxa"/>
            <w:vAlign w:val="bottom"/>
          </w:tcPr>
          <w:p>
            <w:pPr>
              <w:ind w:left="680"/>
              <w:spacing w:after="0"/>
              <w:rPr>
                <w:sz w:val="20"/>
                <w:szCs w:val="20"/>
                <w:color w:val="auto"/>
              </w:rPr>
            </w:pPr>
            <w:r>
              <w:rPr>
                <w:rFonts w:ascii="Arial" w:cs="Arial" w:eastAsia="Arial" w:hAnsi="Arial"/>
                <w:sz w:val="18"/>
                <w:szCs w:val="18"/>
                <w:color w:val="auto"/>
              </w:rPr>
              <w:t>(c)</w:t>
            </w:r>
          </w:p>
        </w:tc>
        <w:tc>
          <w:tcPr>
            <w:tcW w:w="6320" w:type="dxa"/>
            <w:vAlign w:val="bottom"/>
          </w:tcPr>
          <w:p>
            <w:pPr>
              <w:ind w:left="220"/>
              <w:spacing w:after="0"/>
              <w:rPr>
                <w:sz w:val="20"/>
                <w:szCs w:val="20"/>
                <w:color w:val="auto"/>
              </w:rPr>
            </w:pPr>
            <w:r>
              <w:rPr>
                <w:rFonts w:ascii="Arial" w:cs="Arial" w:eastAsia="Arial" w:hAnsi="Arial"/>
                <w:sz w:val="18"/>
                <w:szCs w:val="18"/>
                <w:color w:val="auto"/>
              </w:rPr>
              <w:t>Reorganizations</w:t>
            </w:r>
          </w:p>
        </w:tc>
        <w:tc>
          <w:tcPr>
            <w:tcW w:w="3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SECTION 15</w:t>
            </w:r>
          </w:p>
        </w:tc>
        <w:tc>
          <w:tcPr>
            <w:tcW w:w="6320" w:type="dxa"/>
            <w:vAlign w:val="bottom"/>
          </w:tcPr>
          <w:p>
            <w:pPr>
              <w:ind w:left="220"/>
              <w:spacing w:after="0"/>
              <w:rPr>
                <w:sz w:val="20"/>
                <w:szCs w:val="20"/>
                <w:color w:val="auto"/>
              </w:rPr>
            </w:pPr>
            <w:r>
              <w:rPr>
                <w:rFonts w:ascii="Arial" w:cs="Arial" w:eastAsia="Arial" w:hAnsi="Arial"/>
                <w:sz w:val="18"/>
                <w:szCs w:val="18"/>
                <w:color w:val="auto"/>
              </w:rPr>
              <w:t>Amendment Or Discontinuance</w:t>
            </w:r>
          </w:p>
        </w:tc>
        <w:tc>
          <w:tcPr>
            <w:tcW w:w="3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SECTION 16</w:t>
            </w:r>
          </w:p>
        </w:tc>
        <w:tc>
          <w:tcPr>
            <w:tcW w:w="6320" w:type="dxa"/>
            <w:vAlign w:val="bottom"/>
          </w:tcPr>
          <w:p>
            <w:pPr>
              <w:ind w:left="220"/>
              <w:spacing w:after="0"/>
              <w:rPr>
                <w:sz w:val="20"/>
                <w:szCs w:val="20"/>
                <w:color w:val="auto"/>
              </w:rPr>
            </w:pPr>
            <w:r>
              <w:rPr>
                <w:rFonts w:ascii="Arial" w:cs="Arial" w:eastAsia="Arial" w:hAnsi="Arial"/>
                <w:sz w:val="18"/>
                <w:szCs w:val="18"/>
                <w:color w:val="auto"/>
              </w:rPr>
              <w:t>Execution</w:t>
            </w:r>
          </w:p>
        </w:tc>
        <w:tc>
          <w:tcPr>
            <w:tcW w:w="3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48"/>
        </w:trPr>
        <w:tc>
          <w:tcPr>
            <w:tcW w:w="1220" w:type="dxa"/>
            <w:vAlign w:val="bottom"/>
            <w:tcBorders>
              <w:bottom w:val="single" w:sz="8" w:color="808080"/>
            </w:tcBorders>
          </w:tcPr>
          <w:p>
            <w:pPr>
              <w:spacing w:after="0"/>
              <w:rPr>
                <w:sz w:val="24"/>
                <w:szCs w:val="24"/>
                <w:color w:val="auto"/>
              </w:rPr>
            </w:pPr>
          </w:p>
        </w:tc>
        <w:tc>
          <w:tcPr>
            <w:tcW w:w="632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EMPLOYEE STOCK PURCHASE PLAN</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1</w:t>
      </w:r>
      <w:r>
        <w:rPr>
          <w:sz w:val="20"/>
          <w:szCs w:val="20"/>
          <w:color w:val="auto"/>
        </w:rPr>
        <w:tab/>
      </w:r>
      <w:r>
        <w:rPr>
          <w:rFonts w:ascii="Arial" w:cs="Arial" w:eastAsia="Arial" w:hAnsi="Arial"/>
          <w:sz w:val="16"/>
          <w:szCs w:val="16"/>
          <w:u w:val="single" w:color="auto"/>
          <w:color w:val="auto"/>
        </w:rPr>
        <w:t>Purpose Of The Plan.</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Plan was adopted by the Board on March 10, 2015 and shall be effective on May 18, 2015 subject to stockholder approval (the “Effective Date”). The purpose of the Plan is to provide Eligible Employees with an opportunity to increase their proprietary interest in the success of the Company by purchasing Stock from the Company on favorable terms and to pay for such purchases through payroll deductions. The Plan is intended to qualify under section 423 of the Code.</w:t>
      </w:r>
    </w:p>
    <w:p>
      <w:pPr>
        <w:spacing w:after="0" w:line="18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2</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 as constituted from time to time.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designated by the Board, as described in Section 3.</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Veracyte, Inc., a Delaware corporation.</w:t>
      </w:r>
    </w:p>
    <w:p>
      <w:pPr>
        <w:spacing w:after="0" w:line="225" w:lineRule="exact"/>
        <w:rPr>
          <w:rFonts w:ascii="Arial" w:cs="Arial" w:eastAsia="Arial" w:hAnsi="Arial"/>
          <w:sz w:val="18"/>
          <w:szCs w:val="18"/>
          <w:color w:val="auto"/>
        </w:rPr>
      </w:pPr>
    </w:p>
    <w:p>
      <w:pPr>
        <w:ind w:right="40" w:firstLine="656"/>
        <w:spacing w:after="0" w:line="255" w:lineRule="auto"/>
        <w:tabs>
          <w:tab w:leader="none" w:pos="13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unless provided otherwise by the Committee, base salary, wages and commissions paid in cash to a Participant by a Participating Company, without reduction for any pre-tax contributions made by the Participant under sections 401(k) or 125 of the Code. “Compensation” shall, unless provided otherwise by the Committee, exclude variable compensation other than commissions (including bonuses, incentive compensation, overtime pay and shift premiums), all non-cash items, moving or relocation allowances, cost-of-living equalization payments, car allowances, tuition reimbursements, imputed income attributable to cars or life insurance, severance pay, fringe benefits, contributions or benefits received under employee benefit plans, income attributable to the exercise of stock options, and similar items. The Committee shall determine whether a particular item is included in Compensation.</w:t>
      </w:r>
    </w:p>
    <w:p>
      <w:pPr>
        <w:spacing w:after="0" w:line="18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Reorganization</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or into another entity, or any other corporate reorganization;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1980" w:hanging="675"/>
        <w:spacing w:after="0"/>
        <w:tabs>
          <w:tab w:leader="none" w:pos="1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sale, transfer or other disposition of all or substantially all of the Company’s assets or the complete liquidation or dissolution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the Company.</w:t>
      </w:r>
    </w:p>
    <w:p>
      <w:pPr>
        <w:spacing w:after="0" w:line="210" w:lineRule="exact"/>
        <w:rPr>
          <w:rFonts w:ascii="Arial" w:cs="Arial" w:eastAsia="Arial" w:hAnsi="Arial"/>
          <w:sz w:val="16"/>
          <w:szCs w:val="16"/>
          <w:color w:val="auto"/>
        </w:rPr>
      </w:pPr>
    </w:p>
    <w:p>
      <w:pPr>
        <w:ind w:right="440" w:firstLine="656"/>
        <w:spacing w:after="0" w:line="277" w:lineRule="auto"/>
        <w:tabs>
          <w:tab w:leader="none" w:pos="13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any employee of a Participating Company whose customary employment is for more than five months per calendar year and for more than 20 hours per week.</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foregoing notwithstanding, an individual shall not be considered an Eligible Employee if his or her participation in the Plan is prohibited by the law of any country which has jurisdiction over him or her.</w:t>
      </w:r>
    </w:p>
    <w:p>
      <w:pPr>
        <w:spacing w:after="0" w:line="170" w:lineRule="exact"/>
        <w:rPr>
          <w:sz w:val="20"/>
          <w:szCs w:val="20"/>
          <w:color w:val="auto"/>
        </w:rPr>
      </w:pPr>
    </w:p>
    <w:p>
      <w:pPr>
        <w:ind w:left="1320" w:hanging="66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fair market value of a share of Stock, determined by the Committee as follows:</w:t>
      </w:r>
    </w:p>
    <w:p>
      <w:pPr>
        <w:sectPr>
          <w:pgSz w:w="11900" w:h="16838" w:orient="portrait"/>
          <w:cols w:equalWidth="0" w:num="1">
            <w:col w:w="11460"/>
          </w:cols>
          <w:pgMar w:left="240" w:top="341" w:right="199" w:bottom="0" w:gutter="0" w:footer="0" w:header="0"/>
        </w:sectPr>
      </w:pPr>
    </w:p>
    <w:bookmarkStart w:id="43" w:name="page44"/>
    <w:bookmarkEnd w:id="43"/>
    <w:p>
      <w:pPr>
        <w:jc w:val="both"/>
        <w:ind w:left="660" w:right="260" w:firstLine="645"/>
        <w:spacing w:after="0" w:line="264" w:lineRule="auto"/>
        <w:tabs>
          <w:tab w:leader="none" w:pos="19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Stock was traded on any established national securities exchange including the New York Stock Exchange or The NASDAQ Stock Market on the date in question, then the Fair Market Value shall be equal to the closing price as quoted on such exchange (or the exchange with the greatest volume of trading in the Stock) on such date; or</w:t>
      </w:r>
    </w:p>
    <w:p>
      <w:pPr>
        <w:spacing w:after="0" w:line="181" w:lineRule="exact"/>
        <w:rPr>
          <w:rFonts w:ascii="Arial" w:cs="Arial" w:eastAsia="Arial" w:hAnsi="Arial"/>
          <w:sz w:val="18"/>
          <w:szCs w:val="18"/>
          <w:color w:val="auto"/>
        </w:rPr>
      </w:pPr>
    </w:p>
    <w:p>
      <w:pPr>
        <w:ind w:left="660" w:right="320" w:firstLine="645"/>
        <w:spacing w:after="0" w:line="277" w:lineRule="auto"/>
        <w:tabs>
          <w:tab w:leader="none" w:pos="19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foregoing provision is not applicable, then the Fair Market Value shall be determined by the Committee in good faith on such basis as it deems appropriate.</w:t>
      </w:r>
    </w:p>
    <w:p>
      <w:pPr>
        <w:spacing w:after="0" w:line="170"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 xml:space="preserve">For any date that is not a Trading Day, the Fair Market Value of a share of Stock for such date shall be determined by using the closing sale price for the immediately preceding Trading Day. Whenever possible, the determination of Fair Market Value by the Committee shall be based on the prices reported in the </w:t>
      </w:r>
      <w:r>
        <w:rPr>
          <w:rFonts w:ascii="Arial" w:cs="Arial" w:eastAsia="Arial" w:hAnsi="Arial"/>
          <w:sz w:val="16"/>
          <w:szCs w:val="16"/>
          <w:u w:val="single" w:color="auto"/>
          <w:color w:val="auto"/>
        </w:rPr>
        <w:t>Wall Street Journal</w:t>
      </w:r>
      <w:r>
        <w:rPr>
          <w:rFonts w:ascii="Arial" w:cs="Arial" w:eastAsia="Arial" w:hAnsi="Arial"/>
          <w:sz w:val="16"/>
          <w:szCs w:val="16"/>
          <w:color w:val="auto"/>
        </w:rPr>
        <w:t xml:space="preserve"> or as reported directly to the Company by the stock exchange. Such determination shall be conclusive and binding on all persons.</w:t>
      </w:r>
    </w:p>
    <w:p>
      <w:pPr>
        <w:spacing w:after="0" w:line="147" w:lineRule="exact"/>
        <w:rPr>
          <w:sz w:val="20"/>
          <w:szCs w:val="20"/>
          <w:color w:val="auto"/>
        </w:rPr>
      </w:pPr>
    </w:p>
    <w:p>
      <w:pPr>
        <w:ind w:left="1320" w:hanging="66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means the grant of options to purchase shares of Stock under the Plan to Eligible Employees.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Date</w:t>
      </w:r>
      <w:r>
        <w:rPr>
          <w:rFonts w:ascii="Arial" w:cs="Arial" w:eastAsia="Arial" w:hAnsi="Arial"/>
          <w:sz w:val="18"/>
          <w:szCs w:val="18"/>
          <w:color w:val="auto"/>
        </w:rPr>
        <w:t>” means the first day of an Offering.</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w:t>
      </w:r>
      <w:r>
        <w:rPr>
          <w:rFonts w:ascii="Arial" w:cs="Arial" w:eastAsia="Arial" w:hAnsi="Arial"/>
          <w:sz w:val="16"/>
          <w:szCs w:val="16"/>
          <w:color w:val="auto"/>
        </w:rPr>
        <w:t>” means a period with respect to which the right to purchase Stock may be granted under the Plan, as determined pursuant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Section 4(a).</w:t>
      </w:r>
    </w:p>
    <w:p>
      <w:pPr>
        <w:spacing w:after="0" w:line="210" w:lineRule="exact"/>
        <w:rPr>
          <w:rFonts w:ascii="Arial" w:cs="Arial" w:eastAsia="Arial" w:hAnsi="Arial"/>
          <w:sz w:val="16"/>
          <w:szCs w:val="16"/>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elects to participate in the Plan, as provided in Section 4(b).</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(i) the Company and (ii) each present or future Subsidiary designated by the Committee as a Participating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left="1320" w:hanging="66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Veracyte, Inc. Employee Stock Purchase Plan, as it may be amended from time to time.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Account</w:t>
      </w:r>
      <w:r>
        <w:rPr>
          <w:rFonts w:ascii="Arial" w:cs="Arial" w:eastAsia="Arial" w:hAnsi="Arial"/>
          <w:sz w:val="18"/>
          <w:szCs w:val="18"/>
          <w:color w:val="auto"/>
        </w:rPr>
        <w:t>” means the account established for each Participant pursuant to Section 8(a).</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“Purchase Date</w:t>
      </w:r>
      <w:r>
        <w:rPr>
          <w:rFonts w:ascii="Arial" w:cs="Arial" w:eastAsia="Arial" w:hAnsi="Arial"/>
          <w:sz w:val="16"/>
          <w:szCs w:val="16"/>
          <w:color w:val="auto"/>
        </w:rPr>
        <w:t>” means one or more dates during an Offering on which shares of Stock may be purchased pursuant to the terms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Offering.</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77" w:lineRule="auto"/>
        <w:tabs>
          <w:tab w:leader="none" w:pos="1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Period</w:t>
      </w:r>
      <w:r>
        <w:rPr>
          <w:rFonts w:ascii="Arial" w:cs="Arial" w:eastAsia="Arial" w:hAnsi="Arial"/>
          <w:sz w:val="18"/>
          <w:szCs w:val="18"/>
          <w:color w:val="auto"/>
        </w:rPr>
        <w:t>” means one or more successive periods during an Offering, beginning on the Offering Date or on the day after a Purchase Date, and ending on the next succeeding Purchase Date.</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Price</w:t>
      </w:r>
      <w:r>
        <w:rPr>
          <w:rFonts w:ascii="Arial" w:cs="Arial" w:eastAsia="Arial" w:hAnsi="Arial"/>
          <w:sz w:val="17"/>
          <w:szCs w:val="17"/>
          <w:color w:val="auto"/>
        </w:rPr>
        <w:t>” means the price at which Participants may purchase shares of Stock under the Plan, as determined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8(b).</w:t>
      </w:r>
    </w:p>
    <w:p>
      <w:pPr>
        <w:spacing w:after="0" w:line="211" w:lineRule="exact"/>
        <w:rPr>
          <w:sz w:val="20"/>
          <w:szCs w:val="20"/>
          <w:color w:val="auto"/>
        </w:rPr>
      </w:pPr>
    </w:p>
    <w:p>
      <w:pPr>
        <w:ind w:left="1320" w:hanging="66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firstLine="656"/>
        <w:spacing w:after="0" w:line="264" w:lineRule="auto"/>
        <w:tabs>
          <w:tab w:leader="none" w:pos="13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81" w:lineRule="exact"/>
        <w:rPr>
          <w:sz w:val="20"/>
          <w:szCs w:val="20"/>
          <w:color w:val="auto"/>
        </w:rPr>
      </w:pPr>
    </w:p>
    <w:p>
      <w:pPr>
        <w:ind w:left="1320" w:hanging="66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national stock exchange on which the Stock is traded is open for trading.</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SECTION 3</w:t>
      </w:r>
      <w:r>
        <w:rPr>
          <w:rFonts w:ascii="Arial" w:cs="Arial" w:eastAsia="Arial" w:hAnsi="Arial"/>
          <w:sz w:val="16"/>
          <w:szCs w:val="16"/>
          <w:u w:val="single" w:color="auto"/>
          <w:color w:val="auto"/>
        </w:rPr>
        <w:t>Administration Of The Plan.</w:t>
      </w:r>
    </w:p>
    <w:p>
      <w:pPr>
        <w:spacing w:after="0" w:line="225" w:lineRule="exact"/>
        <w:rPr>
          <w:sz w:val="20"/>
          <w:szCs w:val="20"/>
          <w:color w:val="auto"/>
        </w:rPr>
      </w:pPr>
    </w:p>
    <w:p>
      <w:pPr>
        <w:ind w:right="460" w:firstLine="656"/>
        <w:spacing w:after="0" w:line="277" w:lineRule="auto"/>
        <w:tabs>
          <w:tab w:leader="none" w:pos="129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Committee Composition</w:t>
      </w:r>
      <w:r>
        <w:rPr>
          <w:rFonts w:ascii="Arial" w:cs="Arial" w:eastAsia="Arial" w:hAnsi="Arial"/>
          <w:sz w:val="18"/>
          <w:szCs w:val="18"/>
          <w:color w:val="auto"/>
        </w:rPr>
        <w:t>. The Plan shall be administered by the Committee. The Committee shall consist exclusively of one or more directors of the Company, who shall be appointed by the Board.</w:t>
      </w:r>
    </w:p>
    <w:p>
      <w:pPr>
        <w:spacing w:after="0" w:line="170" w:lineRule="exact"/>
        <w:rPr>
          <w:rFonts w:ascii="Arial" w:cs="Arial" w:eastAsia="Arial" w:hAnsi="Arial"/>
          <w:sz w:val="18"/>
          <w:szCs w:val="18"/>
          <w:color w:val="auto"/>
        </w:rPr>
      </w:pPr>
    </w:p>
    <w:p>
      <w:pPr>
        <w:ind w:right="40" w:firstLine="656"/>
        <w:spacing w:after="0" w:line="286" w:lineRule="auto"/>
        <w:tabs>
          <w:tab w:leader="none" w:pos="1304"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Committee Responsibilities</w:t>
      </w:r>
      <w:r>
        <w:rPr>
          <w:rFonts w:ascii="Arial" w:cs="Arial" w:eastAsia="Arial" w:hAnsi="Arial"/>
          <w:sz w:val="16"/>
          <w:szCs w:val="16"/>
          <w:color w:val="auto"/>
        </w:rPr>
        <w:t>. The Committee shall have full power and authority, subject to the provisions of the Plan, to promulgate such rules and regulations as it deems necessary for the proper administration of the Plan, to interpret the provisions and supervise the administration of the Plan, and to take all action in connection therewith or in relation thereto as it deems necessary or advisable. Any decision reduced to writing and signed by all of the members of the Committee shall be fully effective as if it had been made at a meeting duly held. The Committee’s determinations under the Plan, unless otherwise determined by the Board, shall be final and binding on all persons. The Company shall pay all expenses incurred in the administration of the Plan. No member of the Committee shall be personally liable for any action, determination, or interpretation made in good faith with respect to the Plan, and all members of the Committee shall be fully indemnified by the Company with respect to any such action, determination or interpretation. The Committee may adopt such rules, guidelines and forms as it deems appropriate to implement the Plan, including sub plans which the Committee may establish (which need not qualify under Section 423 of the Code) for the purpose of (i) facilitating participation in the Plan by non-U.S. employees in compliance with foreign laws and regulations without affecting the qualification of the remainder of the Plan under Section 423 of the Code or (ii) qualifying the Plan for preferred tax treatment under foreign tax laws (which sub plans, at the Committee’s discretion, may provide for allocations of the authorized Shares reserved for issue under the Plan as set forth in Section 14(a)). The rules of such sub plans may take precedence over other provisions of the Plan, with the exception of Section 14(a), but unless otherwise superseded by the terms of such sub plan, the provisions of the Plan shall govern the operation of such sub plan. Alternatively and in order to comply with the laws of a foreign jurisdiction, the Committee shall have the power, in its discretion, to grant options in an Offering to citizens or residents of a non-U.S. jurisdiction (without regard to whether they are also citizens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of the United States or resident aliens) that provide terms which are less favorable than the terms of options granted under the same Offering to employees resident in the United States, subject to compliance with Section 423 of the Code. Notwithstanding anything to the contrary in the Plan, the Board may, in its</w:t>
      </w:r>
    </w:p>
    <w:p>
      <w:pPr>
        <w:sectPr>
          <w:pgSz w:w="11900" w:h="16838" w:orient="portrait"/>
          <w:cols w:equalWidth="0" w:num="1">
            <w:col w:w="11380"/>
          </w:cols>
          <w:pgMar w:left="240" w:top="125" w:right="279" w:bottom="0" w:gutter="0" w:footer="0" w:header="0"/>
        </w:sectPr>
      </w:pPr>
    </w:p>
    <w:bookmarkStart w:id="44" w:name="page45"/>
    <w:bookmarkEnd w:id="44"/>
    <w:p>
      <w:pPr>
        <w:ind w:right="260"/>
        <w:spacing w:after="0" w:line="277" w:lineRule="auto"/>
        <w:rPr>
          <w:sz w:val="20"/>
          <w:szCs w:val="20"/>
          <w:color w:val="auto"/>
        </w:rPr>
      </w:pPr>
      <w:r>
        <w:rPr>
          <w:rFonts w:ascii="Arial" w:cs="Arial" w:eastAsia="Arial" w:hAnsi="Arial"/>
          <w:sz w:val="18"/>
          <w:szCs w:val="18"/>
          <w:color w:val="auto"/>
        </w:rPr>
        <w:t>sole discretion, at any time and from time to time, resolve to administer the Plan. In such event, the Board shall have all of the authority and responsibility granted to the Committee herein.</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4</w:t>
      </w:r>
      <w:r>
        <w:rPr>
          <w:sz w:val="20"/>
          <w:szCs w:val="20"/>
          <w:color w:val="auto"/>
        </w:rPr>
        <w:tab/>
      </w:r>
      <w:r>
        <w:rPr>
          <w:rFonts w:ascii="Arial" w:cs="Arial" w:eastAsia="Arial" w:hAnsi="Arial"/>
          <w:sz w:val="16"/>
          <w:szCs w:val="16"/>
          <w:u w:val="single" w:color="auto"/>
          <w:color w:val="auto"/>
        </w:rPr>
        <w:t>Enrollment And Participation.</w:t>
      </w:r>
    </w:p>
    <w:p>
      <w:pPr>
        <w:spacing w:after="0" w:line="225" w:lineRule="exact"/>
        <w:rPr>
          <w:sz w:val="20"/>
          <w:szCs w:val="20"/>
          <w:color w:val="auto"/>
        </w:rPr>
      </w:pPr>
    </w:p>
    <w:p>
      <w:pPr>
        <w:ind w:firstLine="656"/>
        <w:spacing w:after="0" w:line="268" w:lineRule="auto"/>
        <w:tabs>
          <w:tab w:leader="none" w:pos="1294"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Offering Periods</w:t>
      </w:r>
      <w:r>
        <w:rPr>
          <w:rFonts w:ascii="Arial" w:cs="Arial" w:eastAsia="Arial" w:hAnsi="Arial"/>
          <w:sz w:val="17"/>
          <w:szCs w:val="17"/>
          <w:color w:val="auto"/>
        </w:rPr>
        <w:t>. While the Plan is in effect, the Committee may from time to time grant options to purchase shares of Stock pursuant to the Plan to Eligible Employees during a specified Offering Period. Each such Offering shall be in such form and shall contain such terms and conditions as the Committee shall determine, subject to compliance with the terms and conditions of the Plan (which may be incorporated by reference) and the requirements of Section 423 of the Code, including the requirement that all Eligible Employees have the same rights and privileges. The Committee shall specify prior to the commencement of each Offering (i) the period during which the Offering shall be effective, which may not exceed 12 months from the Offering Date and may include one or more successive Purchase Periods within the Offering, (ii) the Purchase Dates and Purchase Price for shares of Stock which may be purchased pursuant to the Offering, and (iii) if applicable, any limits on the number of shares purchasable by a Participant, or by all Participants in the aggregate, during any Offering Period or, if applicable, Purchase Period, in each case consistent with the limitations of the Plan. Unless provided otherwise by the Committee prior to commencement of an Offering, the maximum number of shares of Stock which may be purchased by an individual Participant during such Offering is 2,500 shares, subject to the other limitations of the Plan. The Committee shall have the discretion to provide for the automatic termination of an Offering following any Purchase Date on which the Fair Market Value of a share of Stock is equal to or less than the Fair Market Value of a share of Stock on the Offering Date, and for the Participants in the terminated Offering to be automatically re-enrolled in a new Offering that commences immediately after such Purchase Date. The terms and conditions of each Offering need not be identical, and shall be deemed incorporated by reference and made a part of the Plan.</w:t>
      </w:r>
    </w:p>
    <w:p>
      <w:pPr>
        <w:spacing w:after="0" w:line="185" w:lineRule="exact"/>
        <w:rPr>
          <w:rFonts w:ascii="Arial" w:cs="Arial" w:eastAsia="Arial" w:hAnsi="Arial"/>
          <w:sz w:val="17"/>
          <w:szCs w:val="17"/>
          <w:color w:val="auto"/>
        </w:rPr>
      </w:pPr>
    </w:p>
    <w:p>
      <w:pPr>
        <w:ind w:firstLine="656"/>
        <w:spacing w:after="0" w:line="264" w:lineRule="auto"/>
        <w:tabs>
          <w:tab w:leader="none" w:pos="130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Enrollment</w:t>
      </w:r>
      <w:r>
        <w:rPr>
          <w:rFonts w:ascii="Arial" w:cs="Arial" w:eastAsia="Arial" w:hAnsi="Arial"/>
          <w:sz w:val="18"/>
          <w:szCs w:val="18"/>
          <w:color w:val="auto"/>
        </w:rPr>
        <w:t>. Any individual who, on the day preceding the first day of an Offering Period, qualifies as an Eligible Employee may elect to become a Participant in the Plan for such Offering Period by executing the enrollment form prescribed for this purpose by the Company. The enrollment form shall be filed with the Company in accordance with such procedures as may be established by the Company.</w:t>
      </w:r>
    </w:p>
    <w:p>
      <w:pPr>
        <w:spacing w:after="0" w:line="181" w:lineRule="exact"/>
        <w:rPr>
          <w:rFonts w:ascii="Arial" w:cs="Arial" w:eastAsia="Arial" w:hAnsi="Arial"/>
          <w:sz w:val="18"/>
          <w:szCs w:val="18"/>
          <w:color w:val="auto"/>
        </w:rPr>
      </w:pPr>
    </w:p>
    <w:p>
      <w:pPr>
        <w:ind w:right="300" w:firstLine="656"/>
        <w:spacing w:after="0" w:line="297" w:lineRule="auto"/>
        <w:tabs>
          <w:tab w:leader="none" w:pos="1307"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Duration of Participation</w:t>
      </w:r>
      <w:r>
        <w:rPr>
          <w:rFonts w:ascii="Arial" w:cs="Arial" w:eastAsia="Arial" w:hAnsi="Arial"/>
          <w:sz w:val="16"/>
          <w:szCs w:val="16"/>
          <w:color w:val="auto"/>
        </w:rPr>
        <w:t>. Once enrolled in the Plan, a Participant shall continue to participate in the Plan until he or she ceases to be an Eligible Employee or withdraws from the Plan under Section 6(a). A Participant who withdrew from the Plan under Section 6(a) may again become a Participant, if he or she then is an Eligible Employee, by following the procedure described in Subsection (b) above. A Participant whose employee contributions were discontinued automatically under Section 9(b) shall automatically resume participation at the beginning of the earliest Offering Period ending in the next calendar year, if he or she then is an Eligible Employee. When a Participant reaches the end of an Offering Period but his or her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participation is to continue, then such Participant shall automatically be re-enrolled for the Offering Period that commences immediately after the end of the prior Offering Period.</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5</w:t>
      </w:r>
      <w:r>
        <w:rPr>
          <w:sz w:val="20"/>
          <w:szCs w:val="20"/>
          <w:color w:val="auto"/>
        </w:rPr>
        <w:tab/>
      </w:r>
      <w:r>
        <w:rPr>
          <w:rFonts w:ascii="Arial" w:cs="Arial" w:eastAsia="Arial" w:hAnsi="Arial"/>
          <w:sz w:val="16"/>
          <w:szCs w:val="16"/>
          <w:u w:val="single" w:color="auto"/>
          <w:color w:val="auto"/>
        </w:rPr>
        <w:t>Employee Contributions.</w:t>
      </w:r>
    </w:p>
    <w:p>
      <w:pPr>
        <w:spacing w:after="0" w:line="225" w:lineRule="exact"/>
        <w:rPr>
          <w:sz w:val="20"/>
          <w:szCs w:val="20"/>
          <w:color w:val="auto"/>
        </w:rPr>
      </w:pPr>
    </w:p>
    <w:p>
      <w:pPr>
        <w:ind w:right="60" w:firstLine="656"/>
        <w:spacing w:after="0" w:line="259" w:lineRule="auto"/>
        <w:tabs>
          <w:tab w:leader="none" w:pos="129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Frequency of Payroll Deductions</w:t>
      </w:r>
      <w:r>
        <w:rPr>
          <w:rFonts w:ascii="Arial" w:cs="Arial" w:eastAsia="Arial" w:hAnsi="Arial"/>
          <w:sz w:val="18"/>
          <w:szCs w:val="18"/>
          <w:color w:val="auto"/>
        </w:rPr>
        <w:t>. A Participant may purchase shares of Stock under the Plan solely by means of payroll deductions; provided, however, that to the extent provided in the terms and conditions of an Offering, a Participant may also make contributions through payment by cash or check prior to one or more Purchase Dates during the Offering. Payroll deductions, subject to the provisions of Subsection (b) below or as otherwise provided by the Committee, shall occur on each payday during participation in the Plan.</w:t>
      </w:r>
    </w:p>
    <w:p>
      <w:pPr>
        <w:spacing w:after="0" w:line="186" w:lineRule="exact"/>
        <w:rPr>
          <w:rFonts w:ascii="Arial" w:cs="Arial" w:eastAsia="Arial" w:hAnsi="Arial"/>
          <w:sz w:val="18"/>
          <w:szCs w:val="18"/>
          <w:color w:val="auto"/>
        </w:rPr>
      </w:pPr>
    </w:p>
    <w:p>
      <w:pPr>
        <w:jc w:val="both"/>
        <w:ind w:right="140" w:firstLine="656"/>
        <w:spacing w:after="0" w:line="279" w:lineRule="auto"/>
        <w:tabs>
          <w:tab w:leader="none" w:pos="1304"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Amount of Payroll Deductions</w:t>
      </w:r>
      <w:r>
        <w:rPr>
          <w:rFonts w:ascii="Arial" w:cs="Arial" w:eastAsia="Arial" w:hAnsi="Arial"/>
          <w:sz w:val="17"/>
          <w:szCs w:val="17"/>
          <w:color w:val="auto"/>
        </w:rPr>
        <w:t>. An Eligible Employee shall designate on the enrollment form the portion of his or her Compensation that he or she elects to have withheld for the purchase of Stock. Such portion shall be a whole percentage of the Eligible Employee’s Compensation, but not less than 1% nor more than 15%. However, no payroll deduction will be made unless a Participant timely files the proper form with the Company after a registration statement covering the Stock is filed and effective under the Securities Act of 1933, as amended.</w:t>
      </w:r>
    </w:p>
    <w:p>
      <w:pPr>
        <w:spacing w:after="0" w:line="171" w:lineRule="exact"/>
        <w:rPr>
          <w:rFonts w:ascii="Arial" w:cs="Arial" w:eastAsia="Arial" w:hAnsi="Arial"/>
          <w:sz w:val="17"/>
          <w:szCs w:val="17"/>
          <w:color w:val="auto"/>
        </w:rPr>
      </w:pPr>
    </w:p>
    <w:p>
      <w:pPr>
        <w:ind w:right="40" w:firstLine="656"/>
        <w:spacing w:after="0" w:line="255" w:lineRule="auto"/>
        <w:tabs>
          <w:tab w:leader="none" w:pos="1307"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Changing Withholding Rate</w:t>
      </w:r>
      <w:r>
        <w:rPr>
          <w:rFonts w:ascii="Arial" w:cs="Arial" w:eastAsia="Arial" w:hAnsi="Arial"/>
          <w:sz w:val="18"/>
          <w:szCs w:val="18"/>
          <w:color w:val="auto"/>
        </w:rPr>
        <w:t>. A Participant may not increase the rate of payroll withholding during the Purchase Period, but unless otherwise provided under the terms and conditions of an Offering, may discontinue or decrease the rate of payroll withholding to a whole percentage of his or her Compensation in accordance with such procedures and subject to such limitations as the Company may establish for all Participants. A Participant may also increase or decrease the rate of payroll withholding effective for a new Purchase Period by filing a new enrollment form with the Company at the prescribed location and time. The new withholding rate shall be a whole percentage of the Eligible Employee’s Compensation, but not less than 1% nor more than 15%.</w:t>
      </w:r>
    </w:p>
    <w:p>
      <w:pPr>
        <w:spacing w:after="0" w:line="193" w:lineRule="exact"/>
        <w:rPr>
          <w:rFonts w:ascii="Arial" w:cs="Arial" w:eastAsia="Arial" w:hAnsi="Arial"/>
          <w:sz w:val="18"/>
          <w:szCs w:val="18"/>
          <w:color w:val="auto"/>
        </w:rPr>
      </w:pPr>
    </w:p>
    <w:p>
      <w:pPr>
        <w:ind w:right="620" w:firstLine="656"/>
        <w:spacing w:after="0" w:line="342" w:lineRule="auto"/>
        <w:tabs>
          <w:tab w:leader="none" w:pos="1304"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Discontinuing Payroll Deductions</w:t>
      </w:r>
      <w:r>
        <w:rPr>
          <w:rFonts w:ascii="Arial" w:cs="Arial" w:eastAsia="Arial" w:hAnsi="Arial"/>
          <w:sz w:val="16"/>
          <w:szCs w:val="16"/>
          <w:color w:val="auto"/>
        </w:rPr>
        <w:t>. If a Participant wishes to discontinue employee contributions entirely, he or she may do so by withdrawing from the Plan pursuant to Section 6(a). In addition, employee contributions may be discontinued automatically pursuant to Section 9(b).</w:t>
      </w:r>
    </w:p>
    <w:p>
      <w:pPr>
        <w:spacing w:after="0" w:line="12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6</w:t>
      </w:r>
      <w:r>
        <w:rPr>
          <w:sz w:val="20"/>
          <w:szCs w:val="20"/>
          <w:color w:val="auto"/>
        </w:rPr>
        <w:tab/>
      </w:r>
      <w:r>
        <w:rPr>
          <w:rFonts w:ascii="Arial" w:cs="Arial" w:eastAsia="Arial" w:hAnsi="Arial"/>
          <w:sz w:val="16"/>
          <w:szCs w:val="16"/>
          <w:u w:val="single" w:color="auto"/>
          <w:color w:val="auto"/>
        </w:rPr>
        <w:t>Withdrawal From The Plan.</w:t>
      </w:r>
    </w:p>
    <w:p>
      <w:pPr>
        <w:spacing w:after="0" w:line="225" w:lineRule="exact"/>
        <w:rPr>
          <w:sz w:val="20"/>
          <w:szCs w:val="20"/>
          <w:color w:val="auto"/>
        </w:rPr>
      </w:pPr>
    </w:p>
    <w:p>
      <w:pPr>
        <w:ind w:right="80" w:firstLine="656"/>
        <w:spacing w:after="0" w:line="297" w:lineRule="auto"/>
        <w:tabs>
          <w:tab w:leader="none" w:pos="1294"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Withdrawal</w:t>
      </w:r>
      <w:r>
        <w:rPr>
          <w:rFonts w:ascii="Arial" w:cs="Arial" w:eastAsia="Arial" w:hAnsi="Arial"/>
          <w:sz w:val="16"/>
          <w:szCs w:val="16"/>
          <w:color w:val="auto"/>
        </w:rPr>
        <w:t>. A Participant may elect to withdraw from the Plan by filing the prescribed form with the Company at the prescribed location. Such withdrawal may be elected at any time before the last day of an Offering Period, except as otherwise provided in the Offering. In addition, if payment by cash or check is permitted under the terms and conditions of an Offering, Participants may be deemed to withdraw from the Plan by declining or failing to remit timely payment to the Company for the shares of Stock. As soon as reasonably practicable thereafter, payroll deductions shall cease and the entire amount credited to the Participant’s Plan Account shall be refunded to him or her in cash, without interest. No partial withdrawals shall be permitted.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77" w:lineRule="auto"/>
        <w:tabs>
          <w:tab w:leader="none" w:pos="130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Re-enrollment After Withdrawal</w:t>
      </w:r>
      <w:r>
        <w:rPr>
          <w:rFonts w:ascii="Arial" w:cs="Arial" w:eastAsia="Arial" w:hAnsi="Arial"/>
          <w:sz w:val="18"/>
          <w:szCs w:val="18"/>
          <w:color w:val="auto"/>
        </w:rPr>
        <w:t>. A former Participant who has withdrawn from the Plan shall not be a Participant until he or she re-enrolls in the Plan under Section 4(b). Re-enrollment may be effective only at the commencement of an Offering Period.</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7</w:t>
      </w:r>
      <w:r>
        <w:rPr>
          <w:sz w:val="20"/>
          <w:szCs w:val="20"/>
          <w:color w:val="auto"/>
        </w:rPr>
        <w:tab/>
      </w:r>
      <w:r>
        <w:rPr>
          <w:rFonts w:ascii="Arial" w:cs="Arial" w:eastAsia="Arial" w:hAnsi="Arial"/>
          <w:sz w:val="16"/>
          <w:szCs w:val="16"/>
          <w:u w:val="single" w:color="auto"/>
          <w:color w:val="auto"/>
        </w:rPr>
        <w:t>Change In Employment Status</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45" w:name="page46"/>
    <w:bookmarkEnd w:id="45"/>
    <w:p>
      <w:pPr>
        <w:spacing w:after="0" w:line="13" w:lineRule="exact"/>
        <w:rPr>
          <w:sz w:val="20"/>
          <w:szCs w:val="20"/>
          <w:color w:val="auto"/>
        </w:rPr>
      </w:pPr>
    </w:p>
    <w:p>
      <w:pPr>
        <w:ind w:right="240" w:firstLine="656"/>
        <w:spacing w:after="0" w:line="264" w:lineRule="auto"/>
        <w:tabs>
          <w:tab w:leader="none" w:pos="129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Termination of employment as an Eligible Employee for any reason, including death, shall be treated as an automatic withdrawal from the Plan under Section 6(a). A transfer from one Participating Company to another shall not be treated as a termination of employment.</w:t>
      </w:r>
    </w:p>
    <w:p>
      <w:pPr>
        <w:spacing w:after="0" w:line="181" w:lineRule="exact"/>
        <w:rPr>
          <w:rFonts w:ascii="Arial" w:cs="Arial" w:eastAsia="Arial" w:hAnsi="Arial"/>
          <w:sz w:val="18"/>
          <w:szCs w:val="18"/>
          <w:color w:val="auto"/>
        </w:rPr>
      </w:pPr>
    </w:p>
    <w:p>
      <w:pPr>
        <w:jc w:val="both"/>
        <w:ind w:right="60" w:firstLine="656"/>
        <w:spacing w:after="0" w:line="279" w:lineRule="auto"/>
        <w:tabs>
          <w:tab w:leader="none" w:pos="1304"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Leave of Absence</w:t>
      </w:r>
      <w:r>
        <w:rPr>
          <w:rFonts w:ascii="Arial" w:cs="Arial" w:eastAsia="Arial" w:hAnsi="Arial"/>
          <w:sz w:val="17"/>
          <w:szCs w:val="17"/>
          <w:color w:val="auto"/>
        </w:rPr>
        <w:t>. For purposes of the Plan, employment shall not be deemed to terminate when the Participant goes on a military leave, a sick leave or another bona fide leave of absence, if the leave was approved by the Company in writing. Employment, however, shall be deemed to terminate three months after the Participant goes on a leave, unless a contract or statute guarantees his or her right to return to work. Employment shall be deemed to terminate in any event when the approved leave ends, unless the Participant immediately returns to work.</w:t>
      </w:r>
    </w:p>
    <w:p>
      <w:pPr>
        <w:spacing w:after="0" w:line="171" w:lineRule="exact"/>
        <w:rPr>
          <w:rFonts w:ascii="Arial" w:cs="Arial" w:eastAsia="Arial" w:hAnsi="Arial"/>
          <w:sz w:val="17"/>
          <w:szCs w:val="17"/>
          <w:color w:val="auto"/>
        </w:rPr>
      </w:pPr>
    </w:p>
    <w:p>
      <w:pPr>
        <w:ind w:left="1320" w:hanging="664"/>
        <w:spacing w:after="0"/>
        <w:tabs>
          <w:tab w:leader="none" w:pos="132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In the event of the Participant’s death, the amount credited to his or her Plan Account shall be paid to the Participant’s estate.</w:t>
      </w:r>
    </w:p>
    <w:p>
      <w:pPr>
        <w:spacing w:after="0" w:line="23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8</w:t>
      </w:r>
      <w:r>
        <w:rPr>
          <w:sz w:val="20"/>
          <w:szCs w:val="20"/>
          <w:color w:val="auto"/>
        </w:rPr>
        <w:tab/>
      </w:r>
      <w:r>
        <w:rPr>
          <w:rFonts w:ascii="Arial" w:cs="Arial" w:eastAsia="Arial" w:hAnsi="Arial"/>
          <w:sz w:val="15"/>
          <w:szCs w:val="15"/>
          <w:u w:val="single" w:color="auto"/>
          <w:color w:val="auto"/>
        </w:rPr>
        <w:t>Plan Accounts and Purchase Of Shares</w:t>
      </w:r>
      <w:r>
        <w:rPr>
          <w:rFonts w:ascii="Arial" w:cs="Arial" w:eastAsia="Arial" w:hAnsi="Arial"/>
          <w:sz w:val="15"/>
          <w:szCs w:val="15"/>
          <w:color w:val="auto"/>
        </w:rPr>
        <w:t>.</w:t>
      </w:r>
    </w:p>
    <w:p>
      <w:pPr>
        <w:spacing w:after="0" w:line="225" w:lineRule="exact"/>
        <w:rPr>
          <w:sz w:val="20"/>
          <w:szCs w:val="20"/>
          <w:color w:val="auto"/>
        </w:rPr>
      </w:pPr>
    </w:p>
    <w:p>
      <w:pPr>
        <w:ind w:right="100" w:firstLine="656"/>
        <w:spacing w:after="0" w:line="259" w:lineRule="auto"/>
        <w:tabs>
          <w:tab w:leader="none" w:pos="129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Plan Accounts</w:t>
      </w:r>
      <w:r>
        <w:rPr>
          <w:rFonts w:ascii="Arial" w:cs="Arial" w:eastAsia="Arial" w:hAnsi="Arial"/>
          <w:sz w:val="18"/>
          <w:szCs w:val="18"/>
          <w:color w:val="auto"/>
        </w:rPr>
        <w:t>. The Company shall maintain a Plan Account on its books in the name of each Participant. Whenever an amount is deducted from the Participant’s Compensation under the Plan, such amount shall be credited to the Participant’s Plan Account. Amounts credited to Plan Accounts shall not be trust funds and may be commingled with the Company’s general assets and applied to general corporate purposes. No interest shall be credited to Plan Accounts.</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Purchase Price</w:t>
      </w:r>
      <w:r>
        <w:rPr>
          <w:rFonts w:ascii="Arial" w:cs="Arial" w:eastAsia="Arial" w:hAnsi="Arial"/>
          <w:sz w:val="17"/>
          <w:szCs w:val="17"/>
          <w:color w:val="auto"/>
        </w:rPr>
        <w:t>. The Purchase Price for each share of Stock purchased during an Offering Period shall not be less than the lesser of:</w:t>
      </w:r>
    </w:p>
    <w:p>
      <w:pPr>
        <w:spacing w:after="0" w:line="236" w:lineRule="exact"/>
        <w:rPr>
          <w:rFonts w:ascii="Arial" w:cs="Arial" w:eastAsia="Arial" w:hAnsi="Arial"/>
          <w:sz w:val="17"/>
          <w:szCs w:val="17"/>
          <w:color w:val="auto"/>
        </w:rPr>
      </w:pPr>
    </w:p>
    <w:p>
      <w:pPr>
        <w:ind w:left="1980" w:hanging="675"/>
        <w:spacing w:after="0"/>
        <w:tabs>
          <w:tab w:leader="none" w:pos="1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85% of the Fair Market Value of such share on the Purchase Date;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85% of the Fair Market Value of such share on the Offering Date.</w:t>
      </w:r>
    </w:p>
    <w:p>
      <w:pPr>
        <w:spacing w:after="0" w:line="225" w:lineRule="exact"/>
        <w:rPr>
          <w:rFonts w:ascii="Arial" w:cs="Arial" w:eastAsia="Arial" w:hAnsi="Arial"/>
          <w:sz w:val="18"/>
          <w:szCs w:val="18"/>
          <w:color w:val="auto"/>
        </w:rPr>
      </w:pPr>
    </w:p>
    <w:p>
      <w:pPr>
        <w:ind w:right="20" w:firstLine="656"/>
        <w:spacing w:after="0" w:line="272" w:lineRule="auto"/>
        <w:tabs>
          <w:tab w:leader="none" w:pos="1307"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Number of Shares Purchased</w:t>
      </w:r>
      <w:r>
        <w:rPr>
          <w:rFonts w:ascii="Arial" w:cs="Arial" w:eastAsia="Arial" w:hAnsi="Arial"/>
          <w:sz w:val="17"/>
          <w:szCs w:val="17"/>
          <w:color w:val="auto"/>
        </w:rPr>
        <w:t>. As of each Purchase Date, each Participant shall be deemed to have elected to purchase the number of shares of Stock calculated in accordance with this Subsection (c), unless the Participant has previously elected to withdraw from the Plan in accordance with Section 6(a). The amount then in the Participant’s Plan Account shall be divided by the Purchase Price, and the number of shares that results shall be purchased from the Company with the funds in the Participant’s Plan Account. The foregoing notwithstanding, no Participant shall purchase more than such number of shares of Stock as may be determined by the Committee with respect to the Offering Period, or Purchase Period, if applicable, nor more than the amounts of Stock set forth in Sections 9(b) and 14(a). For each Offering Period and, if applicable, Purchase Period, the Committee shall have the authority to establish additional limits on the number of shares purchasable by all Participants in the aggregate.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57" w:lineRule="auto"/>
        <w:tabs>
          <w:tab w:leader="none" w:pos="130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Available Shares Insufficient</w:t>
      </w:r>
      <w:r>
        <w:rPr>
          <w:rFonts w:ascii="Arial" w:cs="Arial" w:eastAsia="Arial" w:hAnsi="Arial"/>
          <w:sz w:val="18"/>
          <w:szCs w:val="18"/>
          <w:color w:val="auto"/>
        </w:rPr>
        <w:t>. In the event that the aggregate number of shares that all Participants elect to purchase during an Offering Period exceeds the maximum number of shares remaining available for issuance under Section 14(a), or which may be purchased pursuant to any additional aggregate limits imposed by the Committee, then the number of shares to which each Participant is entitled shall be determined by multiplying the number of shares available for issuance by a fraction, the numerator of which is the number of shares that such Participant has elected to purchase and the denominator of which is the number of shares that all Participants have elected to purchase.</w:t>
      </w:r>
    </w:p>
    <w:p>
      <w:pPr>
        <w:spacing w:after="0" w:line="188" w:lineRule="exact"/>
        <w:rPr>
          <w:rFonts w:ascii="Arial" w:cs="Arial" w:eastAsia="Arial" w:hAnsi="Arial"/>
          <w:sz w:val="18"/>
          <w:szCs w:val="18"/>
          <w:color w:val="auto"/>
        </w:rPr>
      </w:pPr>
    </w:p>
    <w:p>
      <w:pPr>
        <w:ind w:right="200" w:firstLine="656"/>
        <w:spacing w:after="0" w:line="257" w:lineRule="auto"/>
        <w:tabs>
          <w:tab w:leader="none" w:pos="130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Issuance of Stock.</w:t>
      </w:r>
      <w:r>
        <w:rPr>
          <w:rFonts w:ascii="Arial" w:cs="Arial" w:eastAsia="Arial" w:hAnsi="Arial"/>
          <w:sz w:val="18"/>
          <w:szCs w:val="18"/>
          <w:color w:val="auto"/>
        </w:rPr>
        <w:t xml:space="preserve"> Certificates representing the shares of Stock purchased by a Participant under the Plan shall be issued to him or her as soon as reasonably practicable after the applicable Purchase Date, except that the Committee may determine that such shares shall be held for each Participant’s benefit by a broker designated by the Committee (unless the Participant has elected that certificates be issued to him or her). Shares may be registered in the name of the Participant or jointly in the name of the Participant and his or her spouse as joint tenants with right of survivorship or as community property.</w:t>
      </w:r>
    </w:p>
    <w:p>
      <w:pPr>
        <w:spacing w:after="0" w:line="188" w:lineRule="exact"/>
        <w:rPr>
          <w:rFonts w:ascii="Arial" w:cs="Arial" w:eastAsia="Arial" w:hAnsi="Arial"/>
          <w:sz w:val="18"/>
          <w:szCs w:val="18"/>
          <w:color w:val="auto"/>
        </w:rPr>
      </w:pPr>
    </w:p>
    <w:p>
      <w:pPr>
        <w:ind w:right="120" w:firstLine="656"/>
        <w:spacing w:after="0" w:line="302" w:lineRule="auto"/>
        <w:tabs>
          <w:tab w:leader="none" w:pos="1301"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Unused Cash Balances</w:t>
      </w:r>
      <w:r>
        <w:rPr>
          <w:rFonts w:ascii="Arial" w:cs="Arial" w:eastAsia="Arial" w:hAnsi="Arial"/>
          <w:sz w:val="16"/>
          <w:szCs w:val="16"/>
          <w:color w:val="auto"/>
        </w:rPr>
        <w:t>. An amount remaining in the Participant’s Plan Account that represents the Purchase Price for any fractional share shall be carried over in the Participant’s Plan Account to the next Offering Period or refunded to the Participant in cash, without interest, if his or her participation is not continued. Any amount remaining in the Participant’s Plan Account that represents the Purchase Price for whole shares that could not be purchased by reason of Subsection (c) or (d) above, Section 9(b) or Section 14(a) shall be refunded to the Participant in cash, without interest.</w:t>
      </w:r>
    </w:p>
    <w:p>
      <w:pPr>
        <w:spacing w:after="0" w:line="154" w:lineRule="exact"/>
        <w:rPr>
          <w:rFonts w:ascii="Arial" w:cs="Arial" w:eastAsia="Arial" w:hAnsi="Arial"/>
          <w:sz w:val="16"/>
          <w:szCs w:val="16"/>
          <w:color w:val="auto"/>
        </w:rPr>
      </w:pPr>
    </w:p>
    <w:p>
      <w:pPr>
        <w:ind w:right="100" w:firstLine="656"/>
        <w:spacing w:after="0" w:line="264" w:lineRule="auto"/>
        <w:tabs>
          <w:tab w:leader="none" w:pos="131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Plan shall be submitted to the stockholders of the Company for their approval within twelve (12) months after the date the Plan is adopted by the Board. Any other provision of the Plan notwithstanding, no shares of Stock shall be purchased under the Plan unless and until the Company’s stockholders have approved the adoption of the Plan.</w:t>
      </w:r>
    </w:p>
    <w:p>
      <w:pPr>
        <w:spacing w:after="0" w:line="18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9</w:t>
      </w:r>
      <w:r>
        <w:rPr>
          <w:sz w:val="20"/>
          <w:szCs w:val="20"/>
          <w:color w:val="auto"/>
        </w:rPr>
        <w:tab/>
      </w:r>
      <w:r>
        <w:rPr>
          <w:rFonts w:ascii="Arial" w:cs="Arial" w:eastAsia="Arial" w:hAnsi="Arial"/>
          <w:sz w:val="16"/>
          <w:szCs w:val="16"/>
          <w:u w:val="single" w:color="auto"/>
          <w:color w:val="auto"/>
        </w:rPr>
        <w:t>Limitations On Stock Ownership.</w:t>
      </w:r>
    </w:p>
    <w:p>
      <w:pPr>
        <w:spacing w:after="0" w:line="225" w:lineRule="exact"/>
        <w:rPr>
          <w:sz w:val="20"/>
          <w:szCs w:val="20"/>
          <w:color w:val="auto"/>
        </w:rPr>
      </w:pPr>
    </w:p>
    <w:p>
      <w:pPr>
        <w:ind w:right="200" w:firstLine="656"/>
        <w:spacing w:after="0" w:line="259" w:lineRule="auto"/>
        <w:tabs>
          <w:tab w:leader="none" w:pos="129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Five Percent Limit</w:t>
      </w:r>
      <w:r>
        <w:rPr>
          <w:rFonts w:ascii="Arial" w:cs="Arial" w:eastAsia="Arial" w:hAnsi="Arial"/>
          <w:sz w:val="18"/>
          <w:szCs w:val="18"/>
          <w:color w:val="auto"/>
        </w:rPr>
        <w:t>. Any other provision of the Plan notwithstanding, no Participant shall be granted a right to purchase Stock under the Plan if such Participant, immediately after his or her election to purchase such Stock, would own stock possessing 5% or more of the total combined voting power or value of all classes of stock of the Company or any parent or Subsidiary of the Company. For purposes of this Subsection (a), the following rules shall apply:</w:t>
      </w:r>
    </w:p>
    <w:p>
      <w:pPr>
        <w:spacing w:after="0" w:line="186" w:lineRule="exact"/>
        <w:rPr>
          <w:rFonts w:ascii="Arial" w:cs="Arial" w:eastAsia="Arial" w:hAnsi="Arial"/>
          <w:sz w:val="18"/>
          <w:szCs w:val="18"/>
          <w:color w:val="auto"/>
        </w:rPr>
      </w:pPr>
    </w:p>
    <w:p>
      <w:pPr>
        <w:ind w:left="1980" w:hanging="675"/>
        <w:spacing w:after="0"/>
        <w:tabs>
          <w:tab w:leader="none" w:pos="1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Ownership of stock shall be determined after applying the attribution rules of section 424(d) of the Code;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Each Participant shall be deemed to own any stock that he or she has a right or option to purchase under this or any other plan; and</w:t>
      </w:r>
    </w:p>
    <w:p>
      <w:pPr>
        <w:spacing w:after="0" w:line="248" w:lineRule="exact"/>
        <w:rPr>
          <w:rFonts w:ascii="Arial" w:cs="Arial" w:eastAsia="Arial" w:hAnsi="Arial"/>
          <w:sz w:val="16"/>
          <w:szCs w:val="16"/>
          <w:color w:val="auto"/>
        </w:rPr>
      </w:pPr>
    </w:p>
    <w:p>
      <w:pPr>
        <w:ind w:left="660" w:right="660" w:firstLine="645"/>
        <w:spacing w:after="0" w:line="277" w:lineRule="auto"/>
        <w:tabs>
          <w:tab w:leader="none" w:pos="1997"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Participant shall be deemed to have the right to purchase up to the maximum number of shares of Stock that may be purchased by a Participant under this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Plan under the individual limit specified pursuant to Section 8(c) with respect to each Offering Period.</w:t>
      </w:r>
    </w:p>
    <w:p>
      <w:pPr>
        <w:sectPr>
          <w:pgSz w:w="11900" w:h="16851" w:orient="portrait"/>
          <w:cols w:equalWidth="0" w:num="1">
            <w:col w:w="11400"/>
          </w:cols>
          <w:pgMar w:left="240" w:top="125" w:right="259" w:bottom="0" w:gutter="0" w:footer="0" w:header="0"/>
          <w:type w:val="continuous"/>
        </w:sectPr>
      </w:pPr>
    </w:p>
    <w:bookmarkStart w:id="46" w:name="page47"/>
    <w:bookmarkEnd w:id="46"/>
    <w:p>
      <w:pPr>
        <w:spacing w:after="0" w:line="36" w:lineRule="exact"/>
        <w:rPr>
          <w:sz w:val="20"/>
          <w:szCs w:val="20"/>
          <w:color w:val="auto"/>
        </w:rPr>
      </w:pPr>
    </w:p>
    <w:p>
      <w:pPr>
        <w:ind w:right="220" w:firstLine="656"/>
        <w:spacing w:after="0" w:line="259" w:lineRule="auto"/>
        <w:tabs>
          <w:tab w:leader="none" w:pos="130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Dollar Limit</w:t>
      </w:r>
      <w:r>
        <w:rPr>
          <w:rFonts w:ascii="Arial" w:cs="Arial" w:eastAsia="Arial" w:hAnsi="Arial"/>
          <w:sz w:val="18"/>
          <w:szCs w:val="18"/>
          <w:color w:val="auto"/>
        </w:rPr>
        <w:t>. Any other provision of the Plan notwithstanding, no Participant shall accrue the right to purchase Stock at a rate which exceeds $25,000 of Fair Market Value of such Stock per calendar year (under this Plan and all other employee stock purchase plans of the Company or any parent or Subsidiary of the Company), determined in accordance with the provisions of section 423(b)(8) of the Code and applicable Treasury Regulations promulgated thereunder.</w:t>
      </w:r>
    </w:p>
    <w:p>
      <w:pPr>
        <w:spacing w:after="0" w:line="18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For purposes of this Subsection (b), the Fair Market Value of Stock shall be determined as of the beginning of the Offering Period in which such Stock is purchased. Employee stock purchase plans not described in section 423 of the Code shall be disregarded. If a Participant is precluded by this Subsection (b) from purchasing additional Stock under the Plan, then his or her employee contributions shall automatically be discontinued and shall resume at the beginning of the earliest Offering Period ending in the next calendar year (if he or she then is an Eligible Employee).</w:t>
      </w:r>
    </w:p>
    <w:p>
      <w:pPr>
        <w:spacing w:after="0" w:line="17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10</w:t>
      </w:r>
      <w:r>
        <w:rPr>
          <w:sz w:val="20"/>
          <w:szCs w:val="20"/>
          <w:color w:val="auto"/>
        </w:rPr>
        <w:tab/>
      </w:r>
      <w:r>
        <w:rPr>
          <w:rFonts w:ascii="Arial" w:cs="Arial" w:eastAsia="Arial" w:hAnsi="Arial"/>
          <w:sz w:val="16"/>
          <w:szCs w:val="16"/>
          <w:u w:val="single" w:color="auto"/>
          <w:color w:val="auto"/>
        </w:rPr>
        <w:t>Rights Not Transferable.</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rights of any Participant under the Plan, or any Participant’s interest in any Stock or moneys to which he or she may be entitled under the Plan, shall not be transferable by voluntary or involuntary assignment or by operation of law, or in any other manner other than by the laws of descent and distribution. If a Participant in any manner attempts to transfer, assign or otherwise encumber his or her rights or interest under the Plan, other than by the laws of descent and distribution, then such act shall be treated as an election by the Participant to withdraw from the Plan under Section 6(a).</w:t>
      </w:r>
    </w:p>
    <w:p>
      <w:pPr>
        <w:spacing w:after="0" w:line="15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11</w:t>
      </w:r>
      <w:r>
        <w:rPr>
          <w:sz w:val="20"/>
          <w:szCs w:val="20"/>
          <w:color w:val="auto"/>
        </w:rPr>
        <w:tab/>
      </w:r>
      <w:r>
        <w:rPr>
          <w:rFonts w:ascii="Arial" w:cs="Arial" w:eastAsia="Arial" w:hAnsi="Arial"/>
          <w:sz w:val="16"/>
          <w:szCs w:val="16"/>
          <w:u w:val="single" w:color="auto"/>
          <w:color w:val="auto"/>
        </w:rPr>
        <w:t>No Rights As An Employee</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Nothing in the Plan or in any right granted under the Plan shall confer upon the Participant any right to continue in the employ of a Participating Company for any period of specific duration or interfere with or otherwise restrict in any way the rights of the Participating Companies or of the Participant, which rights are hereby expressly reserved by each, to terminate his or her employment at any time and for any reason, with or without cause.</w:t>
      </w:r>
    </w:p>
    <w:p>
      <w:pPr>
        <w:spacing w:after="0" w:line="14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12</w:t>
      </w:r>
      <w:r>
        <w:rPr>
          <w:sz w:val="20"/>
          <w:szCs w:val="20"/>
          <w:color w:val="auto"/>
        </w:rPr>
        <w:tab/>
      </w:r>
      <w:r>
        <w:rPr>
          <w:rFonts w:ascii="Arial" w:cs="Arial" w:eastAsia="Arial" w:hAnsi="Arial"/>
          <w:sz w:val="16"/>
          <w:szCs w:val="16"/>
          <w:u w:val="single" w:color="auto"/>
          <w:color w:val="auto"/>
        </w:rPr>
        <w:t>No Rights As A Stockholder.</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Participant shall have no rights as a stockholder with respect to any shares of Stock that he or she may have a right to purchase under the Plan until such shares have been purchased on the applicable Purchase Date.</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13</w:t>
      </w:r>
      <w:r>
        <w:rPr>
          <w:sz w:val="20"/>
          <w:szCs w:val="20"/>
          <w:color w:val="auto"/>
        </w:rPr>
        <w:tab/>
      </w:r>
      <w:r>
        <w:rPr>
          <w:rFonts w:ascii="Arial" w:cs="Arial" w:eastAsia="Arial" w:hAnsi="Arial"/>
          <w:sz w:val="16"/>
          <w:szCs w:val="16"/>
          <w:u w:val="single" w:color="auto"/>
          <w:color w:val="auto"/>
        </w:rPr>
        <w:t>Securities Law Requirements.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Shares of Stock shall not be issued under the Plan unless the issuance and delivery of such shares comply with (or are exempt from) all applicable requirements of law, including (without limitation) the Securities Act of 1933, as amended, the rules and regulations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promulgated thereunder, state securities laws and regulations, and the regulations of any stock exchange or other securities market on which the Company’s securities may then be traded.</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14</w:t>
      </w:r>
      <w:r>
        <w:rPr>
          <w:sz w:val="20"/>
          <w:szCs w:val="20"/>
          <w:color w:val="auto"/>
        </w:rPr>
        <w:tab/>
      </w:r>
      <w:r>
        <w:rPr>
          <w:rFonts w:ascii="Arial" w:cs="Arial" w:eastAsia="Arial" w:hAnsi="Arial"/>
          <w:sz w:val="16"/>
          <w:szCs w:val="16"/>
          <w:u w:val="single" w:color="auto"/>
          <w:color w:val="auto"/>
        </w:rPr>
        <w:t>Stock Offered Under The Plan.</w:t>
      </w:r>
    </w:p>
    <w:p>
      <w:pPr>
        <w:spacing w:after="0" w:line="225" w:lineRule="exact"/>
        <w:rPr>
          <w:sz w:val="20"/>
          <w:szCs w:val="20"/>
          <w:color w:val="auto"/>
        </w:rPr>
      </w:pPr>
    </w:p>
    <w:p>
      <w:pPr>
        <w:ind w:right="480" w:firstLine="656"/>
        <w:spacing w:after="0" w:line="308" w:lineRule="auto"/>
        <w:tabs>
          <w:tab w:leader="none" w:pos="1294"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Authorized Shares</w:t>
      </w:r>
      <w:r>
        <w:rPr>
          <w:rFonts w:ascii="Arial" w:cs="Arial" w:eastAsia="Arial" w:hAnsi="Arial"/>
          <w:sz w:val="17"/>
          <w:szCs w:val="17"/>
          <w:color w:val="auto"/>
        </w:rPr>
        <w:t>. The maximum aggregate number of shares of Stock available for purchase under the Plan is 750,000 shares. The aggregate number of shares available for purchase under the Plan shall at all times be subject to adjustment pursuant to Section 14.</w:t>
      </w:r>
    </w:p>
    <w:p>
      <w:pPr>
        <w:spacing w:after="0" w:line="146" w:lineRule="exact"/>
        <w:rPr>
          <w:rFonts w:ascii="Arial" w:cs="Arial" w:eastAsia="Arial" w:hAnsi="Arial"/>
          <w:sz w:val="17"/>
          <w:szCs w:val="17"/>
          <w:color w:val="auto"/>
        </w:rPr>
      </w:pPr>
    </w:p>
    <w:p>
      <w:pPr>
        <w:ind w:firstLine="656"/>
        <w:spacing w:after="0" w:line="293" w:lineRule="auto"/>
        <w:tabs>
          <w:tab w:leader="none" w:pos="1304"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Antidilution Adjustments</w:t>
      </w:r>
      <w:r>
        <w:rPr>
          <w:rFonts w:ascii="Arial" w:cs="Arial" w:eastAsia="Arial" w:hAnsi="Arial"/>
          <w:sz w:val="16"/>
          <w:szCs w:val="16"/>
          <w:color w:val="auto"/>
        </w:rPr>
        <w:t>. The aggregate number of shares of Stock offered under the Plan, the individual and aggregate Participant share limitations described in Section 8(c) and the price of shares that any Participant has elected to purchase shall be adjusted proportionately by the Committee in the event of any change in the number of issued shares of Stock (or issuance of shares other than Common Stock) by reason of any forward or reverse share split, subdivision or consolidation, or share dividend or bonus issue, recapitalization, reclassification, merger, amalgamation, consolidation, split-up, spin-off, reorganization, combination, exchange of shares of Stock, the issuance of warrants or other rights to purchase shares of Stock or other securities, or any other change in corporate structure or in the event of any extraordinary distribution (whether in the form of cash, shares of Stock, other securities or other property).</w:t>
      </w:r>
    </w:p>
    <w:p>
      <w:pPr>
        <w:spacing w:after="0" w:line="164" w:lineRule="exact"/>
        <w:rPr>
          <w:rFonts w:ascii="Arial" w:cs="Arial" w:eastAsia="Arial" w:hAnsi="Arial"/>
          <w:sz w:val="16"/>
          <w:szCs w:val="16"/>
          <w:color w:val="auto"/>
        </w:rPr>
      </w:pPr>
    </w:p>
    <w:p>
      <w:pPr>
        <w:ind w:right="160" w:firstLine="656"/>
        <w:spacing w:after="0" w:line="259" w:lineRule="auto"/>
        <w:tabs>
          <w:tab w:leader="none" w:pos="1307"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Reorganizations</w:t>
      </w:r>
      <w:r>
        <w:rPr>
          <w:rFonts w:ascii="Arial" w:cs="Arial" w:eastAsia="Arial" w:hAnsi="Arial"/>
          <w:sz w:val="18"/>
          <w:szCs w:val="18"/>
          <w:color w:val="auto"/>
        </w:rPr>
        <w:t>. Any other provision of the Plan notwithstanding, immediately prior to the effective time of a Corporate Reorganization, the Offering Period then in progress shall terminate and shares shall be purchased pursuant to Section 8, unless the Plan is assumed by the surviving corporation or its parent corporation pursuant to the plan of merger or consolidation. The Plan shall in no event be construed to restrict in any way the Company’s right to undertake a dissolution, liquidation, merger, consolidation or other reorganization.</w:t>
      </w:r>
    </w:p>
    <w:p>
      <w:pPr>
        <w:spacing w:after="0" w:line="18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15</w:t>
      </w:r>
      <w:r>
        <w:rPr>
          <w:sz w:val="20"/>
          <w:szCs w:val="20"/>
          <w:color w:val="auto"/>
        </w:rPr>
        <w:tab/>
      </w:r>
      <w:r>
        <w:rPr>
          <w:rFonts w:ascii="Arial" w:cs="Arial" w:eastAsia="Arial" w:hAnsi="Arial"/>
          <w:sz w:val="16"/>
          <w:szCs w:val="16"/>
          <w:u w:val="single" w:color="auto"/>
          <w:color w:val="auto"/>
        </w:rPr>
        <w:t>Amendment Or Discontinuance.</w:t>
      </w:r>
    </w:p>
    <w:p>
      <w:pPr>
        <w:spacing w:after="0" w:line="22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Board (or any committee thereof to which it delegates such authority) shall have the right to amend, suspend or terminate the Plan at any time and without notice. Upon any such amendment, suspension or termination of the Plan during an Offering Period, the Board (or any committee thereof to which it delegates such authority) may in its discretion determine that the applicable Offering shall immediately terminate and that all amounts in the Participant Accounts shall be carried forward into a payroll deduction account for each Participant under a successor plan, if any, or promptly refunded to each Participant. Except as provided in Section 14, any increase in the aggregate number of shares of Stock to be issued under the Plan shall be subject to approval by a vote of the stockholders of the Company. In addition, any other amendment of the Plan shall be subject to approval by a vote of the stockholders of the Company to the extent required by an applicable law or regulation. This Plan shall continue until the earlier to occur of (a) termination of this Plan pursuant to this Section 15 or (b) issuance of all of the shares of Stock reserved for issuance under this Plan.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16</w:t>
      </w:r>
      <w:r>
        <w:rPr>
          <w:sz w:val="20"/>
          <w:szCs w:val="20"/>
          <w:color w:val="auto"/>
        </w:rPr>
        <w:tab/>
      </w:r>
      <w:r>
        <w:rPr>
          <w:rFonts w:ascii="Arial" w:cs="Arial" w:eastAsia="Arial" w:hAnsi="Arial"/>
          <w:sz w:val="16"/>
          <w:szCs w:val="16"/>
          <w:u w:val="single" w:color="auto"/>
          <w:color w:val="auto"/>
        </w:rPr>
        <w:t>Execution.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record the adoption of the Plan by the Board, the Company has caused its authorized officer to execute the same.</w:t>
      </w:r>
    </w:p>
    <w:p>
      <w:pPr>
        <w:sectPr>
          <w:pgSz w:w="11900" w:h="16874" w:orient="portrait"/>
          <w:cols w:equalWidth="0" w:num="1">
            <w:col w:w="11400"/>
          </w:cols>
          <w:pgMar w:left="240" w:top="341" w:right="259" w:bottom="0" w:gutter="0" w:footer="0" w:header="0"/>
        </w:sectPr>
      </w:pPr>
    </w:p>
    <w:bookmarkStart w:id="47" w:name="page48"/>
    <w:bookmarkEnd w:id="47"/>
    <w:p>
      <w:pPr>
        <w:ind w:left="572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ind w:left="57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Bonnie H. Anderson</w:t>
            </w:r>
          </w:p>
        </w:tc>
        <w:tc>
          <w:tcPr>
            <w:tcW w:w="40" w:type="dxa"/>
            <w:vAlign w:val="bottom"/>
          </w:tcPr>
          <w:p>
            <w:pPr>
              <w:spacing w:after="0"/>
              <w:rPr>
                <w:sz w:val="20"/>
                <w:szCs w:val="20"/>
                <w:color w:val="auto"/>
              </w:rPr>
            </w:pPr>
          </w:p>
        </w:tc>
      </w:tr>
      <w:tr>
        <w:trPr>
          <w:trHeight w:val="642"/>
        </w:trPr>
        <w:tc>
          <w:tcPr>
            <w:tcW w:w="6380" w:type="dxa"/>
            <w:vAlign w:val="bottom"/>
          </w:tcPr>
          <w:p>
            <w:pPr>
              <w:ind w:left="572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4"/>
                <w:szCs w:val="24"/>
                <w:color w:val="auto"/>
              </w:rPr>
            </w:pPr>
          </w:p>
        </w:tc>
      </w:tr>
      <w:tr>
        <w:trPr>
          <w:trHeight w:val="426"/>
        </w:trPr>
        <w:tc>
          <w:tcPr>
            <w:tcW w:w="6380" w:type="dxa"/>
            <w:vAlign w:val="bottom"/>
          </w:tcPr>
          <w:p>
            <w:pPr>
              <w:ind w:left="5720"/>
              <w:spacing w:after="0"/>
              <w:rPr>
                <w:sz w:val="20"/>
                <w:szCs w:val="20"/>
                <w:color w:val="auto"/>
              </w:rPr>
            </w:pPr>
            <w:r>
              <w:rPr>
                <w:rFonts w:ascii="Arial" w:cs="Arial" w:eastAsia="Arial" w:hAnsi="Arial"/>
                <w:sz w:val="18"/>
                <w:szCs w:val="18"/>
                <w:color w:val="auto"/>
              </w:rPr>
              <w:t>Date: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19, 2015</w:t>
            </w:r>
          </w:p>
        </w:tc>
        <w:tc>
          <w:tcPr>
            <w:tcW w:w="40" w:type="dxa"/>
            <w:vAlign w:val="bottom"/>
          </w:tcPr>
          <w:p>
            <w:pPr>
              <w:spacing w:after="0"/>
              <w:rPr>
                <w:sz w:val="24"/>
                <w:szCs w:val="24"/>
                <w:color w:val="auto"/>
              </w:rPr>
            </w:pPr>
          </w:p>
        </w:tc>
      </w:tr>
      <w:tr>
        <w:trPr>
          <w:trHeight w:val="426"/>
        </w:trPr>
        <w:tc>
          <w:tcPr>
            <w:tcW w:w="6380" w:type="dxa"/>
            <w:vAlign w:val="bottom"/>
          </w:tcPr>
          <w:p>
            <w:pPr>
              <w:jc w:val="right"/>
              <w:ind w:right="490"/>
              <w:spacing w:after="0"/>
              <w:rPr>
                <w:sz w:val="20"/>
                <w:szCs w:val="20"/>
                <w:color w:val="auto"/>
              </w:rPr>
            </w:pPr>
            <w:r>
              <w:rPr>
                <w:rFonts w:ascii="Arial" w:cs="Arial" w:eastAsia="Arial" w:hAnsi="Arial"/>
                <w:sz w:val="18"/>
                <w:szCs w:val="18"/>
                <w:color w:val="auto"/>
              </w:rPr>
              <w:t>10</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80" w:type="dxa"/>
            <w:vAlign w:val="bottom"/>
            <w:tcBorders>
              <w:bottom w:val="single" w:sz="8" w:color="808080"/>
            </w:tcBorders>
          </w:tcPr>
          <w:p>
            <w:pPr>
              <w:spacing w:after="0"/>
              <w:rPr>
                <w:sz w:val="11"/>
                <w:szCs w:val="11"/>
                <w:color w:val="auto"/>
              </w:rPr>
            </w:pPr>
          </w:p>
        </w:tc>
        <w:tc>
          <w:tcPr>
            <w:tcW w:w="5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BUILDING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FUND US INVESTMENTS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29,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PREMISES: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Sierra Point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Suites 100, 200 and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6000 Shoreline Court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40" w:type="dxa"/>
            <w:vAlign w:val="bottom"/>
            <w:vMerge w:val="restart"/>
          </w:tcPr>
          <w:p>
            <w:pPr>
              <w:spacing w:after="0"/>
              <w:rPr>
                <w:sz w:val="20"/>
                <w:szCs w:val="20"/>
                <w:color w:val="auto"/>
              </w:rPr>
            </w:pPr>
            <w:r>
              <w:rPr>
                <w:rFonts w:ascii="Arial" w:cs="Arial" w:eastAsia="Arial" w:hAnsi="Arial"/>
                <w:sz w:val="18"/>
                <w:szCs w:val="18"/>
                <w:color w:val="auto"/>
              </w:rPr>
              <w:t>PARAGRAPH 1:</w:t>
            </w:r>
          </w:p>
        </w:tc>
        <w:tc>
          <w:tcPr>
            <w:tcW w:w="9260" w:type="dxa"/>
            <w:vAlign w:val="bottom"/>
            <w:vMerge w:val="restart"/>
          </w:tcPr>
          <w:p>
            <w:pPr>
              <w:ind w:left="280"/>
              <w:spacing w:after="0"/>
              <w:rPr>
                <w:sz w:val="20"/>
                <w:szCs w:val="20"/>
                <w:color w:val="auto"/>
              </w:rPr>
            </w:pPr>
            <w:r>
              <w:rPr>
                <w:rFonts w:ascii="Arial" w:cs="Arial" w:eastAsia="Arial" w:hAnsi="Arial"/>
                <w:sz w:val="18"/>
                <w:szCs w:val="18"/>
                <w:color w:val="auto"/>
              </w:rPr>
              <w:t>TERMS AND DEFINITIONS:</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640" w:type="dxa"/>
            <w:vAlign w:val="bottom"/>
            <w:vMerge w:val="continue"/>
          </w:tcPr>
          <w:p>
            <w:pPr>
              <w:spacing w:after="0"/>
              <w:rPr>
                <w:sz w:val="16"/>
                <w:szCs w:val="16"/>
                <w:color w:val="auto"/>
              </w:rPr>
            </w:pPr>
          </w:p>
        </w:tc>
        <w:tc>
          <w:tcPr>
            <w:tcW w:w="9260" w:type="dxa"/>
            <w:vAlign w:val="bottom"/>
            <w:vMerge w:val="continue"/>
          </w:tcPr>
          <w:p>
            <w:pPr>
              <w:spacing w:after="0"/>
              <w:rPr>
                <w:sz w:val="16"/>
                <w:szCs w:val="16"/>
                <w:color w:val="auto"/>
              </w:rPr>
            </w:pP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2:</w:t>
            </w:r>
          </w:p>
        </w:tc>
        <w:tc>
          <w:tcPr>
            <w:tcW w:w="9260" w:type="dxa"/>
            <w:vAlign w:val="bottom"/>
          </w:tcPr>
          <w:p>
            <w:pPr>
              <w:ind w:left="280"/>
              <w:spacing w:after="0"/>
              <w:rPr>
                <w:sz w:val="20"/>
                <w:szCs w:val="20"/>
                <w:color w:val="auto"/>
              </w:rPr>
            </w:pPr>
            <w:r>
              <w:rPr>
                <w:rFonts w:ascii="Arial" w:cs="Arial" w:eastAsia="Arial" w:hAnsi="Arial"/>
                <w:sz w:val="18"/>
                <w:szCs w:val="18"/>
                <w:color w:val="auto"/>
              </w:rPr>
              <w:t>EXHIBITS: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3:</w:t>
            </w:r>
          </w:p>
        </w:tc>
        <w:tc>
          <w:tcPr>
            <w:tcW w:w="9260" w:type="dxa"/>
            <w:vAlign w:val="bottom"/>
          </w:tcPr>
          <w:p>
            <w:pPr>
              <w:ind w:left="280"/>
              <w:spacing w:after="0"/>
              <w:rPr>
                <w:sz w:val="20"/>
                <w:szCs w:val="20"/>
                <w:color w:val="auto"/>
              </w:rPr>
            </w:pPr>
            <w:r>
              <w:rPr>
                <w:rFonts w:ascii="Arial" w:cs="Arial" w:eastAsia="Arial" w:hAnsi="Arial"/>
                <w:sz w:val="18"/>
                <w:szCs w:val="18"/>
                <w:color w:val="auto"/>
              </w:rPr>
              <w:t>CONSENT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4:</w:t>
            </w:r>
          </w:p>
        </w:tc>
        <w:tc>
          <w:tcPr>
            <w:tcW w:w="9260" w:type="dxa"/>
            <w:vAlign w:val="bottom"/>
          </w:tcPr>
          <w:p>
            <w:pPr>
              <w:ind w:left="280"/>
              <w:spacing w:after="0"/>
              <w:rPr>
                <w:sz w:val="20"/>
                <w:szCs w:val="20"/>
                <w:color w:val="auto"/>
              </w:rPr>
            </w:pPr>
            <w:r>
              <w:rPr>
                <w:rFonts w:ascii="Arial" w:cs="Arial" w:eastAsia="Arial" w:hAnsi="Arial"/>
                <w:sz w:val="18"/>
                <w:szCs w:val="18"/>
                <w:color w:val="auto"/>
              </w:rPr>
              <w:t>COMMENCEMENT AND POSSESSION:</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5:</w:t>
            </w:r>
          </w:p>
        </w:tc>
        <w:tc>
          <w:tcPr>
            <w:tcW w:w="9260" w:type="dxa"/>
            <w:vAlign w:val="bottom"/>
          </w:tcPr>
          <w:p>
            <w:pPr>
              <w:ind w:left="280"/>
              <w:spacing w:after="0"/>
              <w:rPr>
                <w:sz w:val="20"/>
                <w:szCs w:val="20"/>
                <w:color w:val="auto"/>
              </w:rPr>
            </w:pPr>
            <w:r>
              <w:rPr>
                <w:rFonts w:ascii="Arial" w:cs="Arial" w:eastAsia="Arial" w:hAnsi="Arial"/>
                <w:sz w:val="18"/>
                <w:szCs w:val="18"/>
                <w:color w:val="auto"/>
              </w:rPr>
              <w:t>RENT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6:</w:t>
            </w:r>
          </w:p>
        </w:tc>
        <w:tc>
          <w:tcPr>
            <w:tcW w:w="9260" w:type="dxa"/>
            <w:vAlign w:val="bottom"/>
          </w:tcPr>
          <w:p>
            <w:pPr>
              <w:ind w:left="280"/>
              <w:spacing w:after="0"/>
              <w:rPr>
                <w:sz w:val="20"/>
                <w:szCs w:val="20"/>
                <w:color w:val="auto"/>
              </w:rPr>
            </w:pPr>
            <w:r>
              <w:rPr>
                <w:rFonts w:ascii="Arial" w:cs="Arial" w:eastAsia="Arial" w:hAnsi="Arial"/>
                <w:sz w:val="18"/>
                <w:szCs w:val="18"/>
                <w:color w:val="auto"/>
              </w:rPr>
              <w:t>OPERATING EXPENSES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7:</w:t>
            </w:r>
          </w:p>
        </w:tc>
        <w:tc>
          <w:tcPr>
            <w:tcW w:w="926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8:</w:t>
            </w:r>
          </w:p>
        </w:tc>
        <w:tc>
          <w:tcPr>
            <w:tcW w:w="9260" w:type="dxa"/>
            <w:vAlign w:val="bottom"/>
          </w:tcPr>
          <w:p>
            <w:pPr>
              <w:ind w:left="280"/>
              <w:spacing w:after="0"/>
              <w:rPr>
                <w:sz w:val="20"/>
                <w:szCs w:val="20"/>
                <w:color w:val="auto"/>
              </w:rPr>
            </w:pPr>
            <w:r>
              <w:rPr>
                <w:rFonts w:ascii="Arial" w:cs="Arial" w:eastAsia="Arial" w:hAnsi="Arial"/>
                <w:sz w:val="18"/>
                <w:szCs w:val="18"/>
                <w:color w:val="auto"/>
              </w:rPr>
              <w:t>HOLDOVER TENANCY</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9:</w:t>
            </w:r>
          </w:p>
        </w:tc>
        <w:tc>
          <w:tcPr>
            <w:tcW w:w="9260" w:type="dxa"/>
            <w:vAlign w:val="bottom"/>
          </w:tcPr>
          <w:p>
            <w:pPr>
              <w:ind w:left="280"/>
              <w:spacing w:after="0"/>
              <w:rPr>
                <w:sz w:val="20"/>
                <w:szCs w:val="20"/>
                <w:color w:val="auto"/>
              </w:rPr>
            </w:pPr>
            <w:r>
              <w:rPr>
                <w:rFonts w:ascii="Arial" w:cs="Arial" w:eastAsia="Arial" w:hAnsi="Arial"/>
                <w:sz w:val="18"/>
                <w:szCs w:val="18"/>
                <w:color w:val="auto"/>
              </w:rPr>
              <w:t>TENANT ALTERATIONS: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10:</w:t>
            </w:r>
          </w:p>
        </w:tc>
        <w:tc>
          <w:tcPr>
            <w:tcW w:w="9260" w:type="dxa"/>
            <w:vAlign w:val="bottom"/>
          </w:tcPr>
          <w:p>
            <w:pPr>
              <w:ind w:left="280"/>
              <w:spacing w:after="0"/>
              <w:rPr>
                <w:sz w:val="20"/>
                <w:szCs w:val="20"/>
                <w:color w:val="auto"/>
              </w:rPr>
            </w:pPr>
            <w:r>
              <w:rPr>
                <w:rFonts w:ascii="Arial" w:cs="Arial" w:eastAsia="Arial" w:hAnsi="Arial"/>
                <w:sz w:val="18"/>
                <w:szCs w:val="18"/>
                <w:color w:val="auto"/>
              </w:rPr>
              <w:t>INTENTIONALLY OMITTED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11:</w:t>
            </w:r>
          </w:p>
        </w:tc>
        <w:tc>
          <w:tcPr>
            <w:tcW w:w="9260" w:type="dxa"/>
            <w:vAlign w:val="bottom"/>
          </w:tcPr>
          <w:p>
            <w:pPr>
              <w:ind w:left="280"/>
              <w:spacing w:after="0"/>
              <w:rPr>
                <w:sz w:val="20"/>
                <w:szCs w:val="20"/>
                <w:color w:val="auto"/>
              </w:rPr>
            </w:pPr>
            <w:r>
              <w:rPr>
                <w:rFonts w:ascii="Arial" w:cs="Arial" w:eastAsia="Arial" w:hAnsi="Arial"/>
                <w:sz w:val="18"/>
                <w:szCs w:val="18"/>
                <w:color w:val="auto"/>
              </w:rPr>
              <w:t>PROJECT SERVICES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12:</w:t>
            </w:r>
          </w:p>
        </w:tc>
        <w:tc>
          <w:tcPr>
            <w:tcW w:w="9260" w:type="dxa"/>
            <w:vAlign w:val="bottom"/>
          </w:tcPr>
          <w:p>
            <w:pPr>
              <w:ind w:left="280"/>
              <w:spacing w:after="0"/>
              <w:rPr>
                <w:sz w:val="20"/>
                <w:szCs w:val="20"/>
                <w:color w:val="auto"/>
              </w:rPr>
            </w:pPr>
            <w:r>
              <w:rPr>
                <w:rFonts w:ascii="Arial" w:cs="Arial" w:eastAsia="Arial" w:hAnsi="Arial"/>
                <w:sz w:val="18"/>
                <w:szCs w:val="18"/>
                <w:color w:val="auto"/>
              </w:rPr>
              <w:t>INTERRUPTION OF SERVICES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13:</w:t>
            </w:r>
          </w:p>
        </w:tc>
        <w:tc>
          <w:tcPr>
            <w:tcW w:w="9260" w:type="dxa"/>
            <w:vAlign w:val="bottom"/>
          </w:tcPr>
          <w:p>
            <w:pPr>
              <w:ind w:left="280"/>
              <w:spacing w:after="0"/>
              <w:rPr>
                <w:sz w:val="20"/>
                <w:szCs w:val="20"/>
                <w:color w:val="auto"/>
              </w:rPr>
            </w:pPr>
            <w:r>
              <w:rPr>
                <w:rFonts w:ascii="Arial" w:cs="Arial" w:eastAsia="Arial" w:hAnsi="Arial"/>
                <w:sz w:val="18"/>
                <w:szCs w:val="18"/>
                <w:color w:val="auto"/>
              </w:rPr>
              <w:t>USE OF PREMISES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14:</w:t>
            </w:r>
          </w:p>
        </w:tc>
        <w:tc>
          <w:tcPr>
            <w:tcW w:w="9260" w:type="dxa"/>
            <w:vAlign w:val="bottom"/>
          </w:tcPr>
          <w:p>
            <w:pPr>
              <w:ind w:left="280"/>
              <w:spacing w:after="0"/>
              <w:rPr>
                <w:sz w:val="20"/>
                <w:szCs w:val="20"/>
                <w:color w:val="auto"/>
              </w:rPr>
            </w:pPr>
            <w:r>
              <w:rPr>
                <w:rFonts w:ascii="Arial" w:cs="Arial" w:eastAsia="Arial" w:hAnsi="Arial"/>
                <w:sz w:val="18"/>
                <w:szCs w:val="18"/>
                <w:color w:val="auto"/>
              </w:rPr>
              <w:t>SIGNS AND GRAPHICS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15:</w:t>
            </w:r>
          </w:p>
        </w:tc>
        <w:tc>
          <w:tcPr>
            <w:tcW w:w="9260" w:type="dxa"/>
            <w:vAlign w:val="bottom"/>
          </w:tcPr>
          <w:p>
            <w:pPr>
              <w:ind w:left="280"/>
              <w:spacing w:after="0"/>
              <w:rPr>
                <w:sz w:val="20"/>
                <w:szCs w:val="20"/>
                <w:color w:val="auto"/>
              </w:rPr>
            </w:pPr>
            <w:r>
              <w:rPr>
                <w:rFonts w:ascii="Arial" w:cs="Arial" w:eastAsia="Arial" w:hAnsi="Arial"/>
                <w:sz w:val="18"/>
                <w:szCs w:val="18"/>
                <w:color w:val="auto"/>
              </w:rPr>
              <w:t>INDEMNIFICATION; COMPLIANCE WITH LAW:</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16:</w:t>
            </w:r>
          </w:p>
        </w:tc>
        <w:tc>
          <w:tcPr>
            <w:tcW w:w="9260" w:type="dxa"/>
            <w:vAlign w:val="bottom"/>
          </w:tcPr>
          <w:p>
            <w:pPr>
              <w:ind w:left="280"/>
              <w:spacing w:after="0"/>
              <w:rPr>
                <w:sz w:val="20"/>
                <w:szCs w:val="20"/>
                <w:color w:val="auto"/>
              </w:rPr>
            </w:pPr>
            <w:r>
              <w:rPr>
                <w:rFonts w:ascii="Arial" w:cs="Arial" w:eastAsia="Arial" w:hAnsi="Arial"/>
                <w:sz w:val="18"/>
                <w:szCs w:val="18"/>
                <w:color w:val="auto"/>
              </w:rPr>
              <w:t>INSURANCE AND WAIVER OF SUBROGATION</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18:</w:t>
            </w:r>
          </w:p>
        </w:tc>
        <w:tc>
          <w:tcPr>
            <w:tcW w:w="9260" w:type="dxa"/>
            <w:vAlign w:val="bottom"/>
          </w:tcPr>
          <w:p>
            <w:pPr>
              <w:ind w:left="280"/>
              <w:spacing w:after="0"/>
              <w:rPr>
                <w:sz w:val="20"/>
                <w:szCs w:val="20"/>
                <w:color w:val="auto"/>
              </w:rPr>
            </w:pPr>
            <w:r>
              <w:rPr>
                <w:rFonts w:ascii="Arial" w:cs="Arial" w:eastAsia="Arial" w:hAnsi="Arial"/>
                <w:sz w:val="18"/>
                <w:szCs w:val="18"/>
                <w:color w:val="auto"/>
              </w:rPr>
              <w:t>ASSIGNMENT AND SUBLETTING:</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19:</w:t>
            </w:r>
          </w:p>
        </w:tc>
        <w:tc>
          <w:tcPr>
            <w:tcW w:w="9260" w:type="dxa"/>
            <w:vAlign w:val="bottom"/>
          </w:tcPr>
          <w:p>
            <w:pPr>
              <w:ind w:left="280"/>
              <w:spacing w:after="0"/>
              <w:rPr>
                <w:sz w:val="20"/>
                <w:szCs w:val="20"/>
                <w:color w:val="auto"/>
              </w:rPr>
            </w:pPr>
            <w:r>
              <w:rPr>
                <w:rFonts w:ascii="Arial" w:cs="Arial" w:eastAsia="Arial" w:hAnsi="Arial"/>
                <w:sz w:val="18"/>
                <w:szCs w:val="18"/>
                <w:color w:val="auto"/>
              </w:rPr>
              <w:t>ADDITIONAL RIGHTS RESERVED TO LANDLORD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20:</w:t>
            </w:r>
          </w:p>
        </w:tc>
        <w:tc>
          <w:tcPr>
            <w:tcW w:w="9260" w:type="dxa"/>
            <w:vAlign w:val="bottom"/>
          </w:tcPr>
          <w:p>
            <w:pPr>
              <w:ind w:left="280"/>
              <w:spacing w:after="0"/>
              <w:rPr>
                <w:sz w:val="20"/>
                <w:szCs w:val="20"/>
                <w:color w:val="auto"/>
              </w:rPr>
            </w:pPr>
            <w:r>
              <w:rPr>
                <w:rFonts w:ascii="Arial" w:cs="Arial" w:eastAsia="Arial" w:hAnsi="Arial"/>
                <w:sz w:val="18"/>
                <w:szCs w:val="18"/>
                <w:color w:val="auto"/>
              </w:rPr>
              <w:t>AS-IS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21:</w:t>
            </w:r>
          </w:p>
        </w:tc>
        <w:tc>
          <w:tcPr>
            <w:tcW w:w="9260" w:type="dxa"/>
            <w:vAlign w:val="bottom"/>
          </w:tcPr>
          <w:p>
            <w:pPr>
              <w:ind w:left="280"/>
              <w:spacing w:after="0"/>
              <w:rPr>
                <w:sz w:val="20"/>
                <w:szCs w:val="20"/>
                <w:color w:val="auto"/>
              </w:rPr>
            </w:pPr>
            <w:r>
              <w:rPr>
                <w:rFonts w:ascii="Arial" w:cs="Arial" w:eastAsia="Arial" w:hAnsi="Arial"/>
                <w:sz w:val="18"/>
                <w:szCs w:val="18"/>
                <w:color w:val="auto"/>
              </w:rPr>
              <w:t>CASUALTY, CONDEMNATION AND UNTENANTABILITY:</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22:</w:t>
            </w:r>
          </w:p>
        </w:tc>
        <w:tc>
          <w:tcPr>
            <w:tcW w:w="9260" w:type="dxa"/>
            <w:vAlign w:val="bottom"/>
          </w:tcPr>
          <w:p>
            <w:pPr>
              <w:ind w:left="280"/>
              <w:spacing w:after="0"/>
              <w:rPr>
                <w:sz w:val="20"/>
                <w:szCs w:val="20"/>
                <w:color w:val="auto"/>
              </w:rPr>
            </w:pPr>
            <w:r>
              <w:rPr>
                <w:rFonts w:ascii="Arial" w:cs="Arial" w:eastAsia="Arial" w:hAnsi="Arial"/>
                <w:sz w:val="18"/>
                <w:szCs w:val="18"/>
                <w:color w:val="auto"/>
              </w:rPr>
              <w:t>PARKING</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23:</w:t>
            </w:r>
          </w:p>
        </w:tc>
        <w:tc>
          <w:tcPr>
            <w:tcW w:w="9260" w:type="dxa"/>
            <w:vAlign w:val="bottom"/>
          </w:tcPr>
          <w:p>
            <w:pPr>
              <w:ind w:left="280"/>
              <w:spacing w:after="0"/>
              <w:rPr>
                <w:sz w:val="20"/>
                <w:szCs w:val="20"/>
                <w:color w:val="auto"/>
              </w:rPr>
            </w:pPr>
            <w:r>
              <w:rPr>
                <w:rFonts w:ascii="Arial" w:cs="Arial" w:eastAsia="Arial" w:hAnsi="Arial"/>
                <w:sz w:val="18"/>
                <w:szCs w:val="18"/>
                <w:color w:val="auto"/>
              </w:rPr>
              <w:t>LIMITATION OF LANDLORD’S LIABILITY:</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24:</w:t>
            </w:r>
          </w:p>
        </w:tc>
        <w:tc>
          <w:tcPr>
            <w:tcW w:w="9260" w:type="dxa"/>
            <w:vAlign w:val="bottom"/>
          </w:tcPr>
          <w:p>
            <w:pPr>
              <w:ind w:left="280"/>
              <w:spacing w:after="0"/>
              <w:rPr>
                <w:sz w:val="20"/>
                <w:szCs w:val="20"/>
                <w:color w:val="auto"/>
              </w:rPr>
            </w:pPr>
            <w:r>
              <w:rPr>
                <w:rFonts w:ascii="Arial" w:cs="Arial" w:eastAsia="Arial" w:hAnsi="Arial"/>
                <w:sz w:val="18"/>
                <w:szCs w:val="18"/>
                <w:color w:val="auto"/>
              </w:rPr>
              <w:t>TENANT’S DEFAULT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25:</w:t>
            </w:r>
          </w:p>
        </w:tc>
        <w:tc>
          <w:tcPr>
            <w:tcW w:w="9260" w:type="dxa"/>
            <w:vAlign w:val="bottom"/>
          </w:tcPr>
          <w:p>
            <w:pPr>
              <w:ind w:left="280"/>
              <w:spacing w:after="0"/>
              <w:rPr>
                <w:sz w:val="20"/>
                <w:szCs w:val="20"/>
                <w:color w:val="auto"/>
              </w:rPr>
            </w:pPr>
            <w:r>
              <w:rPr>
                <w:rFonts w:ascii="Arial" w:cs="Arial" w:eastAsia="Arial" w:hAnsi="Arial"/>
                <w:sz w:val="18"/>
                <w:szCs w:val="18"/>
                <w:color w:val="auto"/>
              </w:rPr>
              <w:t>REMEDIES OF LANDLORD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26:</w:t>
            </w:r>
          </w:p>
        </w:tc>
        <w:tc>
          <w:tcPr>
            <w:tcW w:w="9260" w:type="dxa"/>
            <w:vAlign w:val="bottom"/>
          </w:tcPr>
          <w:p>
            <w:pPr>
              <w:ind w:left="280"/>
              <w:spacing w:after="0"/>
              <w:rPr>
                <w:sz w:val="20"/>
                <w:szCs w:val="20"/>
                <w:color w:val="auto"/>
              </w:rPr>
            </w:pPr>
            <w:r>
              <w:rPr>
                <w:rFonts w:ascii="Arial" w:cs="Arial" w:eastAsia="Arial" w:hAnsi="Arial"/>
                <w:sz w:val="18"/>
                <w:szCs w:val="18"/>
                <w:color w:val="auto"/>
              </w:rPr>
              <w:t>LANDLORD’S DEFAULT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27:</w:t>
            </w:r>
          </w:p>
        </w:tc>
        <w:tc>
          <w:tcPr>
            <w:tcW w:w="9260" w:type="dxa"/>
            <w:vAlign w:val="bottom"/>
          </w:tcPr>
          <w:p>
            <w:pPr>
              <w:ind w:left="280"/>
              <w:spacing w:after="0"/>
              <w:rPr>
                <w:sz w:val="20"/>
                <w:szCs w:val="20"/>
                <w:color w:val="auto"/>
              </w:rPr>
            </w:pPr>
            <w:r>
              <w:rPr>
                <w:rFonts w:ascii="Arial" w:cs="Arial" w:eastAsia="Arial" w:hAnsi="Arial"/>
                <w:sz w:val="18"/>
                <w:szCs w:val="18"/>
                <w:color w:val="auto"/>
              </w:rPr>
              <w:t>SURRENDER OF PREMISES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28:</w:t>
            </w:r>
          </w:p>
        </w:tc>
        <w:tc>
          <w:tcPr>
            <w:tcW w:w="9260" w:type="dxa"/>
            <w:vAlign w:val="bottom"/>
          </w:tcPr>
          <w:p>
            <w:pPr>
              <w:ind w:left="280"/>
              <w:spacing w:after="0"/>
              <w:rPr>
                <w:sz w:val="20"/>
                <w:szCs w:val="20"/>
                <w:color w:val="auto"/>
              </w:rPr>
            </w:pPr>
            <w:r>
              <w:rPr>
                <w:rFonts w:ascii="Arial" w:cs="Arial" w:eastAsia="Arial" w:hAnsi="Arial"/>
                <w:sz w:val="18"/>
                <w:szCs w:val="18"/>
                <w:color w:val="auto"/>
              </w:rPr>
              <w:t>SEVERABILITY</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29:</w:t>
            </w:r>
          </w:p>
        </w:tc>
        <w:tc>
          <w:tcPr>
            <w:tcW w:w="9260" w:type="dxa"/>
            <w:vAlign w:val="bottom"/>
          </w:tcPr>
          <w:p>
            <w:pPr>
              <w:ind w:left="280"/>
              <w:spacing w:after="0"/>
              <w:rPr>
                <w:sz w:val="20"/>
                <w:szCs w:val="20"/>
                <w:color w:val="auto"/>
              </w:rPr>
            </w:pPr>
            <w:r>
              <w:rPr>
                <w:rFonts w:ascii="Arial" w:cs="Arial" w:eastAsia="Arial" w:hAnsi="Arial"/>
                <w:sz w:val="18"/>
                <w:szCs w:val="18"/>
                <w:color w:val="auto"/>
              </w:rPr>
              <w:t>WAIVER</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30:</w:t>
            </w:r>
          </w:p>
        </w:tc>
        <w:tc>
          <w:tcPr>
            <w:tcW w:w="9260" w:type="dxa"/>
            <w:vAlign w:val="bottom"/>
          </w:tcPr>
          <w:p>
            <w:pPr>
              <w:ind w:left="280"/>
              <w:spacing w:after="0"/>
              <w:rPr>
                <w:sz w:val="20"/>
                <w:szCs w:val="20"/>
                <w:color w:val="auto"/>
              </w:rPr>
            </w:pPr>
            <w:r>
              <w:rPr>
                <w:rFonts w:ascii="Arial" w:cs="Arial" w:eastAsia="Arial" w:hAnsi="Arial"/>
                <w:sz w:val="18"/>
                <w:szCs w:val="18"/>
                <w:color w:val="auto"/>
              </w:rPr>
              <w:t>ESTOPPEL CERTIFICATE</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31:</w:t>
            </w:r>
          </w:p>
        </w:tc>
        <w:tc>
          <w:tcPr>
            <w:tcW w:w="9260" w:type="dxa"/>
            <w:vAlign w:val="bottom"/>
          </w:tcPr>
          <w:p>
            <w:pPr>
              <w:ind w:left="280"/>
              <w:spacing w:after="0"/>
              <w:rPr>
                <w:sz w:val="20"/>
                <w:szCs w:val="20"/>
                <w:color w:val="auto"/>
              </w:rPr>
            </w:pPr>
            <w:r>
              <w:rPr>
                <w:rFonts w:ascii="Arial" w:cs="Arial" w:eastAsia="Arial" w:hAnsi="Arial"/>
                <w:sz w:val="18"/>
                <w:szCs w:val="18"/>
                <w:color w:val="auto"/>
              </w:rPr>
              <w:t>SUBORDINATION AND ATTORNMENT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32:</w:t>
            </w:r>
          </w:p>
        </w:tc>
        <w:tc>
          <w:tcPr>
            <w:tcW w:w="9260" w:type="dxa"/>
            <w:vAlign w:val="bottom"/>
          </w:tcPr>
          <w:p>
            <w:pPr>
              <w:ind w:left="280"/>
              <w:spacing w:after="0"/>
              <w:rPr>
                <w:sz w:val="20"/>
                <w:szCs w:val="20"/>
                <w:color w:val="auto"/>
              </w:rPr>
            </w:pPr>
            <w:r>
              <w:rPr>
                <w:rFonts w:ascii="Arial" w:cs="Arial" w:eastAsia="Arial" w:hAnsi="Arial"/>
                <w:sz w:val="18"/>
                <w:szCs w:val="18"/>
                <w:color w:val="auto"/>
              </w:rPr>
              <w:t>QUIET ENJOYMENT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33:</w:t>
            </w:r>
          </w:p>
        </w:tc>
        <w:tc>
          <w:tcPr>
            <w:tcW w:w="9260" w:type="dxa"/>
            <w:vAlign w:val="bottom"/>
          </w:tcPr>
          <w:p>
            <w:pPr>
              <w:ind w:left="280"/>
              <w:spacing w:after="0"/>
              <w:rPr>
                <w:sz w:val="20"/>
                <w:szCs w:val="20"/>
                <w:color w:val="auto"/>
              </w:rPr>
            </w:pPr>
            <w:r>
              <w:rPr>
                <w:rFonts w:ascii="Arial" w:cs="Arial" w:eastAsia="Arial" w:hAnsi="Arial"/>
                <w:sz w:val="18"/>
                <w:szCs w:val="18"/>
                <w:color w:val="auto"/>
              </w:rPr>
              <w:t>ATTORNEYS’ FEES / VENUE</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34:</w:t>
            </w:r>
          </w:p>
        </w:tc>
        <w:tc>
          <w:tcPr>
            <w:tcW w:w="9260" w:type="dxa"/>
            <w:vAlign w:val="bottom"/>
          </w:tcPr>
          <w:p>
            <w:pPr>
              <w:ind w:left="280"/>
              <w:spacing w:after="0"/>
              <w:rPr>
                <w:sz w:val="20"/>
                <w:szCs w:val="20"/>
                <w:color w:val="auto"/>
              </w:rPr>
            </w:pPr>
            <w:r>
              <w:rPr>
                <w:rFonts w:ascii="Arial" w:cs="Arial" w:eastAsia="Arial" w:hAnsi="Arial"/>
                <w:sz w:val="18"/>
                <w:szCs w:val="18"/>
                <w:color w:val="auto"/>
              </w:rPr>
              <w:t>FORCE MAJEURE</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35:</w:t>
            </w:r>
          </w:p>
        </w:tc>
        <w:tc>
          <w:tcPr>
            <w:tcW w:w="9260" w:type="dxa"/>
            <w:vAlign w:val="bottom"/>
          </w:tcPr>
          <w:p>
            <w:pPr>
              <w:ind w:left="280"/>
              <w:spacing w:after="0"/>
              <w:rPr>
                <w:sz w:val="20"/>
                <w:szCs w:val="20"/>
                <w:color w:val="auto"/>
              </w:rPr>
            </w:pPr>
            <w:r>
              <w:rPr>
                <w:rFonts w:ascii="Arial" w:cs="Arial" w:eastAsia="Arial" w:hAnsi="Arial"/>
                <w:sz w:val="18"/>
                <w:szCs w:val="18"/>
                <w:color w:val="auto"/>
              </w:rPr>
              <w:t>APPLICABLE LAW</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36:</w:t>
            </w:r>
          </w:p>
        </w:tc>
        <w:tc>
          <w:tcPr>
            <w:tcW w:w="9260" w:type="dxa"/>
            <w:vAlign w:val="bottom"/>
          </w:tcPr>
          <w:p>
            <w:pPr>
              <w:ind w:left="280"/>
              <w:spacing w:after="0"/>
              <w:rPr>
                <w:sz w:val="20"/>
                <w:szCs w:val="20"/>
                <w:color w:val="auto"/>
              </w:rPr>
            </w:pPr>
            <w:r>
              <w:rPr>
                <w:rFonts w:ascii="Arial" w:cs="Arial" w:eastAsia="Arial" w:hAnsi="Arial"/>
                <w:sz w:val="18"/>
                <w:szCs w:val="18"/>
                <w:color w:val="auto"/>
              </w:rPr>
              <w:t>BINDING EFFECT; GENDER</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37:</w:t>
            </w:r>
          </w:p>
        </w:tc>
        <w:tc>
          <w:tcPr>
            <w:tcW w:w="9260" w:type="dxa"/>
            <w:vAlign w:val="bottom"/>
          </w:tcPr>
          <w:p>
            <w:pPr>
              <w:ind w:left="280"/>
              <w:spacing w:after="0"/>
              <w:rPr>
                <w:sz w:val="20"/>
                <w:szCs w:val="20"/>
                <w:color w:val="auto"/>
              </w:rPr>
            </w:pPr>
            <w:r>
              <w:rPr>
                <w:rFonts w:ascii="Arial" w:cs="Arial" w:eastAsia="Arial" w:hAnsi="Arial"/>
                <w:sz w:val="18"/>
                <w:szCs w:val="18"/>
                <w:color w:val="auto"/>
              </w:rPr>
              <w:t>TIME</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38:</w:t>
            </w:r>
          </w:p>
        </w:tc>
        <w:tc>
          <w:tcPr>
            <w:tcW w:w="9260" w:type="dxa"/>
            <w:vAlign w:val="bottom"/>
          </w:tcPr>
          <w:p>
            <w:pPr>
              <w:ind w:left="280"/>
              <w:spacing w:after="0"/>
              <w:rPr>
                <w:sz w:val="20"/>
                <w:szCs w:val="20"/>
                <w:color w:val="auto"/>
              </w:rPr>
            </w:pPr>
            <w:r>
              <w:rPr>
                <w:rFonts w:ascii="Arial" w:cs="Arial" w:eastAsia="Arial" w:hAnsi="Arial"/>
                <w:sz w:val="18"/>
                <w:szCs w:val="18"/>
                <w:color w:val="auto"/>
              </w:rPr>
              <w:t>WAIVER OF JURY TRIAL</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39:</w:t>
            </w:r>
          </w:p>
        </w:tc>
        <w:tc>
          <w:tcPr>
            <w:tcW w:w="9260" w:type="dxa"/>
            <w:vAlign w:val="bottom"/>
          </w:tcPr>
          <w:p>
            <w:pPr>
              <w:ind w:left="280"/>
              <w:spacing w:after="0"/>
              <w:rPr>
                <w:sz w:val="20"/>
                <w:szCs w:val="20"/>
                <w:color w:val="auto"/>
              </w:rPr>
            </w:pPr>
            <w:r>
              <w:rPr>
                <w:rFonts w:ascii="Arial" w:cs="Arial" w:eastAsia="Arial" w:hAnsi="Arial"/>
                <w:sz w:val="18"/>
                <w:szCs w:val="18"/>
                <w:color w:val="auto"/>
              </w:rPr>
              <w:t>HEADINGS; INTERPRETATION</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40:</w:t>
            </w:r>
          </w:p>
        </w:tc>
        <w:tc>
          <w:tcPr>
            <w:tcW w:w="9260" w:type="dxa"/>
            <w:vAlign w:val="bottom"/>
          </w:tcPr>
          <w:p>
            <w:pPr>
              <w:ind w:left="280"/>
              <w:spacing w:after="0"/>
              <w:rPr>
                <w:sz w:val="20"/>
                <w:szCs w:val="20"/>
                <w:color w:val="auto"/>
              </w:rPr>
            </w:pPr>
            <w:r>
              <w:rPr>
                <w:rFonts w:ascii="Arial" w:cs="Arial" w:eastAsia="Arial" w:hAnsi="Arial"/>
                <w:sz w:val="18"/>
                <w:szCs w:val="18"/>
                <w:color w:val="auto"/>
              </w:rPr>
              <w:t>BROKER</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PARAGRAPH 41:</w:t>
            </w:r>
          </w:p>
        </w:tc>
        <w:tc>
          <w:tcPr>
            <w:tcW w:w="9260" w:type="dxa"/>
            <w:vAlign w:val="bottom"/>
          </w:tcPr>
          <w:p>
            <w:pPr>
              <w:ind w:left="280"/>
              <w:spacing w:after="0"/>
              <w:rPr>
                <w:sz w:val="20"/>
                <w:szCs w:val="20"/>
                <w:color w:val="auto"/>
              </w:rPr>
            </w:pPr>
            <w:r>
              <w:rPr>
                <w:rFonts w:ascii="Arial" w:cs="Arial" w:eastAsia="Arial" w:hAnsi="Arial"/>
                <w:sz w:val="18"/>
                <w:szCs w:val="18"/>
                <w:color w:val="auto"/>
              </w:rPr>
              <w:t>ENTIRE AGREEMENT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PARAGRAPH 42:</w:t>
            </w:r>
          </w:p>
        </w:tc>
        <w:tc>
          <w:tcPr>
            <w:tcW w:w="9260" w:type="dxa"/>
            <w:vAlign w:val="bottom"/>
          </w:tcPr>
          <w:p>
            <w:pPr>
              <w:ind w:left="280"/>
              <w:spacing w:after="0"/>
              <w:rPr>
                <w:sz w:val="20"/>
                <w:szCs w:val="20"/>
                <w:color w:val="auto"/>
              </w:rPr>
            </w:pPr>
            <w:r>
              <w:rPr>
                <w:rFonts w:ascii="Arial" w:cs="Arial" w:eastAsia="Arial" w:hAnsi="Arial"/>
                <w:sz w:val="18"/>
                <w:szCs w:val="18"/>
                <w:color w:val="auto"/>
              </w:rPr>
              <w:t>NOTICES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gridSpan w:val="3"/>
          </w:tcPr>
          <w:p>
            <w:pPr>
              <w:spacing w:after="0"/>
              <w:rPr>
                <w:sz w:val="20"/>
                <w:szCs w:val="20"/>
                <w:color w:val="auto"/>
              </w:rPr>
            </w:pPr>
            <w:r>
              <w:rPr>
                <w:rFonts w:ascii="Arial" w:cs="Arial" w:eastAsia="Arial" w:hAnsi="Arial"/>
                <w:sz w:val="18"/>
                <w:szCs w:val="18"/>
                <w:color w:val="auto"/>
              </w:rPr>
              <w:t>PARAGRAPH 43:</w:t>
            </w:r>
          </w:p>
        </w:tc>
        <w:tc>
          <w:tcPr>
            <w:tcW w:w="9260" w:type="dxa"/>
            <w:vAlign w:val="bottom"/>
          </w:tcPr>
          <w:p>
            <w:pPr>
              <w:ind w:left="280"/>
              <w:spacing w:after="0"/>
              <w:rPr>
                <w:sz w:val="20"/>
                <w:szCs w:val="20"/>
                <w:color w:val="auto"/>
              </w:rPr>
            </w:pPr>
            <w:r>
              <w:rPr>
                <w:rFonts w:ascii="Arial" w:cs="Arial" w:eastAsia="Arial" w:hAnsi="Arial"/>
                <w:sz w:val="18"/>
                <w:szCs w:val="18"/>
                <w:color w:val="auto"/>
              </w:rPr>
              <w:t>RECORDATION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1640" w:type="dxa"/>
            <w:vAlign w:val="bottom"/>
            <w:gridSpan w:val="3"/>
          </w:tcPr>
          <w:p>
            <w:pPr>
              <w:spacing w:after="0"/>
              <w:rPr>
                <w:sz w:val="20"/>
                <w:szCs w:val="20"/>
                <w:color w:val="auto"/>
              </w:rPr>
            </w:pPr>
            <w:r>
              <w:rPr>
                <w:rFonts w:ascii="Arial" w:cs="Arial" w:eastAsia="Arial" w:hAnsi="Arial"/>
                <w:sz w:val="18"/>
                <w:szCs w:val="18"/>
                <w:color w:val="auto"/>
              </w:rPr>
              <w:t>PARAGRAPH 44:</w:t>
            </w:r>
          </w:p>
        </w:tc>
        <w:tc>
          <w:tcPr>
            <w:tcW w:w="9260" w:type="dxa"/>
            <w:vAlign w:val="bottom"/>
          </w:tcPr>
          <w:p>
            <w:pPr>
              <w:ind w:left="280"/>
              <w:spacing w:after="0"/>
              <w:rPr>
                <w:sz w:val="20"/>
                <w:szCs w:val="20"/>
                <w:color w:val="auto"/>
              </w:rPr>
            </w:pPr>
            <w:r>
              <w:rPr>
                <w:rFonts w:ascii="Arial" w:cs="Arial" w:eastAsia="Arial" w:hAnsi="Arial"/>
                <w:sz w:val="18"/>
                <w:szCs w:val="18"/>
                <w:color w:val="auto"/>
              </w:rPr>
              <w:t>LETTER OF CREDIT: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60" w:type="dxa"/>
            <w:vAlign w:val="bottom"/>
          </w:tcPr>
          <w:p>
            <w:pPr>
              <w:ind w:left="4040"/>
              <w:spacing w:after="0"/>
              <w:rPr>
                <w:sz w:val="20"/>
                <w:szCs w:val="20"/>
                <w:color w:val="auto"/>
              </w:rPr>
            </w:pPr>
            <w:r>
              <w:rPr>
                <w:rFonts w:ascii="Arial" w:cs="Arial" w:eastAsia="Arial" w:hAnsi="Arial"/>
                <w:sz w:val="18"/>
                <w:szCs w:val="18"/>
                <w:color w:val="auto"/>
              </w:rPr>
              <w:t>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92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1640" w:type="dxa"/>
            <w:vAlign w:val="bottom"/>
            <w:gridSpan w:val="3"/>
            <w:vMerge w:val="restart"/>
          </w:tcPr>
          <w:p>
            <w:pPr>
              <w:spacing w:after="0"/>
              <w:rPr>
                <w:sz w:val="20"/>
                <w:szCs w:val="20"/>
                <w:color w:val="auto"/>
              </w:rPr>
            </w:pPr>
            <w:r>
              <w:rPr>
                <w:rFonts w:ascii="Arial" w:cs="Arial" w:eastAsia="Arial" w:hAnsi="Arial"/>
                <w:sz w:val="18"/>
                <w:szCs w:val="18"/>
                <w:color w:val="auto"/>
              </w:rPr>
              <w:t>PARAGRAPH 46:</w:t>
            </w:r>
          </w:p>
        </w:tc>
        <w:tc>
          <w:tcPr>
            <w:tcW w:w="9260" w:type="dxa"/>
            <w:vAlign w:val="bottom"/>
            <w:vMerge w:val="restart"/>
          </w:tcPr>
          <w:p>
            <w:pPr>
              <w:ind w:left="280"/>
              <w:spacing w:after="0"/>
              <w:rPr>
                <w:sz w:val="20"/>
                <w:szCs w:val="20"/>
                <w:color w:val="auto"/>
              </w:rPr>
            </w:pPr>
            <w:r>
              <w:rPr>
                <w:rFonts w:ascii="Arial" w:cs="Arial" w:eastAsia="Arial" w:hAnsi="Arial"/>
                <w:sz w:val="18"/>
                <w:szCs w:val="18"/>
                <w:color w:val="auto"/>
              </w:rPr>
              <w:t>FURNITURE; BATHROOM UPGRADE:</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640" w:type="dxa"/>
            <w:vAlign w:val="bottom"/>
            <w:gridSpan w:val="3"/>
            <w:vMerge w:val="continue"/>
          </w:tcPr>
          <w:p>
            <w:pPr>
              <w:spacing w:after="0"/>
              <w:rPr>
                <w:sz w:val="16"/>
                <w:szCs w:val="16"/>
                <w:color w:val="auto"/>
              </w:rPr>
            </w:pPr>
          </w:p>
        </w:tc>
        <w:tc>
          <w:tcPr>
            <w:tcW w:w="9260" w:type="dxa"/>
            <w:vAlign w:val="bottom"/>
            <w:vMerge w:val="continue"/>
          </w:tcPr>
          <w:p>
            <w:pPr>
              <w:spacing w:after="0"/>
              <w:rPr>
                <w:sz w:val="16"/>
                <w:szCs w:val="16"/>
                <w:color w:val="auto"/>
              </w:rPr>
            </w:pP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40" w:type="dxa"/>
            <w:vAlign w:val="bottom"/>
            <w:gridSpan w:val="3"/>
          </w:tcPr>
          <w:p>
            <w:pPr>
              <w:spacing w:after="0"/>
              <w:rPr>
                <w:sz w:val="20"/>
                <w:szCs w:val="20"/>
                <w:color w:val="auto"/>
              </w:rPr>
            </w:pPr>
            <w:r>
              <w:rPr>
                <w:rFonts w:ascii="Arial" w:cs="Arial" w:eastAsia="Arial" w:hAnsi="Arial"/>
                <w:sz w:val="18"/>
                <w:szCs w:val="18"/>
                <w:color w:val="auto"/>
              </w:rPr>
              <w:t>PARAGRAPH 47:</w:t>
            </w:r>
          </w:p>
        </w:tc>
        <w:tc>
          <w:tcPr>
            <w:tcW w:w="9260" w:type="dxa"/>
            <w:vAlign w:val="bottom"/>
          </w:tcPr>
          <w:p>
            <w:pPr>
              <w:ind w:left="280"/>
              <w:spacing w:after="0"/>
              <w:rPr>
                <w:sz w:val="20"/>
                <w:szCs w:val="20"/>
                <w:color w:val="auto"/>
              </w:rPr>
            </w:pPr>
            <w:r>
              <w:rPr>
                <w:rFonts w:ascii="Arial" w:cs="Arial" w:eastAsia="Arial" w:hAnsi="Arial"/>
                <w:sz w:val="18"/>
                <w:szCs w:val="18"/>
                <w:color w:val="auto"/>
              </w:rPr>
              <w:t>TENANT’S EARLY TERMINATION RIGHT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640" w:type="dxa"/>
            <w:vAlign w:val="bottom"/>
            <w:gridSpan w:val="3"/>
          </w:tcPr>
          <w:p>
            <w:pPr>
              <w:spacing w:after="0"/>
              <w:rPr>
                <w:sz w:val="20"/>
                <w:szCs w:val="20"/>
                <w:color w:val="auto"/>
              </w:rPr>
            </w:pPr>
            <w:r>
              <w:rPr>
                <w:rFonts w:ascii="Arial" w:cs="Arial" w:eastAsia="Arial" w:hAnsi="Arial"/>
                <w:sz w:val="18"/>
                <w:szCs w:val="18"/>
                <w:color w:val="auto"/>
              </w:rPr>
              <w:t>PARAGRAPH 48:</w:t>
            </w:r>
          </w:p>
        </w:tc>
        <w:tc>
          <w:tcPr>
            <w:tcW w:w="9260" w:type="dxa"/>
            <w:vAlign w:val="bottom"/>
          </w:tcPr>
          <w:p>
            <w:pPr>
              <w:ind w:left="280"/>
              <w:spacing w:after="0"/>
              <w:rPr>
                <w:sz w:val="20"/>
                <w:szCs w:val="20"/>
                <w:color w:val="auto"/>
              </w:rPr>
            </w:pPr>
            <w:r>
              <w:rPr>
                <w:rFonts w:ascii="Arial" w:cs="Arial" w:eastAsia="Arial" w:hAnsi="Arial"/>
                <w:sz w:val="18"/>
                <w:szCs w:val="18"/>
                <w:color w:val="auto"/>
              </w:rPr>
              <w:t>NO SETOFF; CONSEQUENTIAL DAMAGES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640" w:type="dxa"/>
            <w:vAlign w:val="bottom"/>
            <w:gridSpan w:val="3"/>
          </w:tcPr>
          <w:p>
            <w:pPr>
              <w:spacing w:after="0"/>
              <w:rPr>
                <w:sz w:val="20"/>
                <w:szCs w:val="20"/>
                <w:color w:val="auto"/>
              </w:rPr>
            </w:pPr>
            <w:r>
              <w:rPr>
                <w:rFonts w:ascii="Arial" w:cs="Arial" w:eastAsia="Arial" w:hAnsi="Arial"/>
                <w:sz w:val="18"/>
                <w:szCs w:val="18"/>
                <w:color w:val="auto"/>
              </w:rPr>
              <w:t>PARAGRAPH 49:</w:t>
            </w:r>
          </w:p>
        </w:tc>
        <w:tc>
          <w:tcPr>
            <w:tcW w:w="9260" w:type="dxa"/>
            <w:vAlign w:val="bottom"/>
          </w:tcPr>
          <w:p>
            <w:pPr>
              <w:ind w:left="280"/>
              <w:spacing w:after="0"/>
              <w:rPr>
                <w:sz w:val="20"/>
                <w:szCs w:val="20"/>
                <w:color w:val="auto"/>
              </w:rPr>
            </w:pPr>
            <w:r>
              <w:rPr>
                <w:rFonts w:ascii="Arial" w:cs="Arial" w:eastAsia="Arial" w:hAnsi="Arial"/>
                <w:sz w:val="18"/>
                <w:szCs w:val="18"/>
                <w:color w:val="auto"/>
              </w:rPr>
              <w:t>OPTION TO EXTEND:</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640" w:type="dxa"/>
            <w:vAlign w:val="bottom"/>
            <w:gridSpan w:val="3"/>
          </w:tcPr>
          <w:p>
            <w:pPr>
              <w:spacing w:after="0"/>
              <w:rPr>
                <w:sz w:val="20"/>
                <w:szCs w:val="20"/>
                <w:color w:val="auto"/>
              </w:rPr>
            </w:pPr>
            <w:r>
              <w:rPr>
                <w:rFonts w:ascii="Arial" w:cs="Arial" w:eastAsia="Arial" w:hAnsi="Arial"/>
                <w:sz w:val="18"/>
                <w:szCs w:val="18"/>
                <w:color w:val="auto"/>
              </w:rPr>
              <w:t>PARAGRAPH 50:</w:t>
            </w:r>
          </w:p>
        </w:tc>
        <w:tc>
          <w:tcPr>
            <w:tcW w:w="9260" w:type="dxa"/>
            <w:vAlign w:val="bottom"/>
          </w:tcPr>
          <w:p>
            <w:pPr>
              <w:ind w:left="280"/>
              <w:spacing w:after="0"/>
              <w:rPr>
                <w:sz w:val="20"/>
                <w:szCs w:val="20"/>
                <w:color w:val="auto"/>
              </w:rPr>
            </w:pPr>
            <w:r>
              <w:rPr>
                <w:rFonts w:ascii="Arial" w:cs="Arial" w:eastAsia="Arial" w:hAnsi="Arial"/>
                <w:sz w:val="18"/>
                <w:szCs w:val="18"/>
                <w:color w:val="auto"/>
              </w:rPr>
              <w:t>INTENTIONALLY OMITTED</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640" w:type="dxa"/>
            <w:vAlign w:val="bottom"/>
            <w:gridSpan w:val="3"/>
          </w:tcPr>
          <w:p>
            <w:pPr>
              <w:spacing w:after="0"/>
              <w:rPr>
                <w:sz w:val="20"/>
                <w:szCs w:val="20"/>
                <w:color w:val="auto"/>
              </w:rPr>
            </w:pPr>
            <w:r>
              <w:rPr>
                <w:rFonts w:ascii="Arial" w:cs="Arial" w:eastAsia="Arial" w:hAnsi="Arial"/>
                <w:sz w:val="18"/>
                <w:szCs w:val="18"/>
                <w:color w:val="auto"/>
              </w:rPr>
              <w:t>PARAGRAPH 51:</w:t>
            </w:r>
          </w:p>
        </w:tc>
        <w:tc>
          <w:tcPr>
            <w:tcW w:w="9260" w:type="dxa"/>
            <w:vAlign w:val="bottom"/>
          </w:tcPr>
          <w:p>
            <w:pPr>
              <w:ind w:left="280"/>
              <w:spacing w:after="0"/>
              <w:rPr>
                <w:sz w:val="20"/>
                <w:szCs w:val="20"/>
                <w:color w:val="auto"/>
              </w:rPr>
            </w:pPr>
            <w:r>
              <w:rPr>
                <w:rFonts w:ascii="Arial" w:cs="Arial" w:eastAsia="Arial" w:hAnsi="Arial"/>
                <w:sz w:val="18"/>
                <w:szCs w:val="18"/>
                <w:color w:val="auto"/>
              </w:rPr>
              <w:t>EXECUTIVE ORDER 13224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640" w:type="dxa"/>
            <w:vAlign w:val="bottom"/>
            <w:gridSpan w:val="3"/>
          </w:tcPr>
          <w:p>
            <w:pPr>
              <w:spacing w:after="0"/>
              <w:rPr>
                <w:sz w:val="20"/>
                <w:szCs w:val="20"/>
                <w:color w:val="auto"/>
              </w:rPr>
            </w:pPr>
            <w:r>
              <w:rPr>
                <w:rFonts w:ascii="Arial" w:cs="Arial" w:eastAsia="Arial" w:hAnsi="Arial"/>
                <w:sz w:val="18"/>
                <w:szCs w:val="18"/>
                <w:color w:val="auto"/>
              </w:rPr>
              <w:t>PARAGRAPH 52:</w:t>
            </w:r>
          </w:p>
        </w:tc>
        <w:tc>
          <w:tcPr>
            <w:tcW w:w="9260" w:type="dxa"/>
            <w:vAlign w:val="bottom"/>
          </w:tcPr>
          <w:p>
            <w:pPr>
              <w:ind w:left="280"/>
              <w:spacing w:after="0"/>
              <w:rPr>
                <w:sz w:val="20"/>
                <w:szCs w:val="20"/>
                <w:color w:val="auto"/>
              </w:rPr>
            </w:pPr>
            <w:r>
              <w:rPr>
                <w:rFonts w:ascii="Arial" w:cs="Arial" w:eastAsia="Arial" w:hAnsi="Arial"/>
                <w:sz w:val="18"/>
                <w:szCs w:val="18"/>
                <w:color w:val="auto"/>
              </w:rPr>
              <w:t>MISCELLANEOUS: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640" w:type="dxa"/>
            <w:vAlign w:val="bottom"/>
            <w:gridSpan w:val="3"/>
          </w:tcPr>
          <w:p>
            <w:pPr>
              <w:spacing w:after="0"/>
              <w:rPr>
                <w:sz w:val="20"/>
                <w:szCs w:val="20"/>
                <w:color w:val="auto"/>
              </w:rPr>
            </w:pPr>
            <w:r>
              <w:rPr>
                <w:rFonts w:ascii="Arial" w:cs="Arial" w:eastAsia="Arial" w:hAnsi="Arial"/>
                <w:sz w:val="18"/>
                <w:szCs w:val="18"/>
                <w:color w:val="auto"/>
              </w:rPr>
              <w:t>PARAGRAPH 53:</w:t>
            </w:r>
          </w:p>
        </w:tc>
        <w:tc>
          <w:tcPr>
            <w:tcW w:w="9260" w:type="dxa"/>
            <w:vAlign w:val="bottom"/>
          </w:tcPr>
          <w:p>
            <w:pPr>
              <w:ind w:left="280"/>
              <w:spacing w:after="0"/>
              <w:rPr>
                <w:sz w:val="20"/>
                <w:szCs w:val="20"/>
                <w:color w:val="auto"/>
              </w:rPr>
            </w:pPr>
            <w:r>
              <w:rPr>
                <w:rFonts w:ascii="Arial" w:cs="Arial" w:eastAsia="Arial" w:hAnsi="Arial"/>
                <w:sz w:val="18"/>
                <w:szCs w:val="18"/>
                <w:color w:val="auto"/>
              </w:rPr>
              <w:t>EXPANSION OPTIONS: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640" w:type="dxa"/>
            <w:vAlign w:val="bottom"/>
            <w:gridSpan w:val="3"/>
          </w:tcPr>
          <w:p>
            <w:pPr>
              <w:spacing w:after="0"/>
              <w:rPr>
                <w:sz w:val="20"/>
                <w:szCs w:val="20"/>
                <w:color w:val="auto"/>
              </w:rPr>
            </w:pPr>
            <w:r>
              <w:rPr>
                <w:rFonts w:ascii="Arial" w:cs="Arial" w:eastAsia="Arial" w:hAnsi="Arial"/>
                <w:sz w:val="18"/>
                <w:szCs w:val="18"/>
                <w:color w:val="auto"/>
              </w:rPr>
              <w:t>PARAGRAPH 54:</w:t>
            </w:r>
          </w:p>
        </w:tc>
        <w:tc>
          <w:tcPr>
            <w:tcW w:w="9260" w:type="dxa"/>
            <w:vAlign w:val="bottom"/>
          </w:tcPr>
          <w:p>
            <w:pPr>
              <w:ind w:left="280"/>
              <w:spacing w:after="0"/>
              <w:rPr>
                <w:sz w:val="20"/>
                <w:szCs w:val="20"/>
                <w:color w:val="auto"/>
              </w:rPr>
            </w:pPr>
            <w:r>
              <w:rPr>
                <w:rFonts w:ascii="Arial" w:cs="Arial" w:eastAsia="Arial" w:hAnsi="Arial"/>
                <w:sz w:val="18"/>
                <w:szCs w:val="18"/>
                <w:color w:val="auto"/>
              </w:rPr>
              <w:t>RIGHT OF FIRST OFFER</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640" w:type="dxa"/>
            <w:vAlign w:val="bottom"/>
            <w:gridSpan w:val="3"/>
          </w:tcPr>
          <w:p>
            <w:pPr>
              <w:spacing w:after="0"/>
              <w:rPr>
                <w:sz w:val="20"/>
                <w:szCs w:val="20"/>
                <w:color w:val="auto"/>
              </w:rPr>
            </w:pPr>
            <w:r>
              <w:rPr>
                <w:rFonts w:ascii="Arial" w:cs="Arial" w:eastAsia="Arial" w:hAnsi="Arial"/>
                <w:sz w:val="18"/>
                <w:szCs w:val="18"/>
                <w:color w:val="auto"/>
              </w:rPr>
              <w:t>PARAGRAPH 55:</w:t>
            </w:r>
          </w:p>
        </w:tc>
        <w:tc>
          <w:tcPr>
            <w:tcW w:w="9260" w:type="dxa"/>
            <w:vAlign w:val="bottom"/>
          </w:tcPr>
          <w:p>
            <w:pPr>
              <w:ind w:left="280"/>
              <w:spacing w:after="0"/>
              <w:rPr>
                <w:sz w:val="20"/>
                <w:szCs w:val="20"/>
                <w:color w:val="auto"/>
              </w:rPr>
            </w:pPr>
            <w:r>
              <w:rPr>
                <w:rFonts w:ascii="Arial" w:cs="Arial" w:eastAsia="Arial" w:hAnsi="Arial"/>
                <w:sz w:val="18"/>
                <w:szCs w:val="18"/>
                <w:color w:val="auto"/>
              </w:rPr>
              <w:t>SECURITIES LAW FILINGS AND DISCLOSURE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1640" w:type="dxa"/>
            <w:vAlign w:val="bottom"/>
            <w:gridSpan w:val="3"/>
          </w:tcPr>
          <w:p>
            <w:pPr>
              <w:spacing w:after="0"/>
              <w:rPr>
                <w:sz w:val="20"/>
                <w:szCs w:val="20"/>
                <w:color w:val="auto"/>
              </w:rPr>
            </w:pPr>
            <w:r>
              <w:rPr>
                <w:rFonts w:ascii="Arial" w:cs="Arial" w:eastAsia="Arial" w:hAnsi="Arial"/>
                <w:sz w:val="18"/>
                <w:szCs w:val="18"/>
                <w:color w:val="auto"/>
              </w:rPr>
              <w:t>PARAGRAPH 56:</w:t>
            </w:r>
          </w:p>
        </w:tc>
        <w:tc>
          <w:tcPr>
            <w:tcW w:w="9260" w:type="dxa"/>
            <w:vAlign w:val="bottom"/>
          </w:tcPr>
          <w:p>
            <w:pPr>
              <w:ind w:left="280"/>
              <w:spacing w:after="0"/>
              <w:rPr>
                <w:sz w:val="20"/>
                <w:szCs w:val="20"/>
                <w:color w:val="auto"/>
              </w:rPr>
            </w:pPr>
            <w:r>
              <w:rPr>
                <w:rFonts w:ascii="Arial" w:cs="Arial" w:eastAsia="Arial" w:hAnsi="Arial"/>
                <w:sz w:val="18"/>
                <w:szCs w:val="18"/>
                <w:color w:val="auto"/>
              </w:rPr>
              <w:t>COMMUNICATION EQUIPMENT; SUPPLEMENTAL HVAC EQUIPMENT; EMERGENCY GENERATOR</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32"/>
        </w:trPr>
        <w:tc>
          <w:tcPr>
            <w:tcW w:w="164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9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900" w:type="dxa"/>
            <w:vAlign w:val="bottom"/>
            <w:gridSpan w:val="4"/>
          </w:tcPr>
          <w:p>
            <w:pPr>
              <w:spacing w:after="0"/>
              <w:rPr>
                <w:sz w:val="20"/>
                <w:szCs w:val="20"/>
                <w:color w:val="auto"/>
              </w:rPr>
            </w:pPr>
            <w:r>
              <w:rPr>
                <w:rFonts w:ascii="Arial" w:cs="Arial" w:eastAsia="Arial" w:hAnsi="Arial"/>
                <w:sz w:val="18"/>
                <w:szCs w:val="18"/>
                <w:color w:val="auto"/>
              </w:rPr>
              <w:t>EXHIBIT A INTENTIONALLY OMITTED</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98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4"/>
          </w:tcPr>
          <w:p>
            <w:pPr>
              <w:spacing w:after="0" w:line="196" w:lineRule="exact"/>
              <w:rPr>
                <w:sz w:val="20"/>
                <w:szCs w:val="20"/>
                <w:color w:val="auto"/>
              </w:rPr>
            </w:pPr>
            <w:r>
              <w:rPr>
                <w:rFonts w:ascii="Arial" w:cs="Arial" w:eastAsia="Arial" w:hAnsi="Arial"/>
                <w:sz w:val="18"/>
                <w:szCs w:val="18"/>
                <w:color w:val="auto"/>
              </w:rPr>
              <w:t>EXHIBIT B FLOOR PLAN OF PREMISES</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98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4"/>
          </w:tcPr>
          <w:p>
            <w:pPr>
              <w:spacing w:after="0" w:line="196" w:lineRule="exact"/>
              <w:rPr>
                <w:sz w:val="20"/>
                <w:szCs w:val="20"/>
                <w:color w:val="auto"/>
              </w:rPr>
            </w:pPr>
            <w:r>
              <w:rPr>
                <w:rFonts w:ascii="Arial" w:cs="Arial" w:eastAsia="Arial" w:hAnsi="Arial"/>
                <w:sz w:val="18"/>
                <w:szCs w:val="18"/>
                <w:color w:val="auto"/>
              </w:rPr>
              <w:t>EXHIBIT B-1 FLOOR PLAN OF FIRST EXPANSION SPACE</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98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4"/>
          </w:tcPr>
          <w:p>
            <w:pPr>
              <w:spacing w:after="0" w:line="196" w:lineRule="exact"/>
              <w:rPr>
                <w:sz w:val="20"/>
                <w:szCs w:val="20"/>
                <w:color w:val="auto"/>
              </w:rPr>
            </w:pPr>
            <w:r>
              <w:rPr>
                <w:rFonts w:ascii="Arial" w:cs="Arial" w:eastAsia="Arial" w:hAnsi="Arial"/>
                <w:sz w:val="18"/>
                <w:szCs w:val="18"/>
                <w:color w:val="auto"/>
              </w:rPr>
              <w:t>EXHIBIT B-2 FLOOR PLAN OF SECOND EXPANSION SPACE</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B-2</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98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4"/>
          </w:tcPr>
          <w:p>
            <w:pPr>
              <w:spacing w:after="0" w:line="196" w:lineRule="exact"/>
              <w:rPr>
                <w:sz w:val="20"/>
                <w:szCs w:val="20"/>
                <w:color w:val="auto"/>
              </w:rPr>
            </w:pPr>
            <w:r>
              <w:rPr>
                <w:rFonts w:ascii="Arial" w:cs="Arial" w:eastAsia="Arial" w:hAnsi="Arial"/>
                <w:sz w:val="18"/>
                <w:szCs w:val="18"/>
                <w:color w:val="auto"/>
              </w:rPr>
              <w:t>EXHIBIT B-3 FLOOR PLAN OF THIRD EXPANSION SPACE</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B-3</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98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4"/>
          </w:tcPr>
          <w:p>
            <w:pPr>
              <w:spacing w:after="0" w:line="196" w:lineRule="exact"/>
              <w:rPr>
                <w:sz w:val="20"/>
                <w:szCs w:val="20"/>
                <w:color w:val="auto"/>
              </w:rPr>
            </w:pPr>
            <w:r>
              <w:rPr>
                <w:rFonts w:ascii="Arial" w:cs="Arial" w:eastAsia="Arial" w:hAnsi="Arial"/>
                <w:sz w:val="18"/>
                <w:szCs w:val="18"/>
                <w:color w:val="auto"/>
              </w:rPr>
              <w:t>EXHIBIT C WORK LETTER</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0040" w:type="dxa"/>
            <w:vAlign w:val="bottom"/>
            <w:tcBorders>
              <w:left w:val="single" w:sz="8" w:color="auto"/>
            </w:tcBorders>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4"/>
          </w:tcPr>
          <w:p>
            <w:pPr>
              <w:spacing w:after="0" w:line="196" w:lineRule="exact"/>
              <w:rPr>
                <w:sz w:val="20"/>
                <w:szCs w:val="20"/>
                <w:color w:val="auto"/>
              </w:rPr>
            </w:pPr>
            <w:r>
              <w:rPr>
                <w:rFonts w:ascii="Arial" w:cs="Arial" w:eastAsia="Arial" w:hAnsi="Arial"/>
                <w:sz w:val="18"/>
                <w:szCs w:val="18"/>
                <w:color w:val="auto"/>
              </w:rPr>
              <w:t>EXHIBIT D ACCEPTANCE LETTER</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D-1</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0040" w:type="dxa"/>
            <w:vAlign w:val="bottom"/>
            <w:tcBorders>
              <w:left w:val="single" w:sz="8" w:color="auto"/>
            </w:tcBorders>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4"/>
          </w:tcPr>
          <w:p>
            <w:pPr>
              <w:spacing w:after="0" w:line="196" w:lineRule="exact"/>
              <w:rPr>
                <w:sz w:val="20"/>
                <w:szCs w:val="20"/>
                <w:color w:val="auto"/>
              </w:rPr>
            </w:pPr>
            <w:r>
              <w:rPr>
                <w:rFonts w:ascii="Arial" w:cs="Arial" w:eastAsia="Arial" w:hAnsi="Arial"/>
                <w:sz w:val="18"/>
                <w:szCs w:val="18"/>
                <w:color w:val="auto"/>
              </w:rPr>
              <w:t>EXHIBIT E TENANT ESTOPPEL CERTIFICATE</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00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4"/>
          </w:tcPr>
          <w:p>
            <w:pPr>
              <w:spacing w:after="0" w:line="196" w:lineRule="exact"/>
              <w:rPr>
                <w:sz w:val="20"/>
                <w:szCs w:val="20"/>
                <w:color w:val="auto"/>
              </w:rPr>
            </w:pPr>
            <w:r>
              <w:rPr>
                <w:rFonts w:ascii="Arial" w:cs="Arial" w:eastAsia="Arial" w:hAnsi="Arial"/>
                <w:sz w:val="18"/>
                <w:szCs w:val="18"/>
                <w:color w:val="auto"/>
              </w:rPr>
              <w:t>EXHIBIT F RULES AND REGULATIONS</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00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4"/>
          </w:tcPr>
          <w:p>
            <w:pPr>
              <w:spacing w:after="0" w:line="196" w:lineRule="exact"/>
              <w:rPr>
                <w:sz w:val="20"/>
                <w:szCs w:val="20"/>
                <w:color w:val="auto"/>
              </w:rPr>
            </w:pPr>
            <w:r>
              <w:rPr>
                <w:rFonts w:ascii="Arial" w:cs="Arial" w:eastAsia="Arial" w:hAnsi="Arial"/>
                <w:sz w:val="18"/>
                <w:szCs w:val="18"/>
                <w:color w:val="auto"/>
              </w:rPr>
              <w:t>EXHIBIT G TENANT’S PROPERTY</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G-1</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0040" w:type="dxa"/>
            <w:vAlign w:val="bottom"/>
            <w:tcBorders>
              <w:left w:val="single" w:sz="8" w:color="auto"/>
            </w:tcBorders>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4"/>
          </w:tcPr>
          <w:p>
            <w:pPr>
              <w:spacing w:after="0" w:line="196" w:lineRule="exact"/>
              <w:rPr>
                <w:sz w:val="20"/>
                <w:szCs w:val="20"/>
                <w:color w:val="auto"/>
              </w:rPr>
            </w:pPr>
            <w:r>
              <w:rPr>
                <w:rFonts w:ascii="Arial" w:cs="Arial" w:eastAsia="Arial" w:hAnsi="Arial"/>
                <w:sz w:val="18"/>
                <w:szCs w:val="18"/>
                <w:color w:val="auto"/>
              </w:rPr>
              <w:t>EXHIBIT H FORM OF LETTER OF CREDIT</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H-1</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-3903345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-3903345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OFFICE BUILDING LEASE</w:t>
      </w:r>
    </w:p>
    <w:p>
      <w:pPr>
        <w:spacing w:after="0" w:line="229" w:lineRule="exact"/>
        <w:rPr>
          <w:sz w:val="20"/>
          <w:szCs w:val="20"/>
          <w:color w:val="auto"/>
        </w:rPr>
      </w:pPr>
    </w:p>
    <w:p>
      <w:pPr>
        <w:ind w:right="200" w:firstLine="648"/>
        <w:spacing w:after="0" w:line="254" w:lineRule="auto"/>
        <w:rPr>
          <w:sz w:val="20"/>
          <w:szCs w:val="20"/>
          <w:color w:val="auto"/>
        </w:rPr>
      </w:pPr>
      <w:r>
        <w:rPr>
          <w:rFonts w:ascii="Arial" w:cs="Arial" w:eastAsia="Arial" w:hAnsi="Arial"/>
          <w:sz w:val="17"/>
          <w:szCs w:val="17"/>
          <w:color w:val="auto"/>
        </w:rPr>
        <w:t>This Office Building Lease (this “Lease”) is made between AMERICAN FUND US INVESTMENTS LP, a Delaware limited partnership (“Landlord”), having an office at c/o Real Estate Capital Partners, 114 West 47</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Street, 23rd Floor, New York, New York 10036, and VERACYTE, INC., a Delaware corporation (“Tenant”), having a principal place of business at 7000 Shoreline Court, Suite 250, South San Francisco, CA 94080. Landlord leases to Tenant and Tenant accepts from Landlord the Premises, subject to the following terms and conditions:</w:t>
      </w:r>
    </w:p>
    <w:p>
      <w:pPr>
        <w:spacing w:after="0" w:line="188"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1:</w:t>
      </w:r>
      <w:r>
        <w:rPr>
          <w:sz w:val="20"/>
          <w:szCs w:val="20"/>
          <w:color w:val="auto"/>
        </w:rPr>
        <w:tab/>
      </w:r>
      <w:r>
        <w:rPr>
          <w:rFonts w:ascii="Arial" w:cs="Arial" w:eastAsia="Arial" w:hAnsi="Arial"/>
          <w:sz w:val="18"/>
          <w:szCs w:val="18"/>
          <w:b w:val="1"/>
          <w:bCs w:val="1"/>
          <w:color w:val="auto"/>
        </w:rPr>
        <w:t>TERMS AND DEFINITIONS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and definitions shall be applied uniformly throughout this Lease:</w:t>
      </w:r>
    </w:p>
    <w:p>
      <w:pPr>
        <w:spacing w:after="0" w:line="221" w:lineRule="exact"/>
        <w:rPr>
          <w:sz w:val="20"/>
          <w:szCs w:val="20"/>
          <w:color w:val="auto"/>
        </w:rPr>
      </w:pPr>
    </w:p>
    <w:p>
      <w:pPr>
        <w:ind w:right="100" w:firstLine="656"/>
        <w:spacing w:after="0" w:line="266" w:lineRule="auto"/>
        <w:tabs>
          <w:tab w:leader="none" w:pos="1294"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Authorized Parking Spaces </w:t>
      </w:r>
      <w:r>
        <w:rPr>
          <w:rFonts w:ascii="Arial" w:cs="Arial" w:eastAsia="Arial" w:hAnsi="Arial"/>
          <w:sz w:val="18"/>
          <w:szCs w:val="18"/>
          <w:color w:val="auto"/>
        </w:rPr>
        <w:t>shall mean Tenant’s Share of parking spaces at a ratio of 3.3 parking spaces per 1,000 rentable square feet, for</w:t>
      </w:r>
      <w:r>
        <w:rPr>
          <w:rFonts w:ascii="Arial" w:cs="Arial" w:eastAsia="Arial" w:hAnsi="Arial"/>
          <w:sz w:val="18"/>
          <w:szCs w:val="18"/>
          <w:b w:val="1"/>
          <w:bCs w:val="1"/>
          <w:color w:val="auto"/>
        </w:rPr>
        <w:t xml:space="preserve"> </w:t>
      </w:r>
      <w:r>
        <w:rPr>
          <w:rFonts w:ascii="Arial" w:cs="Arial" w:eastAsia="Arial" w:hAnsi="Arial"/>
          <w:sz w:val="18"/>
          <w:szCs w:val="18"/>
          <w:color w:val="auto"/>
        </w:rPr>
        <w:t>an initial total of 193 parking spaces, being on a non-exclusive basis with other tenants of the Building, at no cost to Tenant, and subject to increase pursuant to Paragraph 54 below.</w:t>
      </w:r>
    </w:p>
    <w:p>
      <w:pPr>
        <w:spacing w:after="0" w:line="176" w:lineRule="exact"/>
        <w:rPr>
          <w:rFonts w:ascii="Arial" w:cs="Arial" w:eastAsia="Arial" w:hAnsi="Arial"/>
          <w:sz w:val="18"/>
          <w:szCs w:val="18"/>
          <w:color w:val="auto"/>
        </w:rPr>
      </w:pPr>
    </w:p>
    <w:p>
      <w:pPr>
        <w:ind w:right="400" w:firstLine="656"/>
        <w:spacing w:after="0" w:line="282" w:lineRule="auto"/>
        <w:tabs>
          <w:tab w:leader="none" w:pos="1304"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Base Operating Year </w:t>
      </w:r>
      <w:r>
        <w:rPr>
          <w:rFonts w:ascii="Arial" w:cs="Arial" w:eastAsia="Arial" w:hAnsi="Arial"/>
          <w:sz w:val="18"/>
          <w:szCs w:val="18"/>
          <w:color w:val="auto"/>
        </w:rPr>
        <w:t>shall mean calendar year 2015 except, with respect to Real Estate Taxes, the Base Operating Year shall mean the</w:t>
      </w:r>
      <w:r>
        <w:rPr>
          <w:rFonts w:ascii="Arial" w:cs="Arial" w:eastAsia="Arial" w:hAnsi="Arial"/>
          <w:sz w:val="18"/>
          <w:szCs w:val="18"/>
          <w:b w:val="1"/>
          <w:bCs w:val="1"/>
          <w:color w:val="auto"/>
        </w:rPr>
        <w:t xml:space="preserve"> </w:t>
      </w:r>
      <w:r>
        <w:rPr>
          <w:rFonts w:ascii="Arial" w:cs="Arial" w:eastAsia="Arial" w:hAnsi="Arial"/>
          <w:sz w:val="18"/>
          <w:szCs w:val="18"/>
          <w:color w:val="auto"/>
        </w:rPr>
        <w:t>fiscal tax year beginning on July 1, 2015 and ending on June 31, 2016.</w:t>
      </w:r>
    </w:p>
    <w:p>
      <w:pPr>
        <w:spacing w:after="0" w:line="161" w:lineRule="exact"/>
        <w:rPr>
          <w:rFonts w:ascii="Arial" w:cs="Arial" w:eastAsia="Arial" w:hAnsi="Arial"/>
          <w:sz w:val="18"/>
          <w:szCs w:val="18"/>
          <w:color w:val="auto"/>
        </w:rPr>
      </w:pPr>
    </w:p>
    <w:p>
      <w:pPr>
        <w:ind w:left="1320" w:hanging="664"/>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Base Rent </w:t>
      </w:r>
      <w:r>
        <w:rPr>
          <w:rFonts w:ascii="Arial" w:cs="Arial" w:eastAsia="Arial" w:hAnsi="Arial"/>
          <w:sz w:val="18"/>
          <w:szCs w:val="18"/>
          <w:color w:val="auto"/>
        </w:rPr>
        <w:t>shall mean the following amounts, in each case plus applicable sales, rent or occupancy tax, if 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9"/>
              </w:rPr>
              <w:t>Monthly Amount</w:t>
            </w:r>
          </w:p>
        </w:tc>
        <w:tc>
          <w:tcPr>
            <w:tcW w:w="160" w:type="dxa"/>
            <w:vAlign w:val="bottom"/>
          </w:tcPr>
          <w:p>
            <w:pPr>
              <w:spacing w:after="0"/>
              <w:rPr>
                <w:sz w:val="14"/>
                <w:szCs w:val="14"/>
                <w:color w:val="auto"/>
              </w:rPr>
            </w:pPr>
          </w:p>
        </w:tc>
        <w:tc>
          <w:tcPr>
            <w:tcW w:w="15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Annual Base Rent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Rent per RSF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of Premises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auto"/>
            </w:tcBorders>
            <w:shd w:val="clear" w:color="auto" w:fill="CCEEFF"/>
          </w:tcPr>
          <w:p>
            <w:pPr>
              <w:jc w:val="center"/>
              <w:ind w:left="1051"/>
              <w:spacing w:after="0"/>
              <w:rPr>
                <w:sz w:val="20"/>
                <w:szCs w:val="20"/>
                <w:color w:val="auto"/>
              </w:rPr>
            </w:pPr>
            <w:r>
              <w:rPr>
                <w:rFonts w:ascii="Arial" w:cs="Arial" w:eastAsia="Arial" w:hAnsi="Arial"/>
                <w:sz w:val="18"/>
                <w:szCs w:val="18"/>
                <w:color w:val="auto"/>
                <w:w w:val="92"/>
              </w:rPr>
              <w:t>06/01/2015 — 03/31/2016*</w:t>
            </w: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jc w:val="center"/>
              <w:ind w:left="1031"/>
              <w:spacing w:after="0"/>
              <w:rPr>
                <w:sz w:val="20"/>
                <w:szCs w:val="20"/>
                <w:color w:val="auto"/>
              </w:rPr>
            </w:pPr>
            <w:r>
              <w:rPr>
                <w:rFonts w:ascii="Arial" w:cs="Arial" w:eastAsia="Arial" w:hAnsi="Arial"/>
                <w:sz w:val="18"/>
                <w:szCs w:val="18"/>
                <w:color w:val="auto"/>
                <w:w w:val="91"/>
              </w:rPr>
              <w:t>04/01/2016 — 03/31/2017</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156,528.75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1,878.345.00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1"/>
              </w:rPr>
              <w:t>04/01/2017 — 03/31/2018</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161,218.75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1,934.625.00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jc w:val="center"/>
              <w:ind w:left="1031"/>
              <w:spacing w:after="0"/>
              <w:rPr>
                <w:sz w:val="20"/>
                <w:szCs w:val="20"/>
                <w:color w:val="auto"/>
              </w:rPr>
            </w:pPr>
            <w:r>
              <w:rPr>
                <w:rFonts w:ascii="Arial" w:cs="Arial" w:eastAsia="Arial" w:hAnsi="Arial"/>
                <w:sz w:val="18"/>
                <w:szCs w:val="18"/>
                <w:color w:val="auto"/>
                <w:w w:val="91"/>
              </w:rPr>
              <w:t>04/01/2018 — 03/31/2019</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165,322.50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1,983.870.00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1"/>
              </w:rPr>
              <w:t>04/01/2019 — 03/31/2020</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170,012.50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2,040,150.00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jc w:val="center"/>
              <w:ind w:left="1031"/>
              <w:spacing w:after="0"/>
              <w:rPr>
                <w:sz w:val="20"/>
                <w:szCs w:val="20"/>
                <w:color w:val="auto"/>
              </w:rPr>
            </w:pPr>
            <w:r>
              <w:rPr>
                <w:rFonts w:ascii="Arial" w:cs="Arial" w:eastAsia="Arial" w:hAnsi="Arial"/>
                <w:sz w:val="18"/>
                <w:szCs w:val="18"/>
                <w:color w:val="auto"/>
                <w:w w:val="91"/>
              </w:rPr>
              <w:t>04/01/2020 — 03/31/2021</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174,702.50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2,096,430.00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1"/>
              </w:rPr>
              <w:t>04/01/2021 — 03/31/2022</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179,978.75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2,159,745.00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jc w:val="center"/>
              <w:ind w:left="1031"/>
              <w:spacing w:after="0"/>
              <w:rPr>
                <w:sz w:val="20"/>
                <w:szCs w:val="20"/>
                <w:color w:val="auto"/>
              </w:rPr>
            </w:pPr>
            <w:r>
              <w:rPr>
                <w:rFonts w:ascii="Arial" w:cs="Arial" w:eastAsia="Arial" w:hAnsi="Arial"/>
                <w:sz w:val="18"/>
                <w:szCs w:val="18"/>
                <w:color w:val="auto"/>
                <w:w w:val="91"/>
              </w:rPr>
              <w:t>04/01/2022 — 03/31/2023</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185,255.00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2,223,060.00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1"/>
              </w:rPr>
              <w:t>04/01/2023 — 03/31/2024</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190,531.25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2,286,375.00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jc w:val="center"/>
              <w:ind w:left="1031"/>
              <w:spacing w:after="0"/>
              <w:rPr>
                <w:sz w:val="20"/>
                <w:szCs w:val="20"/>
                <w:color w:val="auto"/>
              </w:rPr>
            </w:pPr>
            <w:r>
              <w:rPr>
                <w:rFonts w:ascii="Arial" w:cs="Arial" w:eastAsia="Arial" w:hAnsi="Arial"/>
                <w:sz w:val="18"/>
                <w:szCs w:val="18"/>
                <w:color w:val="auto"/>
                <w:w w:val="91"/>
              </w:rPr>
              <w:t>04/01/2024 — 03/31/2025</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195,807.50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2,349,690.00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1"/>
              </w:rPr>
              <w:t>04/01/2025 — 03/31/2026</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201,083.75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2.413.005.00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82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8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249" w:gutter="0" w:footer="0" w:header="0"/>
        </w:sectPr>
      </w:pPr>
    </w:p>
    <w:bookmarkStart w:id="50" w:name="page51"/>
    <w:bookmarkEnd w:id="50"/>
    <w:p>
      <w:pPr>
        <w:ind w:firstLine="8"/>
        <w:spacing w:after="0" w:line="277" w:lineRule="auto"/>
        <w:tabs>
          <w:tab w:leader="none" w:pos="1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 to the terms hereof, Base Rent for this period (which period shall be extended on a day for day basis for each day of Landlord Delay) shall be abated by an amount equal to one hundred percent (100%) of the Base Rent otherwise due (the “Abated Rent”).</w:t>
      </w:r>
    </w:p>
    <w:p>
      <w:pPr>
        <w:spacing w:after="0" w:line="166" w:lineRule="exact"/>
        <w:rPr>
          <w:rFonts w:ascii="Arial" w:cs="Arial" w:eastAsia="Arial" w:hAnsi="Arial"/>
          <w:sz w:val="18"/>
          <w:szCs w:val="18"/>
          <w:color w:val="auto"/>
        </w:rPr>
      </w:pPr>
    </w:p>
    <w:p>
      <w:pPr>
        <w:ind w:left="1320" w:hanging="664"/>
        <w:spacing w:after="0"/>
        <w:tabs>
          <w:tab w:leader="none" w:pos="1320"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Broker </w:t>
      </w:r>
      <w:r>
        <w:rPr>
          <w:rFonts w:ascii="Arial" w:cs="Arial" w:eastAsia="Arial" w:hAnsi="Arial"/>
          <w:sz w:val="18"/>
          <w:szCs w:val="18"/>
          <w:color w:val="auto"/>
        </w:rPr>
        <w:t>shall mean Kidder Mathews, which represents both Landlord and Tenant.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Building </w:t>
      </w:r>
      <w:r>
        <w:rPr>
          <w:rFonts w:ascii="Arial" w:cs="Arial" w:eastAsia="Arial" w:hAnsi="Arial"/>
          <w:sz w:val="18"/>
          <w:szCs w:val="18"/>
          <w:color w:val="auto"/>
        </w:rPr>
        <w:t>shall mean 6000 Shoreline Court, South San Francisco, California 94080.</w:t>
      </w:r>
    </w:p>
    <w:p>
      <w:pPr>
        <w:spacing w:after="0" w:line="225" w:lineRule="exact"/>
        <w:rPr>
          <w:rFonts w:ascii="Arial" w:cs="Arial" w:eastAsia="Arial" w:hAnsi="Arial"/>
          <w:sz w:val="18"/>
          <w:szCs w:val="18"/>
          <w:color w:val="auto"/>
        </w:rPr>
      </w:pPr>
    </w:p>
    <w:p>
      <w:pPr>
        <w:ind w:right="100" w:firstLine="656"/>
        <w:spacing w:after="0" w:line="282" w:lineRule="auto"/>
        <w:tabs>
          <w:tab w:leader="none" w:pos="1301"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Commencement Date </w:t>
      </w:r>
      <w:r>
        <w:rPr>
          <w:rFonts w:ascii="Arial" w:cs="Arial" w:eastAsia="Arial" w:hAnsi="Arial"/>
          <w:sz w:val="18"/>
          <w:szCs w:val="18"/>
          <w:color w:val="auto"/>
        </w:rPr>
        <w:t>shall mean June 1, 2015; provided, however, that the Commencement Date shall be extended on a day for day basis</w:t>
      </w:r>
      <w:r>
        <w:rPr>
          <w:rFonts w:ascii="Arial" w:cs="Arial" w:eastAsia="Arial" w:hAnsi="Arial"/>
          <w:sz w:val="18"/>
          <w:szCs w:val="18"/>
          <w:b w:val="1"/>
          <w:bCs w:val="1"/>
          <w:color w:val="auto"/>
        </w:rPr>
        <w:t xml:space="preserve"> </w:t>
      </w:r>
      <w:r>
        <w:rPr>
          <w:rFonts w:ascii="Arial" w:cs="Arial" w:eastAsia="Arial" w:hAnsi="Arial"/>
          <w:sz w:val="18"/>
          <w:szCs w:val="18"/>
          <w:color w:val="auto"/>
        </w:rPr>
        <w:t>for each day of Landlord Delay.</w:t>
      </w:r>
    </w:p>
    <w:p>
      <w:pPr>
        <w:spacing w:after="0" w:line="161" w:lineRule="exact"/>
        <w:rPr>
          <w:rFonts w:ascii="Arial" w:cs="Arial" w:eastAsia="Arial" w:hAnsi="Arial"/>
          <w:sz w:val="18"/>
          <w:szCs w:val="18"/>
          <w:color w:val="auto"/>
        </w:rPr>
      </w:pPr>
    </w:p>
    <w:p>
      <w:pPr>
        <w:ind w:right="420" w:firstLine="656"/>
        <w:spacing w:after="0" w:line="282" w:lineRule="auto"/>
        <w:tabs>
          <w:tab w:leader="none" w:pos="1317"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shall mean March 31, 2026; provided, however, that the Expiration Date shall be extended on a day for day basis for</w:t>
      </w:r>
      <w:r>
        <w:rPr>
          <w:rFonts w:ascii="Arial" w:cs="Arial" w:eastAsia="Arial" w:hAnsi="Arial"/>
          <w:sz w:val="18"/>
          <w:szCs w:val="18"/>
          <w:b w:val="1"/>
          <w:bCs w:val="1"/>
          <w:color w:val="auto"/>
        </w:rPr>
        <w:t xml:space="preserve"> </w:t>
      </w:r>
      <w:r>
        <w:rPr>
          <w:rFonts w:ascii="Arial" w:cs="Arial" w:eastAsia="Arial" w:hAnsi="Arial"/>
          <w:sz w:val="18"/>
          <w:szCs w:val="18"/>
          <w:color w:val="auto"/>
        </w:rPr>
        <w:t>every day of Landlord Delay.</w:t>
      </w:r>
    </w:p>
    <w:p>
      <w:pPr>
        <w:spacing w:after="0" w:line="161" w:lineRule="exact"/>
        <w:rPr>
          <w:rFonts w:ascii="Arial" w:cs="Arial" w:eastAsia="Arial" w:hAnsi="Arial"/>
          <w:sz w:val="18"/>
          <w:szCs w:val="18"/>
          <w:color w:val="auto"/>
        </w:rPr>
      </w:pPr>
    </w:p>
    <w:p>
      <w:pPr>
        <w:ind w:right="380" w:firstLine="656"/>
        <w:spacing w:after="0" w:line="282" w:lineRule="auto"/>
        <w:tabs>
          <w:tab w:leader="none" w:pos="1304"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Land </w:t>
      </w:r>
      <w:r>
        <w:rPr>
          <w:rFonts w:ascii="Arial" w:cs="Arial" w:eastAsia="Arial" w:hAnsi="Arial"/>
          <w:sz w:val="18"/>
          <w:szCs w:val="18"/>
          <w:color w:val="auto"/>
        </w:rPr>
        <w:t>shall mean that certain real property on which the Building is situated, located in the City of South San Francisco, County of San</w:t>
      </w:r>
      <w:r>
        <w:rPr>
          <w:rFonts w:ascii="Arial" w:cs="Arial" w:eastAsia="Arial" w:hAnsi="Arial"/>
          <w:sz w:val="18"/>
          <w:szCs w:val="18"/>
          <w:b w:val="1"/>
          <w:bCs w:val="1"/>
          <w:color w:val="auto"/>
        </w:rPr>
        <w:t xml:space="preserve"> </w:t>
      </w:r>
      <w:r>
        <w:rPr>
          <w:rFonts w:ascii="Arial" w:cs="Arial" w:eastAsia="Arial" w:hAnsi="Arial"/>
          <w:sz w:val="18"/>
          <w:szCs w:val="18"/>
          <w:color w:val="auto"/>
        </w:rPr>
        <w:t>Mateo and State of California.</w:t>
      </w:r>
    </w:p>
    <w:p>
      <w:pPr>
        <w:spacing w:after="0" w:line="161" w:lineRule="exact"/>
        <w:rPr>
          <w:rFonts w:ascii="Arial" w:cs="Arial" w:eastAsia="Arial" w:hAnsi="Arial"/>
          <w:sz w:val="18"/>
          <w:szCs w:val="18"/>
          <w:color w:val="auto"/>
        </w:rPr>
      </w:pPr>
    </w:p>
    <w:p>
      <w:pPr>
        <w:ind w:right="240" w:firstLine="656"/>
        <w:spacing w:after="0" w:line="295" w:lineRule="auto"/>
        <w:tabs>
          <w:tab w:leader="none" w:pos="1318" w:val="left"/>
        </w:tabs>
        <w:numPr>
          <w:ilvl w:val="1"/>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Landlord Delay </w:t>
      </w:r>
      <w:r>
        <w:rPr>
          <w:rFonts w:ascii="Arial" w:cs="Arial" w:eastAsia="Arial" w:hAnsi="Arial"/>
          <w:sz w:val="16"/>
          <w:szCs w:val="16"/>
          <w:color w:val="auto"/>
        </w:rPr>
        <w:t>shall mean (i) delays resulting from Landlord or its agents, employees or contractors in providing Tenant with access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Premises; (ii) each day that Landlord fails to pay Tenant the Tenant Allowance or applicable portion thereof as and when required by Exhibit C; or (iii) each day that Landlord fails to approve any Final Space Plan, any Final Working Drawings, or any aspect or item of the Tenant Improvements as and when required by Exhibit C; or (iv) Landlord’s failure to deliver possession of the Premises to Tenant in the Delivery Condition on the date of the full execution and delivery of this Lease by Landlord and Tenant. Notwithstanding anything above to the contrary, the Commencement Date shall only be extended due to a Landlord Delay if any such Landlord Delay actually delayed the design and/or construction of the Tenant Improvements.</w:t>
      </w:r>
    </w:p>
    <w:p>
      <w:pPr>
        <w:spacing w:after="0" w:line="155" w:lineRule="exact"/>
        <w:rPr>
          <w:rFonts w:ascii="Arial" w:cs="Arial" w:eastAsia="Arial" w:hAnsi="Arial"/>
          <w:sz w:val="16"/>
          <w:szCs w:val="16"/>
          <w:color w:val="auto"/>
        </w:rPr>
      </w:pPr>
    </w:p>
    <w:p>
      <w:pPr>
        <w:ind w:left="1320" w:hanging="664"/>
        <w:spacing w:after="0"/>
        <w:tabs>
          <w:tab w:leader="none" w:pos="1320"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Landlord’s Notice Address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300" w:right="7540"/>
        <w:spacing w:after="0" w:line="258" w:lineRule="auto"/>
        <w:rPr>
          <w:rFonts w:ascii="Arial" w:cs="Arial" w:eastAsia="Arial" w:hAnsi="Arial"/>
          <w:sz w:val="18"/>
          <w:szCs w:val="18"/>
          <w:color w:val="auto"/>
        </w:rPr>
      </w:pPr>
      <w:r>
        <w:rPr>
          <w:rFonts w:ascii="Arial" w:cs="Arial" w:eastAsia="Arial" w:hAnsi="Arial"/>
          <w:sz w:val="17"/>
          <w:szCs w:val="17"/>
          <w:color w:val="auto"/>
        </w:rPr>
        <w:t>American Fund US Investments LP c/o Real Estate Capital Partners 114 West 47</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Street, 23rd Floor New York, New York 10036 Attention: Karin E. Shewer Facsimile No.: 212.843.6120</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Real Estate Capital Partners, 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13241 Woodland Park Road, Suite 600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Herndon, VA 20171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703-481-7100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703-481-7101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Allen Matkins Leck Gamble Mallory &amp; Natsis</w:t>
      </w:r>
    </w:p>
    <w:p>
      <w:pPr>
        <w:ind w:left="1300"/>
        <w:spacing w:after="0" w:line="218" w:lineRule="auto"/>
        <w:rPr>
          <w:sz w:val="20"/>
          <w:szCs w:val="20"/>
          <w:color w:val="auto"/>
        </w:rPr>
      </w:pPr>
      <w:r>
        <w:rPr>
          <w:rFonts w:ascii="Arial" w:cs="Arial" w:eastAsia="Arial" w:hAnsi="Arial"/>
          <w:sz w:val="18"/>
          <w:szCs w:val="18"/>
          <w:color w:val="auto"/>
        </w:rPr>
        <w:t>515 South Figueroa Street,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Tim McDonald,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No.: (213) 620-8816</w:t>
      </w:r>
    </w:p>
    <w:p>
      <w:pPr>
        <w:spacing w:after="0" w:line="207" w:lineRule="exact"/>
        <w:rPr>
          <w:sz w:val="20"/>
          <w:szCs w:val="20"/>
          <w:color w:val="auto"/>
        </w:rPr>
      </w:pPr>
    </w:p>
    <w:p>
      <w:pPr>
        <w:ind w:right="20" w:firstLine="656"/>
        <w:spacing w:after="0" w:line="347" w:lineRule="auto"/>
        <w:tabs>
          <w:tab w:leader="none" w:pos="1304"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Managing Agent </w:t>
      </w:r>
      <w:r>
        <w:rPr>
          <w:rFonts w:ascii="Arial" w:cs="Arial" w:eastAsia="Arial" w:hAnsi="Arial"/>
          <w:sz w:val="16"/>
          <w:szCs w:val="16"/>
          <w:color w:val="auto"/>
        </w:rPr>
        <w:t>shall mean Kenmark Real Estate Group, whose address is 360 Post Street, 11th Floor, San Francisco, CA 94108,</w:t>
      </w:r>
      <w:r>
        <w:rPr>
          <w:rFonts w:ascii="Arial" w:cs="Arial" w:eastAsia="Arial" w:hAnsi="Arial"/>
          <w:sz w:val="16"/>
          <w:szCs w:val="16"/>
          <w:b w:val="1"/>
          <w:bCs w:val="1"/>
          <w:color w:val="auto"/>
        </w:rPr>
        <w:t xml:space="preserve"> </w:t>
      </w:r>
      <w:r>
        <w:rPr>
          <w:rFonts w:ascii="Arial" w:cs="Arial" w:eastAsia="Arial" w:hAnsi="Arial"/>
          <w:sz w:val="16"/>
          <w:szCs w:val="16"/>
          <w:color w:val="auto"/>
        </w:rPr>
        <w:t>Attention: Caitlin Russell, Director of Development and Senior Property Manager; with a phone number of (415) 782-3746; a fax number of (650) 712-3342.</w:t>
      </w:r>
    </w:p>
    <w:p>
      <w:pPr>
        <w:spacing w:after="0" w:line="116" w:lineRule="exact"/>
        <w:rPr>
          <w:rFonts w:ascii="Arial" w:cs="Arial" w:eastAsia="Arial" w:hAnsi="Arial"/>
          <w:sz w:val="16"/>
          <w:szCs w:val="16"/>
          <w:color w:val="auto"/>
        </w:rPr>
      </w:pPr>
    </w:p>
    <w:p>
      <w:pPr>
        <w:ind w:right="60" w:firstLine="656"/>
        <w:spacing w:after="0" w:line="282" w:lineRule="auto"/>
        <w:tabs>
          <w:tab w:leader="none" w:pos="1318"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Operating Payment </w:t>
      </w:r>
      <w:r>
        <w:rPr>
          <w:rFonts w:ascii="Arial" w:cs="Arial" w:eastAsia="Arial" w:hAnsi="Arial"/>
          <w:sz w:val="18"/>
          <w:szCs w:val="18"/>
          <w:color w:val="auto"/>
        </w:rPr>
        <w:t>shall mean Tenant’s Share of the increase in Operating Expenses for a particular calendar year falling within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 Operating Expenses for the Base Operating Year.</w:t>
      </w:r>
    </w:p>
    <w:p>
      <w:pPr>
        <w:spacing w:after="0" w:line="161" w:lineRule="exact"/>
        <w:rPr>
          <w:rFonts w:ascii="Arial" w:cs="Arial" w:eastAsia="Arial" w:hAnsi="Arial"/>
          <w:sz w:val="18"/>
          <w:szCs w:val="18"/>
          <w:color w:val="auto"/>
        </w:rPr>
      </w:pPr>
    </w:p>
    <w:p>
      <w:pPr>
        <w:ind w:right="960" w:firstLine="656"/>
        <w:spacing w:after="0" w:line="282"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Permitted Use </w:t>
      </w:r>
      <w:r>
        <w:rPr>
          <w:rFonts w:ascii="Arial" w:cs="Arial" w:eastAsia="Arial" w:hAnsi="Arial"/>
          <w:sz w:val="18"/>
          <w:szCs w:val="18"/>
          <w:color w:val="auto"/>
        </w:rPr>
        <w:t>shall mean the use of the Premises for general office purposes and/or for laboratory, testing and research and/or</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purposes.</w:t>
      </w:r>
    </w:p>
    <w:p>
      <w:pPr>
        <w:spacing w:after="0" w:line="161" w:lineRule="exact"/>
        <w:rPr>
          <w:rFonts w:ascii="Arial" w:cs="Arial" w:eastAsia="Arial" w:hAnsi="Arial"/>
          <w:sz w:val="18"/>
          <w:szCs w:val="18"/>
          <w:color w:val="auto"/>
        </w:rPr>
      </w:pPr>
    </w:p>
    <w:p>
      <w:pPr>
        <w:ind w:left="1320" w:hanging="664"/>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Premises </w:t>
      </w:r>
      <w:r>
        <w:rPr>
          <w:rFonts w:ascii="Arial" w:cs="Arial" w:eastAsia="Arial" w:hAnsi="Arial"/>
          <w:sz w:val="18"/>
          <w:szCs w:val="18"/>
          <w:color w:val="auto"/>
        </w:rPr>
        <w:t>shall mean that portion of the Building known as Suites 100, 200 and 300 and as shown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656"/>
        <w:spacing w:after="0" w:line="282" w:lineRule="auto"/>
        <w:tabs>
          <w:tab w:leader="none" w:pos="1304"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shall mean, collectively, the Land, the Building, any other building or improvements now or hereafter constructed on the Land,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more particularly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right="200" w:firstLine="656"/>
        <w:spacing w:after="0" w:line="282" w:lineRule="auto"/>
        <w:tabs>
          <w:tab w:leader="none" w:pos="1304"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Rent Commencement Date </w:t>
      </w:r>
      <w:r>
        <w:rPr>
          <w:rFonts w:ascii="Arial" w:cs="Arial" w:eastAsia="Arial" w:hAnsi="Arial"/>
          <w:sz w:val="18"/>
          <w:szCs w:val="18"/>
          <w:color w:val="auto"/>
        </w:rPr>
        <w:t>shall mean April 1, 2016; provided, however, that the Rent Commencement Date shall be extended on a day</w:t>
      </w:r>
      <w:r>
        <w:rPr>
          <w:rFonts w:ascii="Arial" w:cs="Arial" w:eastAsia="Arial" w:hAnsi="Arial"/>
          <w:sz w:val="18"/>
          <w:szCs w:val="18"/>
          <w:b w:val="1"/>
          <w:bCs w:val="1"/>
          <w:color w:val="auto"/>
        </w:rPr>
        <w:t xml:space="preserve"> </w:t>
      </w:r>
      <w:r>
        <w:rPr>
          <w:rFonts w:ascii="Arial" w:cs="Arial" w:eastAsia="Arial" w:hAnsi="Arial"/>
          <w:sz w:val="18"/>
          <w:szCs w:val="18"/>
          <w:color w:val="auto"/>
        </w:rPr>
        <w:t>for day basis for each day of Landlord Delay.</w:t>
      </w:r>
    </w:p>
    <w:p>
      <w:pPr>
        <w:spacing w:after="0" w:line="161" w:lineRule="exact"/>
        <w:rPr>
          <w:rFonts w:ascii="Arial" w:cs="Arial" w:eastAsia="Arial" w:hAnsi="Arial"/>
          <w:sz w:val="18"/>
          <w:szCs w:val="18"/>
          <w:color w:val="auto"/>
        </w:rPr>
      </w:pPr>
    </w:p>
    <w:p>
      <w:pPr>
        <w:ind w:left="1320" w:hanging="664"/>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Rent Payment Address:</w:t>
      </w:r>
    </w:p>
    <w:p>
      <w:pPr>
        <w:spacing w:after="0" w:line="229" w:lineRule="exact"/>
        <w:rPr>
          <w:rFonts w:ascii="Arial" w:cs="Arial" w:eastAsia="Arial" w:hAnsi="Arial"/>
          <w:sz w:val="18"/>
          <w:szCs w:val="18"/>
          <w:color w:val="auto"/>
        </w:rPr>
      </w:pPr>
    </w:p>
    <w:p>
      <w:pPr>
        <w:ind w:left="1300" w:right="5800"/>
        <w:spacing w:after="0" w:line="258" w:lineRule="auto"/>
        <w:rPr>
          <w:rFonts w:ascii="Arial" w:cs="Arial" w:eastAsia="Arial" w:hAnsi="Arial"/>
          <w:sz w:val="18"/>
          <w:szCs w:val="18"/>
          <w:color w:val="auto"/>
        </w:rPr>
      </w:pPr>
      <w:r>
        <w:rPr>
          <w:rFonts w:ascii="Arial" w:cs="Arial" w:eastAsia="Arial" w:hAnsi="Arial"/>
          <w:sz w:val="18"/>
          <w:szCs w:val="18"/>
          <w:color w:val="auto"/>
        </w:rPr>
        <w:t>AMERICAN FUND US INVESTMENTS LP - Sierra Point c/o Commerzbank AG, New York Branch</w:t>
      </w:r>
    </w:p>
    <w:p>
      <w:pPr>
        <w:spacing w:after="0" w:line="1" w:lineRule="exact"/>
        <w:rPr>
          <w:rFonts w:ascii="Arial" w:cs="Arial" w:eastAsia="Arial" w:hAnsi="Arial"/>
          <w:sz w:val="18"/>
          <w:szCs w:val="18"/>
          <w:color w:val="auto"/>
        </w:rPr>
      </w:pPr>
    </w:p>
    <w:p>
      <w:pPr>
        <w:ind w:left="1300" w:right="8300"/>
        <w:spacing w:after="0" w:line="250" w:lineRule="auto"/>
        <w:rPr>
          <w:rFonts w:ascii="Arial" w:cs="Arial" w:eastAsia="Arial" w:hAnsi="Arial"/>
          <w:sz w:val="18"/>
          <w:szCs w:val="18"/>
          <w:color w:val="auto"/>
        </w:rPr>
      </w:pPr>
      <w:r>
        <w:rPr>
          <w:rFonts w:ascii="Arial" w:cs="Arial" w:eastAsia="Arial" w:hAnsi="Arial"/>
          <w:sz w:val="18"/>
          <w:szCs w:val="18"/>
          <w:color w:val="auto"/>
        </w:rPr>
        <w:t>2 World Financial Center PO Box 1041</w:t>
      </w: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10268</w:t>
      </w:r>
    </w:p>
    <w:p>
      <w:pPr>
        <w:sectPr>
          <w:pgSz w:w="11900" w:h="16838" w:orient="portrait"/>
          <w:cols w:equalWidth="0" w:num="1">
            <w:col w:w="11420"/>
          </w:cols>
          <w:pgMar w:left="240" w:top="125" w:right="239" w:bottom="0" w:gutter="0" w:footer="0" w:header="0"/>
        </w:sectPr>
      </w:pPr>
    </w:p>
    <w:bookmarkStart w:id="51" w:name="page52"/>
    <w:bookmarkEnd w:id="51"/>
    <w:p>
      <w:pPr>
        <w:spacing w:after="0" w:line="137" w:lineRule="exact"/>
        <w:rPr>
          <w:sz w:val="20"/>
          <w:szCs w:val="20"/>
          <w:color w:val="auto"/>
        </w:rPr>
      </w:pPr>
    </w:p>
    <w:p>
      <w:pPr>
        <w:ind w:left="1320" w:hanging="664"/>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Letter of Credit: </w:t>
      </w:r>
      <w:r>
        <w:rPr>
          <w:rFonts w:ascii="Arial" w:cs="Arial" w:eastAsia="Arial" w:hAnsi="Arial"/>
          <w:sz w:val="18"/>
          <w:szCs w:val="18"/>
          <w:color w:val="auto"/>
        </w:rPr>
        <w:t>$603,251.25.</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Tenant Allowance </w:t>
      </w:r>
      <w:r>
        <w:rPr>
          <w:rFonts w:ascii="Arial" w:cs="Arial" w:eastAsia="Arial" w:hAnsi="Arial"/>
          <w:sz w:val="18"/>
          <w:szCs w:val="18"/>
          <w:color w:val="auto"/>
        </w:rPr>
        <w:t>shall be as defined in Exhibit C.</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Tenant’s Notice Address Until such time Tenant occupies the Premises: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7000 Shoreline Court, Suite 250, South San Francisco, CA 94080 Attention: Julie Brooks Post occupancy: 6000 Shoreline Court,</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300, South San Francisco, CA 94080, Attention: Julie Brooks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300" w:firstLine="656"/>
        <w:spacing w:after="0" w:line="246" w:lineRule="auto"/>
        <w:tabs>
          <w:tab w:leader="none" w:pos="1304"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Tenant’s Rentable Square Footage </w:t>
      </w:r>
      <w:r>
        <w:rPr>
          <w:rFonts w:ascii="Arial" w:cs="Arial" w:eastAsia="Arial" w:hAnsi="Arial"/>
          <w:sz w:val="18"/>
          <w:szCs w:val="18"/>
          <w:color w:val="auto"/>
        </w:rPr>
        <w:t>shall mean 58,625 rentable square feet in the Premises consisting of (i) 14,988 rentable square feet</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on the first (1</w:t>
      </w:r>
      <w:r>
        <w:rPr>
          <w:rFonts w:ascii="Arial" w:cs="Arial" w:eastAsia="Arial" w:hAnsi="Arial"/>
          <w:sz w:val="23"/>
          <w:szCs w:val="23"/>
          <w:color w:val="auto"/>
          <w:vertAlign w:val="superscript"/>
        </w:rPr>
        <w:t>st</w:t>
      </w:r>
      <w:r>
        <w:rPr>
          <w:rFonts w:ascii="Arial" w:cs="Arial" w:eastAsia="Arial" w:hAnsi="Arial"/>
          <w:sz w:val="18"/>
          <w:szCs w:val="18"/>
          <w:color w:val="auto"/>
        </w:rPr>
        <w:t>) floor of the Building, (ii) 11,221 rentable square feet on the second (2</w:t>
      </w:r>
      <w:r>
        <w:rPr>
          <w:rFonts w:ascii="Arial" w:cs="Arial" w:eastAsia="Arial" w:hAnsi="Arial"/>
          <w:sz w:val="23"/>
          <w:szCs w:val="23"/>
          <w:color w:val="auto"/>
          <w:vertAlign w:val="superscript"/>
        </w:rPr>
        <w:t>nd</w:t>
      </w:r>
      <w:r>
        <w:rPr>
          <w:rFonts w:ascii="Arial" w:cs="Arial" w:eastAsia="Arial" w:hAnsi="Arial"/>
          <w:sz w:val="18"/>
          <w:szCs w:val="18"/>
          <w:color w:val="auto"/>
        </w:rPr>
        <w:t>) floor or the Building, and (iii) 32,416 rentable square feet located on the third (3</w:t>
      </w:r>
      <w:r>
        <w:rPr>
          <w:rFonts w:ascii="Arial" w:cs="Arial" w:eastAsia="Arial" w:hAnsi="Arial"/>
          <w:sz w:val="23"/>
          <w:szCs w:val="23"/>
          <w:color w:val="auto"/>
          <w:vertAlign w:val="superscript"/>
        </w:rPr>
        <w:t>rd</w:t>
      </w:r>
      <w:r>
        <w:rPr>
          <w:rFonts w:ascii="Arial" w:cs="Arial" w:eastAsia="Arial" w:hAnsi="Arial"/>
          <w:sz w:val="18"/>
          <w:szCs w:val="18"/>
          <w:color w:val="auto"/>
        </w:rPr>
        <w:t>) floor of the Building.</w:t>
      </w:r>
    </w:p>
    <w:p>
      <w:pPr>
        <w:spacing w:after="0" w:line="109" w:lineRule="exact"/>
        <w:rPr>
          <w:rFonts w:ascii="Arial" w:cs="Arial" w:eastAsia="Arial" w:hAnsi="Arial"/>
          <w:sz w:val="18"/>
          <w:szCs w:val="18"/>
          <w:color w:val="auto"/>
        </w:rPr>
      </w:pPr>
    </w:p>
    <w:p>
      <w:pPr>
        <w:ind w:right="320" w:firstLine="656"/>
        <w:spacing w:after="0" w:line="282" w:lineRule="auto"/>
        <w:tabs>
          <w:tab w:leader="none" w:pos="1304"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Tenant’s Share </w:t>
      </w:r>
      <w:r>
        <w:rPr>
          <w:rFonts w:ascii="Arial" w:cs="Arial" w:eastAsia="Arial" w:hAnsi="Arial"/>
          <w:sz w:val="18"/>
          <w:szCs w:val="18"/>
          <w:color w:val="auto"/>
        </w:rPr>
        <w:t>shall mean 42.06%, which is the percentage arrived at by dividing Tenant’s Rentable Square Footage by Total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Rentable Square Footage.</w:t>
      </w:r>
    </w:p>
    <w:p>
      <w:pPr>
        <w:spacing w:after="0" w:line="161"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or Lease Term shall mean the one hundred thirty (130) month period commencing on the Commencement Date and ending on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Expiration Date.</w:t>
      </w:r>
    </w:p>
    <w:p>
      <w:pPr>
        <w:spacing w:after="0" w:line="206" w:lineRule="exact"/>
        <w:rPr>
          <w:rFonts w:ascii="Arial" w:cs="Arial" w:eastAsia="Arial" w:hAnsi="Arial"/>
          <w:sz w:val="16"/>
          <w:szCs w:val="16"/>
          <w:color w:val="auto"/>
        </w:rPr>
      </w:pPr>
    </w:p>
    <w:p>
      <w:pPr>
        <w:ind w:right="300" w:firstLine="656"/>
        <w:spacing w:after="0" w:line="266" w:lineRule="auto"/>
        <w:tabs>
          <w:tab w:leader="none" w:pos="1304"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Total Building Rentable Square Footage </w:t>
      </w:r>
      <w:r>
        <w:rPr>
          <w:rFonts w:ascii="Arial" w:cs="Arial" w:eastAsia="Arial" w:hAnsi="Arial"/>
          <w:sz w:val="18"/>
          <w:szCs w:val="18"/>
          <w:color w:val="auto"/>
        </w:rPr>
        <w:t>shall mean 139,372 rentable square feet. Landlord represents and warrants that said rentable</w:t>
      </w:r>
      <w:r>
        <w:rPr>
          <w:rFonts w:ascii="Arial" w:cs="Arial" w:eastAsia="Arial" w:hAnsi="Arial"/>
          <w:sz w:val="18"/>
          <w:szCs w:val="18"/>
          <w:b w:val="1"/>
          <w:bCs w:val="1"/>
          <w:color w:val="auto"/>
        </w:rPr>
        <w:t xml:space="preserve"> </w:t>
      </w:r>
      <w:r>
        <w:rPr>
          <w:rFonts w:ascii="Arial" w:cs="Arial" w:eastAsia="Arial" w:hAnsi="Arial"/>
          <w:sz w:val="18"/>
          <w:szCs w:val="18"/>
          <w:color w:val="auto"/>
        </w:rPr>
        <w:t>square footage of the Building (including the Premises and the Expansion Space) has been calculated in accordance with Method A of the ANSI/BOMA Z65.1-2010 Building Standard as applied to a building leased by multiple tenants.</w:t>
      </w:r>
    </w:p>
    <w:p>
      <w:pPr>
        <w:spacing w:after="0" w:line="176"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2:</w:t>
      </w:r>
      <w:r>
        <w:rPr>
          <w:sz w:val="20"/>
          <w:szCs w:val="20"/>
          <w:color w:val="auto"/>
        </w:rPr>
        <w:tab/>
      </w:r>
      <w:r>
        <w:rPr>
          <w:rFonts w:ascii="Arial" w:cs="Arial" w:eastAsia="Arial" w:hAnsi="Arial"/>
          <w:sz w:val="18"/>
          <w:szCs w:val="18"/>
          <w:b w:val="1"/>
          <w:bCs w:val="1"/>
          <w:color w:val="auto"/>
        </w:rPr>
        <w:t>EXHIBITS</w:t>
      </w:r>
      <w:r>
        <w:rPr>
          <w:rFonts w:ascii="Arial" w:cs="Arial" w:eastAsia="Arial" w:hAnsi="Arial"/>
          <w:sz w:val="18"/>
          <w:szCs w:val="18"/>
          <w:color w:val="auto"/>
        </w:rPr>
        <w:t>:</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exhibits listed below are attached and incorporated into this Lease by reference. The terms of schedules, exhibits, and typewritten addenda, if any, attached to this Lease shall control over any inconsistent provisions in this Lease.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320" w:hanging="664"/>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Floor Plan of Premises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Work Letter</w:t>
      </w:r>
    </w:p>
    <w:p>
      <w:pPr>
        <w:spacing w:after="0" w:line="23" w:lineRule="exact"/>
        <w:rPr>
          <w:rFonts w:ascii="Arial" w:cs="Arial" w:eastAsia="Arial" w:hAnsi="Arial"/>
          <w:sz w:val="18"/>
          <w:szCs w:val="18"/>
          <w:color w:val="auto"/>
        </w:rPr>
      </w:pPr>
    </w:p>
    <w:p>
      <w:pPr>
        <w:ind w:left="1320" w:hanging="664"/>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Acceptance Letter</w:t>
      </w:r>
    </w:p>
    <w:p>
      <w:pPr>
        <w:spacing w:after="0" w:line="9" w:lineRule="exact"/>
        <w:rPr>
          <w:rFonts w:ascii="Arial" w:cs="Arial" w:eastAsia="Arial" w:hAnsi="Arial"/>
          <w:sz w:val="18"/>
          <w:szCs w:val="18"/>
          <w:color w:val="auto"/>
        </w:rPr>
      </w:pPr>
    </w:p>
    <w:p>
      <w:pPr>
        <w:ind w:left="1320" w:hanging="664"/>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Tenant Estoppel Certificate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Rules and Regulations</w:t>
      </w:r>
    </w:p>
    <w:p>
      <w:pPr>
        <w:spacing w:after="0" w:line="9" w:lineRule="exact"/>
        <w:rPr>
          <w:rFonts w:ascii="Arial" w:cs="Arial" w:eastAsia="Arial" w:hAnsi="Arial"/>
          <w:sz w:val="18"/>
          <w:szCs w:val="18"/>
          <w:color w:val="auto"/>
        </w:rPr>
      </w:pPr>
    </w:p>
    <w:p>
      <w:pPr>
        <w:ind w:left="1320" w:hanging="664"/>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Tenant’s Property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Form of Letter of Credit</w:t>
      </w:r>
    </w:p>
    <w:p>
      <w:pPr>
        <w:spacing w:after="0" w:line="20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PARAGRAPH 3: CONSENT</w:t>
      </w:r>
      <w:r>
        <w:rPr>
          <w:rFonts w:ascii="Arial" w:cs="Arial" w:eastAsia="Arial" w:hAnsi="Arial"/>
          <w:sz w:val="18"/>
          <w:szCs w:val="18"/>
          <w:color w:val="auto"/>
        </w:rPr>
        <w:t>: Notwithstanding any other provision of this Lease, all consents and approvals to be given by Landlord or Tenant,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in the sole discretion of Landlord or Tenant, as applicable, unless expressly stated otherwise herein.</w:t>
      </w:r>
    </w:p>
    <w:p>
      <w:pPr>
        <w:spacing w:after="0" w:line="162"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4:</w:t>
      </w:r>
      <w:r>
        <w:rPr>
          <w:sz w:val="20"/>
          <w:szCs w:val="20"/>
          <w:color w:val="auto"/>
        </w:rPr>
        <w:tab/>
      </w:r>
      <w:r>
        <w:rPr>
          <w:rFonts w:ascii="Arial" w:cs="Arial" w:eastAsia="Arial" w:hAnsi="Arial"/>
          <w:sz w:val="17"/>
          <w:szCs w:val="17"/>
          <w:b w:val="1"/>
          <w:bCs w:val="1"/>
          <w:color w:val="auto"/>
        </w:rPr>
        <w:t>COMMENCEMENT AND POSSESSION:</w:t>
      </w:r>
    </w:p>
    <w:p>
      <w:pPr>
        <w:spacing w:after="0" w:line="229" w:lineRule="exact"/>
        <w:rPr>
          <w:sz w:val="20"/>
          <w:szCs w:val="20"/>
          <w:color w:val="auto"/>
        </w:rPr>
      </w:pPr>
    </w:p>
    <w:p>
      <w:pPr>
        <w:jc w:val="both"/>
        <w:ind w:right="120" w:firstLine="656"/>
        <w:spacing w:after="0" w:line="279" w:lineRule="auto"/>
        <w:tabs>
          <w:tab w:leader="none" w:pos="1294"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This Lease shall be effective upon the execution and delivery hereof by both parties hereto, but the Term shall commence as of the Commencement Date; provided, that commencing on the date of the full execution and delivery of this Lease by Landlord and Tenant, Tenant and its contractors and subcontractors shall be permitted reasonable access to the Premises at no cost to Tenant for the purpose of space planning, inspection, taking measurements, and pre-construction planning. Subject to the terms and conditions herein, the Term shall commence on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Commencement Date, and the Rent (as hereinafter defined) shall commence on the Rent Commencement Date. Upon Landlord’s written request, Tenant shall execute and deliver to Managing Agent, with a copy to Landlord, an acceptance letter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annexed hereto (the “Acceptance Letter”), but Tenant’s failure to execute the Acceptance Letter shall not affect the Commencement Date, the Rent Commencement Date or the Expiration Date. Except for the Allowances described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and as otherwise provided herein, Landlord shall not be required to spend any money or to do any work to improve, furnish, equip or otherwise prepare the Premises for Tenant’s initial occupancy. Except as otherwise provided herein, and without limitation of Landlord’s obligations under this Lease, Tenant shall take initial occupancy of the Premises in its “AS-IS” condition. Tenant’s occupancy of the Premises prior to the Rent Commencement Date shall be subject to all provisions of this Lease, but for the obligation to pay Rent, which shall commence on the Rent Commencement Date. Additionally, even though the Rent Commencement Date may occur after the date Landlord and Tenant each fully executes this Lease, Landlord and Tenant each acknowledge and agree that this Lease is effective and is a binding obligation upon Landlord and Tenant on the date this Lease has been executed and delivered by both Landlord and Tenant. Subject to (i) all of the terms and conditions of this Lease, (ii) force majeure events,</w:t>
      </w:r>
    </w:p>
    <w:p>
      <w:pPr>
        <w:spacing w:after="0" w:line="6" w:lineRule="exact"/>
        <w:rPr>
          <w:sz w:val="20"/>
          <w:szCs w:val="20"/>
          <w:color w:val="auto"/>
        </w:rPr>
      </w:pPr>
    </w:p>
    <w:p>
      <w:pPr>
        <w:ind w:firstLine="8"/>
        <w:spacing w:after="0" w:line="261" w:lineRule="auto"/>
        <w:tabs>
          <w:tab w:leader="none" w:pos="3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Landlord’s commercially reasonable security requirements, and (iv) the requirements of applicable laws, Tenant shall have access to the Premises twenty-four (24) hours per day, seven (7) days per week throughout the Lease Term.</w:t>
      </w:r>
    </w:p>
    <w:p>
      <w:pPr>
        <w:spacing w:after="0" w:line="183" w:lineRule="exact"/>
        <w:rPr>
          <w:rFonts w:ascii="Arial" w:cs="Arial" w:eastAsia="Arial" w:hAnsi="Arial"/>
          <w:sz w:val="18"/>
          <w:szCs w:val="18"/>
          <w:color w:val="auto"/>
        </w:rPr>
      </w:pPr>
    </w:p>
    <w:p>
      <w:pPr>
        <w:ind w:right="160" w:firstLine="656"/>
        <w:spacing w:after="0" w:line="342" w:lineRule="auto"/>
        <w:tabs>
          <w:tab w:leader="none" w:pos="1304" w:val="left"/>
        </w:tabs>
        <w:numPr>
          <w:ilvl w:val="1"/>
          <w:numId w:val="43"/>
        </w:numPr>
        <w:rPr>
          <w:rFonts w:ascii="Arial" w:cs="Arial" w:eastAsia="Arial" w:hAnsi="Arial"/>
          <w:sz w:val="16"/>
          <w:szCs w:val="16"/>
          <w:color w:val="auto"/>
        </w:rPr>
      </w:pPr>
      <w:r>
        <w:rPr>
          <w:rFonts w:ascii="Arial" w:cs="Arial" w:eastAsia="Arial" w:hAnsi="Arial"/>
          <w:sz w:val="16"/>
          <w:szCs w:val="16"/>
          <w:color w:val="auto"/>
        </w:rPr>
        <w:t>Landlord hereby covenants that, on the Commencement Date, Landlord shall deliver the Premises to Tenant (i) vacant, broom-clean and free of all tenancies and other rights of possession except Tenant’s hereunder; (ii) except for such furniture as Tenant may elect to use pursuant to Paragraph</w:t>
      </w:r>
    </w:p>
    <w:p>
      <w:pPr>
        <w:sectPr>
          <w:pgSz w:w="11900" w:h="16975" w:orient="portrait"/>
          <w:cols w:equalWidth="0" w:num="1">
            <w:col w:w="11400"/>
          </w:cols>
          <w:pgMar w:left="240" w:top="337" w:right="259" w:bottom="0" w:gutter="0" w:footer="0" w:header="0"/>
        </w:sectPr>
      </w:pPr>
    </w:p>
    <w:bookmarkStart w:id="52" w:name="page53"/>
    <w:bookmarkEnd w:id="52"/>
    <w:p>
      <w:pPr>
        <w:spacing w:after="0" w:line="9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47 below, free of all furniture, fixtures, cabling and other personal property of Landlord or any prior occupants of the Premises, (iii) free of all Hazardous Materials (as defined below) in violation of Environmental Laws (as defined below), and (iv) with all Base Building Systems (as defined below) fully functional and in good working order (the “Delivery Condition”). If the Landlord does not deliver the Premises to Tenant in the Delivery Condition, then Landlord shall, after written notice from Tenant, undertake steps to satisfy such Delivery Condition as soon as reasonably possible after Landlord’s receipt of Tenant’s written notice.</w:t>
      </w:r>
    </w:p>
    <w:p>
      <w:pPr>
        <w:spacing w:after="0" w:line="188" w:lineRule="exact"/>
        <w:rPr>
          <w:sz w:val="20"/>
          <w:szCs w:val="20"/>
          <w:color w:val="auto"/>
        </w:rPr>
      </w:pPr>
    </w:p>
    <w:p>
      <w:pPr>
        <w:ind w:right="140" w:firstLine="656"/>
        <w:spacing w:after="0" w:line="284" w:lineRule="auto"/>
        <w:tabs>
          <w:tab w:leader="none" w:pos="1307" w:val="left"/>
        </w:tabs>
        <w:numPr>
          <w:ilvl w:val="1"/>
          <w:numId w:val="44"/>
        </w:numPr>
        <w:rPr>
          <w:rFonts w:ascii="Arial" w:cs="Arial" w:eastAsia="Arial" w:hAnsi="Arial"/>
          <w:sz w:val="16"/>
          <w:szCs w:val="16"/>
          <w:color w:val="auto"/>
        </w:rPr>
      </w:pPr>
      <w:r>
        <w:rPr>
          <w:rFonts w:ascii="Arial" w:cs="Arial" w:eastAsia="Arial" w:hAnsi="Arial"/>
          <w:sz w:val="16"/>
          <w:szCs w:val="16"/>
          <w:color w:val="auto"/>
        </w:rPr>
        <w:t>Landlord hereby warrants that, on the Commencement Date and for a period of one (1) year thereafter (the “Warranty Period”), the HVAC and sewer system serving the Premises shall be in the Warranty Condition (as defined below). During the Warranty Period, Landlord, shall upon receipt of written notice from Tenant during the Warranty Period (a “Warranty Notice”), at Landlord’s sole cost and expense and without reimbursement from Tenant (whether by including such costs in Operating Expenses or otherwise), perform any repairs, replacements or maintenance required to be made to the items covered by such warranty to render the HVAC in compliance with the Warranty Condition, other than in connection with repairs, replacements or maintenance required due to the negligence or willful misconduct of Tenant (the “Warranty Work”). All Warranty Work shall be completed within fifteen</w:t>
      </w:r>
    </w:p>
    <w:p>
      <w:pPr>
        <w:spacing w:after="0" w:line="4" w:lineRule="exact"/>
        <w:rPr>
          <w:rFonts w:ascii="Arial" w:cs="Arial" w:eastAsia="Arial" w:hAnsi="Arial"/>
          <w:sz w:val="16"/>
          <w:szCs w:val="16"/>
          <w:color w:val="auto"/>
        </w:rPr>
      </w:pPr>
    </w:p>
    <w:p>
      <w:pPr>
        <w:ind w:right="60" w:firstLine="8"/>
        <w:spacing w:after="0" w:line="254" w:lineRule="auto"/>
        <w:tabs>
          <w:tab w:leader="none" w:pos="3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days of Landlord’s receipt of a Warranty Notice; provided, however, that if such Warranty Work cannot reasonably be completed within such fifteen (15) day period, then Landlord shall have such additional reasonable period of time to complete the Warranty Work so long as Landlord commences such work within the aforementioned fifteen (15) day period and thereafter diligently prosecutes such Warranty Work until completion. For purposes of this Lease, “Warranty Condition” means that the HVAC and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sewer system (the “Warranty Items”) serving the Premises shall be in good condition and working order.</w:t>
      </w:r>
    </w:p>
    <w:p>
      <w:pPr>
        <w:spacing w:after="0" w:line="225" w:lineRule="exact"/>
        <w:rPr>
          <w:sz w:val="20"/>
          <w:szCs w:val="20"/>
          <w:color w:val="auto"/>
        </w:rPr>
      </w:pPr>
    </w:p>
    <w:p>
      <w:pPr>
        <w:ind w:firstLine="656"/>
        <w:spacing w:after="0" w:line="276" w:lineRule="auto"/>
        <w:tabs>
          <w:tab w:leader="none" w:pos="1304" w:val="left"/>
        </w:tabs>
        <w:numPr>
          <w:ilvl w:val="0"/>
          <w:numId w:val="46"/>
        </w:numPr>
        <w:rPr>
          <w:rFonts w:ascii="Arial" w:cs="Arial" w:eastAsia="Arial" w:hAnsi="Arial"/>
          <w:sz w:val="17"/>
          <w:szCs w:val="17"/>
          <w:color w:val="auto"/>
        </w:rPr>
      </w:pPr>
      <w:r>
        <w:rPr>
          <w:rFonts w:ascii="Arial" w:cs="Arial" w:eastAsia="Arial" w:hAnsi="Arial"/>
          <w:sz w:val="17"/>
          <w:szCs w:val="17"/>
          <w:color w:val="auto"/>
        </w:rPr>
        <w:t>For purposes of this Lease, the “Base Building Systems” means the Building’s heating, ventilation and air conditioning systems and equipment located in or serving the Premises as of the Commencement Date and the Building’s electrical, mechanical, plumbing and fire/life-safety systems located in or serving the Premises as of the Commencement Date (but excluding those systems and the portions of such systems that may be installed or modified by Tenant); the “Base Building Structure” means the Building’s foundation, floor/ceiling slabs, load bearing walls, roof structure and other structural portions of the Building; and the “Base Building” means the Base Building Structure and Base Building Systems.</w:t>
      </w:r>
    </w:p>
    <w:p>
      <w:pPr>
        <w:spacing w:after="0" w:line="172" w:lineRule="exact"/>
        <w:rPr>
          <w:rFonts w:ascii="Arial" w:cs="Arial" w:eastAsia="Arial" w:hAnsi="Arial"/>
          <w:sz w:val="17"/>
          <w:szCs w:val="17"/>
          <w:color w:val="auto"/>
        </w:rPr>
      </w:pPr>
    </w:p>
    <w:p>
      <w:pPr>
        <w:ind w:right="80" w:firstLine="656"/>
        <w:spacing w:after="0" w:line="255" w:lineRule="auto"/>
        <w:tabs>
          <w:tab w:leader="none" w:pos="13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event that Landlord has not delivered possession of the Premises to Tenant in the Delivery Condition by that date which is one hundred fifty (150) days after the Commencement Date (i.e., December 1, 2015) (the “Outside Date”), as such Outside Date may be extended by the number of days of force majeure delays (as described in Paragraph 35), then the sole remedy of Tenant shall be the right to deliver a notice to Landlord (the “Outside Date Termination Notice”) electing to terminate this Lease effective upon receipt of the Outside Date Termination Notice by Landlord (the “Effective Date”); provided, however, that no force majeure delays beyond ninety (90) days shall extend such Outside Date. Except as provided hereinbelow, the Outside Date Termination Notice must be delivered by Tenant to Landlord, if at all, not earlier than the Outside Date and not later than five (5) business days after the Outside Date.</w:t>
      </w:r>
    </w:p>
    <w:p>
      <w:pPr>
        <w:spacing w:after="0" w:line="185" w:lineRule="exact"/>
        <w:rPr>
          <w:sz w:val="20"/>
          <w:szCs w:val="20"/>
          <w:color w:val="auto"/>
        </w:rPr>
      </w:pPr>
    </w:p>
    <w:p>
      <w:pPr>
        <w:spacing w:after="0" w:line="281" w:lineRule="auto"/>
        <w:rPr>
          <w:sz w:val="20"/>
          <w:szCs w:val="20"/>
          <w:color w:val="auto"/>
        </w:rPr>
      </w:pPr>
      <w:r>
        <w:rPr>
          <w:rFonts w:ascii="Arial" w:cs="Arial" w:eastAsia="Arial" w:hAnsi="Arial"/>
          <w:sz w:val="16"/>
          <w:szCs w:val="16"/>
          <w:b w:val="1"/>
          <w:bCs w:val="1"/>
          <w:color w:val="auto"/>
        </w:rPr>
        <w:t>PARAGRAPH 5: RENT</w:t>
      </w:r>
      <w:r>
        <w:rPr>
          <w:rFonts w:ascii="Arial" w:cs="Arial" w:eastAsia="Arial" w:hAnsi="Arial"/>
          <w:sz w:val="16"/>
          <w:szCs w:val="16"/>
          <w:color w:val="auto"/>
        </w:rPr>
        <w:t>: Subject to the abatement provided for in Paragraph 1(c), Tenant shall pay the first full monthly installment of Base Rent</w:t>
      </w:r>
      <w:r>
        <w:rPr>
          <w:rFonts w:ascii="Arial" w:cs="Arial" w:eastAsia="Arial" w:hAnsi="Arial"/>
          <w:sz w:val="16"/>
          <w:szCs w:val="16"/>
          <w:b w:val="1"/>
          <w:bCs w:val="1"/>
          <w:color w:val="auto"/>
        </w:rPr>
        <w:t xml:space="preserve"> </w:t>
      </w:r>
      <w:r>
        <w:rPr>
          <w:rFonts w:ascii="Arial" w:cs="Arial" w:eastAsia="Arial" w:hAnsi="Arial"/>
          <w:sz w:val="16"/>
          <w:szCs w:val="16"/>
          <w:color w:val="auto"/>
        </w:rPr>
        <w:t>on the Rent Commencement Date. If the Rent Commencement Date occurs on a day other than the first day of a calendar month, the Base Rent for such calendar month shall be prorated and the balance of the first month’s Base Rent therefore paid shall be credited against the next monthly installment of Base Rent. Subject to the abatement provided for in Paragraph 1(c), beginning with the first calendar month immediately following the Rent Commencement Date, Tenant shall pay each monthly installment of Base Rent in advance on or before the first calendar day of each month, together with each monthly installment of the Operating Payment, as defined below. Monthly installments for any fractional calendar month, at the beginning or end of the Term, shall be prorated based on the number of days in the month. Tenant shall pay any and all sales, excise and other taxes (excluding Landlord’s income taxes) levied, imposed, or assessed by the United States of America, the State of California, or any political subdivision thereof or other taxing authority upon the Base Rent or any Additional Rent payable hereunder (“Rent Tax”). The Operating Payment, the Rent Tax, and all other payments due under this Lease from Tenant other than Base Rent due hereunder shall be deemed Additional Rent. Base Rent and Additional Rent, together with all other amounts payable by Tenant to Landlord under this Lease, shall be sometimes referred to collectively as “Rent”. Tenant shall pay all Rent to Landlord or Managing Agent at the Rent Payment Address or at such other place designated by Landlord in writing in accordance with Paragraph 43 below. If Tenant fails to make any payment of Rent within five (5) days after such payment is past due, then Tenant shall pay a late charge of four percent (4%) of the amount of the payment, provided, however that no such late charge shall be imposed on the first (1</w:t>
      </w:r>
      <w:r>
        <w:rPr>
          <w:rFonts w:ascii="Arial" w:cs="Arial" w:eastAsia="Arial" w:hAnsi="Arial"/>
          <w:sz w:val="20"/>
          <w:szCs w:val="20"/>
          <w:color w:val="auto"/>
          <w:vertAlign w:val="superscript"/>
        </w:rPr>
        <w:t>st</w:t>
      </w:r>
      <w:r>
        <w:rPr>
          <w:rFonts w:ascii="Arial" w:cs="Arial" w:eastAsia="Arial" w:hAnsi="Arial"/>
          <w:sz w:val="16"/>
          <w:szCs w:val="16"/>
          <w:color w:val="auto"/>
        </w:rPr>
        <w:t>) past due payment in any twelve (12) month period. Such late charge shall constitute Rent, and shall be due immediately. Such late charge shall be in addition to, and not in lieu of, all other rights and remedies provided to Landlord in this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Lease. In addition, Tenant shall pay Landlord interest on any and all amounts past due from the date due at the lesser of (1) the prime rate (as listed in the Wall Street Journal) plus 4% or (2) the maximum rate of interest permitted by law.</w:t>
      </w:r>
    </w:p>
    <w:p>
      <w:pPr>
        <w:spacing w:after="0" w:line="16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PARAGRAPH 6: OPERATING EXPENSES</w:t>
      </w:r>
      <w:r>
        <w:rPr>
          <w:rFonts w:ascii="Arial" w:cs="Arial" w:eastAsia="Arial" w:hAnsi="Arial"/>
          <w:sz w:val="18"/>
          <w:szCs w:val="18"/>
          <w:color w:val="auto"/>
        </w:rPr>
        <w:t>: If Operating Expenses (hereinafter defined) for any calendar year during the Term subsequent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Base Operating Year exceed the Operating Expenses for the Base Operating Year, Tenant shall pay Landlord, as Additional Rent, Tenant’s Share of such excess Operating Expenses (the “Operating Payment”) pursuant to this Paragraph.</w:t>
      </w:r>
    </w:p>
    <w:p>
      <w:pPr>
        <w:spacing w:after="0" w:line="180" w:lineRule="exact"/>
        <w:rPr>
          <w:sz w:val="20"/>
          <w:szCs w:val="20"/>
          <w:color w:val="auto"/>
        </w:rPr>
      </w:pPr>
    </w:p>
    <w:p>
      <w:pPr>
        <w:ind w:right="80" w:firstLine="656"/>
        <w:spacing w:after="0" w:line="287" w:lineRule="auto"/>
        <w:tabs>
          <w:tab w:leader="none" w:pos="1294" w:val="left"/>
        </w:tabs>
        <w:numPr>
          <w:ilvl w:val="0"/>
          <w:numId w:val="47"/>
        </w:numPr>
        <w:rPr>
          <w:rFonts w:ascii="Arial" w:cs="Arial" w:eastAsia="Arial" w:hAnsi="Arial"/>
          <w:sz w:val="16"/>
          <w:szCs w:val="16"/>
          <w:color w:val="auto"/>
        </w:rPr>
      </w:pPr>
      <w:r>
        <w:rPr>
          <w:rFonts w:ascii="Arial" w:cs="Arial" w:eastAsia="Arial" w:hAnsi="Arial"/>
          <w:sz w:val="16"/>
          <w:szCs w:val="16"/>
          <w:color w:val="auto"/>
        </w:rPr>
        <w:t>“Operating Expenses” shall mean the aggregate of those costs and expenses paid or incurred by or on behalf of Landlord during the Term, whether structural, non-structural, foreseen or unforeseen, but without duplication, relating to the ownership, maintenance, repair and operation of the Premises or the Property and related facilities, the sidewalks or areas adjacent thereto or any other areas related to the Property for which Landlord shall have a repair or maintenance obligation, excluding those costs and expenses for which individual tenants are directly responsible and those costs and expenses excluded by Paragraph 6(b) below. Without limiting the generality of the foregoing, Operating Expenses shall include, to the extent incurred with respect to the Property, all taxes (including, but not limited to, Real Estate Taxes (as defined in Paragraph 7), sales, use, local business license, personal property or other taxes (excluding Landlord’s income taxes and the other taxes excluded in Paragraph 6(b) below), fees, assessments, and governmental charges levied, taxing the Property or its operation (“Taxes”) for any whole or partial tax year or period occurring during the Term as well as all expenses incurred in obtaining a refund of or contesting any Taxes; utilities serving the Building and not separately paid by tenants or other occupants and not reimbursed to Landlord by tenants or other occupants; insurance premiums and deductibles paid under Landlord’s Property Insurance (as defined below); maintenance, repairs and replacements; refurbishing and repainting; cleaning, janitorial, window washing and other services; equipment, tools, materials and supplies and the maintenance thereof; air conditioning, ventilation, heating, and elevator service; security; resealing and restriping of walks, drives, and parking areas;</w:t>
      </w:r>
    </w:p>
    <w:p>
      <w:pPr>
        <w:sectPr>
          <w:pgSz w:w="11900" w:h="16930" w:orient="portrait"/>
          <w:cols w:equalWidth="0" w:num="1">
            <w:col w:w="11420"/>
          </w:cols>
          <w:pgMar w:left="240" w:top="125" w:right="239" w:bottom="0" w:gutter="0" w:footer="0" w:header="0"/>
        </w:sectPr>
      </w:pPr>
    </w:p>
    <w:bookmarkStart w:id="53" w:name="page54"/>
    <w:bookmarkEnd w:id="53"/>
    <w:p>
      <w:pPr>
        <w:spacing w:after="0" w:line="287" w:lineRule="auto"/>
        <w:rPr>
          <w:sz w:val="20"/>
          <w:szCs w:val="20"/>
          <w:color w:val="auto"/>
        </w:rPr>
      </w:pPr>
      <w:r>
        <w:rPr>
          <w:rFonts w:ascii="Arial" w:cs="Arial" w:eastAsia="Arial" w:hAnsi="Arial"/>
          <w:sz w:val="16"/>
          <w:szCs w:val="16"/>
          <w:color w:val="auto"/>
        </w:rPr>
        <w:t>signs, directories and markers; landscaping and maintenance; snow and rubbish removal; common area maintenance; maintenance of the roof and mechanical systems; the costs and accounting fees of property level audits; commercially reasonable fees for property management (not to exceed three percent (3%) of the annual gross revenues of the Building) (the “Management Fee”). If less than ninety-five percent (95%) of the Total Building Rentable Square Footage is leased or if building standard services are not provided to the entire Building for any period during the Term (including the Base Operating Year), variable components of Operating Expenses for such period shall be adjusted by Landlord to the reasonably approximate Operating Expenses which would have been incurred if the Building had been at least ninety-five percent (95%) leased and occupied (as such Operating Expenses are reasonably determined by Landlord using sound accounting and management principles). For purposes of this Paragraph, variable components include only those component expenses that are affected by variations in occupancy levels such as, without limitation, the cost and expense of electricity and other utilities. In adjusting the variable components of Operating Expenses to reflect ninety-five percent (95%) occupancy of the Building, Landlord shall fairly allocate variable Operating Expenses so that: (i) Landlord does not make a profit from that adjustment; and the Operating Expenses are no greater than the amount that would have been paid or incurred had the Building been ninety-five percent (95%) leased and occupied.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Notwithstanding anything to the contrary, herein Operating Expenses shall not include:</w:t>
      </w:r>
    </w:p>
    <w:p>
      <w:pPr>
        <w:spacing w:after="0" w:line="225" w:lineRule="exact"/>
        <w:rPr>
          <w:rFonts w:ascii="Arial" w:cs="Arial" w:eastAsia="Arial" w:hAnsi="Arial"/>
          <w:sz w:val="18"/>
          <w:szCs w:val="18"/>
          <w:color w:val="auto"/>
        </w:rPr>
      </w:pPr>
    </w:p>
    <w:p>
      <w:pPr>
        <w:ind w:left="2040" w:hanging="654"/>
        <w:spacing w:after="0"/>
        <w:tabs>
          <w:tab w:leader="none" w:pos="2040" w:val="left"/>
        </w:tabs>
        <w:numPr>
          <w:ilvl w:val="2"/>
          <w:numId w:val="48"/>
        </w:numPr>
        <w:rPr>
          <w:rFonts w:ascii="Arial" w:cs="Arial" w:eastAsia="Arial" w:hAnsi="Arial"/>
          <w:sz w:val="17"/>
          <w:szCs w:val="17"/>
          <w:color w:val="auto"/>
        </w:rPr>
      </w:pPr>
      <w:r>
        <w:rPr>
          <w:rFonts w:ascii="Arial" w:cs="Arial" w:eastAsia="Arial" w:hAnsi="Arial"/>
          <w:sz w:val="17"/>
          <w:szCs w:val="17"/>
          <w:color w:val="auto"/>
        </w:rPr>
        <w:t>Leasing commissions, attorneys’ fees, costs and disbursements and other expenses which are incurred in connection with</w:t>
      </w:r>
    </w:p>
    <w:p>
      <w:pPr>
        <w:spacing w:after="0" w:line="34" w:lineRule="exact"/>
        <w:rPr>
          <w:rFonts w:ascii="Arial" w:cs="Arial" w:eastAsia="Arial" w:hAnsi="Arial"/>
          <w:sz w:val="17"/>
          <w:szCs w:val="17"/>
          <w:color w:val="auto"/>
        </w:rPr>
      </w:pPr>
    </w:p>
    <w:p>
      <w:pPr>
        <w:ind w:left="80" w:right="460" w:firstLine="9"/>
        <w:spacing w:after="0" w:line="261" w:lineRule="auto"/>
        <w:tabs>
          <w:tab w:leader="none" w:pos="325"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negotiations, mediation, arbitration or litigation to enforce or interpret leases or other occupancy agreements or (b) disputes with prior, existing and prospective tenants or other occupants;</w:t>
      </w:r>
    </w:p>
    <w:p>
      <w:pPr>
        <w:spacing w:after="0" w:line="183" w:lineRule="exact"/>
        <w:rPr>
          <w:rFonts w:ascii="Arial" w:cs="Arial" w:eastAsia="Arial" w:hAnsi="Arial"/>
          <w:sz w:val="18"/>
          <w:szCs w:val="18"/>
          <w:color w:val="auto"/>
        </w:rPr>
      </w:pPr>
    </w:p>
    <w:p>
      <w:pPr>
        <w:ind w:left="80" w:right="420" w:firstLine="1306"/>
        <w:spacing w:after="0" w:line="277" w:lineRule="auto"/>
        <w:tabs>
          <w:tab w:leader="none" w:pos="2025" w:val="left"/>
        </w:tabs>
        <w:numPr>
          <w:ilvl w:val="2"/>
          <w:numId w:val="49"/>
        </w:numPr>
        <w:rPr>
          <w:rFonts w:ascii="Arial" w:cs="Arial" w:eastAsia="Arial" w:hAnsi="Arial"/>
          <w:sz w:val="18"/>
          <w:szCs w:val="18"/>
          <w:color w:val="auto"/>
        </w:rPr>
      </w:pPr>
      <w:r>
        <w:rPr>
          <w:rFonts w:ascii="Arial" w:cs="Arial" w:eastAsia="Arial" w:hAnsi="Arial"/>
          <w:sz w:val="18"/>
          <w:szCs w:val="18"/>
          <w:color w:val="auto"/>
        </w:rPr>
        <w:t>Real estate brokerage and leasing commissions, consulting and marketing fees, vacancy costs, rent concessions, allowances, tenant improvement costs and other tenant inducement costs or expenses;</w:t>
      </w:r>
    </w:p>
    <w:p>
      <w:pPr>
        <w:spacing w:after="0" w:line="170" w:lineRule="exact"/>
        <w:rPr>
          <w:rFonts w:ascii="Arial" w:cs="Arial" w:eastAsia="Arial" w:hAnsi="Arial"/>
          <w:sz w:val="18"/>
          <w:szCs w:val="18"/>
          <w:color w:val="auto"/>
        </w:rPr>
      </w:pPr>
    </w:p>
    <w:p>
      <w:pPr>
        <w:ind w:left="80" w:right="120" w:firstLine="1306"/>
        <w:spacing w:after="0" w:line="264" w:lineRule="auto"/>
        <w:tabs>
          <w:tab w:leader="none" w:pos="2025" w:val="left"/>
        </w:tabs>
        <w:numPr>
          <w:ilvl w:val="2"/>
          <w:numId w:val="49"/>
        </w:numPr>
        <w:rPr>
          <w:rFonts w:ascii="Arial" w:cs="Arial" w:eastAsia="Arial" w:hAnsi="Arial"/>
          <w:sz w:val="18"/>
          <w:szCs w:val="18"/>
          <w:color w:val="auto"/>
        </w:rPr>
      </w:pPr>
      <w:r>
        <w:rPr>
          <w:rFonts w:ascii="Arial" w:cs="Arial" w:eastAsia="Arial" w:hAnsi="Arial"/>
          <w:sz w:val="18"/>
          <w:szCs w:val="18"/>
          <w:color w:val="auto"/>
        </w:rPr>
        <w:t>Landlord’s costs of electricity and other services sold or furnished separately to tenants or other occupants for which Landlord is entitled to be actually reimbursed by such tenants as an additional charge over and above any base rent and operating expense payable under the lease or agreement with such tenant or occupant;</w:t>
      </w:r>
    </w:p>
    <w:p>
      <w:pPr>
        <w:spacing w:after="0" w:line="181" w:lineRule="exact"/>
        <w:rPr>
          <w:rFonts w:ascii="Arial" w:cs="Arial" w:eastAsia="Arial" w:hAnsi="Arial"/>
          <w:sz w:val="18"/>
          <w:szCs w:val="18"/>
          <w:color w:val="auto"/>
        </w:rPr>
      </w:pPr>
    </w:p>
    <w:p>
      <w:pPr>
        <w:ind w:left="2040" w:hanging="654"/>
        <w:spacing w:after="0"/>
        <w:tabs>
          <w:tab w:leader="none" w:pos="20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Landlord’s income, excise corporation, partnership, LLC, sales, transfer, gross receipts and franchise taxes;</w:t>
      </w:r>
    </w:p>
    <w:p>
      <w:pPr>
        <w:spacing w:after="0" w:line="225" w:lineRule="exact"/>
        <w:rPr>
          <w:rFonts w:ascii="Arial" w:cs="Arial" w:eastAsia="Arial" w:hAnsi="Arial"/>
          <w:sz w:val="18"/>
          <w:szCs w:val="18"/>
          <w:color w:val="auto"/>
        </w:rPr>
      </w:pPr>
    </w:p>
    <w:p>
      <w:pPr>
        <w:ind w:left="2040" w:hanging="654"/>
        <w:spacing w:after="0"/>
        <w:tabs>
          <w:tab w:leader="none" w:pos="20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Interest or income tax accounting; interest, depreciation, or amortization payments;</w:t>
      </w:r>
    </w:p>
    <w:p>
      <w:pPr>
        <w:spacing w:after="0" w:line="225" w:lineRule="exact"/>
        <w:rPr>
          <w:rFonts w:ascii="Arial" w:cs="Arial" w:eastAsia="Arial" w:hAnsi="Arial"/>
          <w:sz w:val="18"/>
          <w:szCs w:val="18"/>
          <w:color w:val="auto"/>
        </w:rPr>
      </w:pPr>
    </w:p>
    <w:p>
      <w:pPr>
        <w:ind w:left="80" w:right="140" w:firstLine="1306"/>
        <w:spacing w:after="0" w:line="312" w:lineRule="auto"/>
        <w:tabs>
          <w:tab w:leader="none" w:pos="2025" w:val="left"/>
        </w:tabs>
        <w:numPr>
          <w:ilvl w:val="2"/>
          <w:numId w:val="49"/>
        </w:numPr>
        <w:rPr>
          <w:rFonts w:ascii="Arial" w:cs="Arial" w:eastAsia="Arial" w:hAnsi="Arial"/>
          <w:sz w:val="16"/>
          <w:szCs w:val="16"/>
          <w:color w:val="auto"/>
        </w:rPr>
      </w:pPr>
      <w:r>
        <w:rPr>
          <w:rFonts w:ascii="Arial" w:cs="Arial" w:eastAsia="Arial" w:hAnsi="Arial"/>
          <w:sz w:val="16"/>
          <w:szCs w:val="16"/>
          <w:color w:val="auto"/>
        </w:rPr>
        <w:t>Landlord’s general corporate, partnership or LLC overhead and general administrative expenses, including the salaries of management personnel who are not directly related to the Building and primarily engaged in the operation, maintenance, and repair of the Building, except to the extent that those costs and expenses are included in the management fees or otherwise equitably allocated by Landlord to the Property;</w:t>
      </w:r>
    </w:p>
    <w:p>
      <w:pPr>
        <w:spacing w:after="0" w:line="146" w:lineRule="exact"/>
        <w:rPr>
          <w:rFonts w:ascii="Arial" w:cs="Arial" w:eastAsia="Arial" w:hAnsi="Arial"/>
          <w:sz w:val="16"/>
          <w:szCs w:val="16"/>
          <w:color w:val="auto"/>
        </w:rPr>
      </w:pPr>
    </w:p>
    <w:p>
      <w:pPr>
        <w:jc w:val="both"/>
        <w:ind w:left="80" w:right="180" w:firstLine="1306"/>
        <w:spacing w:after="0" w:line="264" w:lineRule="auto"/>
        <w:tabs>
          <w:tab w:leader="none" w:pos="2025" w:val="left"/>
        </w:tabs>
        <w:numPr>
          <w:ilvl w:val="2"/>
          <w:numId w:val="49"/>
        </w:numPr>
        <w:rPr>
          <w:rFonts w:ascii="Arial" w:cs="Arial" w:eastAsia="Arial" w:hAnsi="Arial"/>
          <w:sz w:val="18"/>
          <w:szCs w:val="18"/>
          <w:color w:val="auto"/>
        </w:rPr>
      </w:pPr>
      <w:r>
        <w:rPr>
          <w:rFonts w:ascii="Arial" w:cs="Arial" w:eastAsia="Arial" w:hAnsi="Arial"/>
          <w:sz w:val="18"/>
          <w:szCs w:val="18"/>
          <w:color w:val="auto"/>
        </w:rPr>
        <w:t>Wages, salaries, and other compensation paid to any employee of Landlord or Landlord’s property manager above the grade of building manager (or person functioning as building manager) for the Building or paid to any off-site personnel (unless such costs of off-site personnel are equitably allocated by Landlord to the Property);</w:t>
      </w:r>
    </w:p>
    <w:p>
      <w:pPr>
        <w:spacing w:after="0" w:line="181" w:lineRule="exact"/>
        <w:rPr>
          <w:rFonts w:ascii="Arial" w:cs="Arial" w:eastAsia="Arial" w:hAnsi="Arial"/>
          <w:sz w:val="18"/>
          <w:szCs w:val="18"/>
          <w:color w:val="auto"/>
        </w:rPr>
      </w:pPr>
    </w:p>
    <w:p>
      <w:pPr>
        <w:ind w:left="80" w:right="840" w:firstLine="1306"/>
        <w:spacing w:after="0" w:line="277" w:lineRule="auto"/>
        <w:tabs>
          <w:tab w:leader="none" w:pos="2025" w:val="left"/>
        </w:tabs>
        <w:numPr>
          <w:ilvl w:val="2"/>
          <w:numId w:val="49"/>
        </w:numPr>
        <w:rPr>
          <w:rFonts w:ascii="Arial" w:cs="Arial" w:eastAsia="Arial" w:hAnsi="Arial"/>
          <w:sz w:val="18"/>
          <w:szCs w:val="18"/>
          <w:color w:val="auto"/>
        </w:rPr>
      </w:pPr>
      <w:r>
        <w:rPr>
          <w:rFonts w:ascii="Arial" w:cs="Arial" w:eastAsia="Arial" w:hAnsi="Arial"/>
          <w:sz w:val="18"/>
          <w:szCs w:val="18"/>
          <w:color w:val="auto"/>
        </w:rPr>
        <w:t>Costs of defending or bringing any lawsuits with any mortgagee or lender; and costs of selling, syndication, financing, mortgaging or hypothecating any of Landlord’s interest in the Property;</w:t>
      </w:r>
    </w:p>
    <w:p>
      <w:pPr>
        <w:spacing w:after="0" w:line="170" w:lineRule="exact"/>
        <w:rPr>
          <w:rFonts w:ascii="Arial" w:cs="Arial" w:eastAsia="Arial" w:hAnsi="Arial"/>
          <w:sz w:val="18"/>
          <w:szCs w:val="18"/>
          <w:color w:val="auto"/>
        </w:rPr>
      </w:pPr>
    </w:p>
    <w:p>
      <w:pPr>
        <w:ind w:left="80" w:right="40" w:firstLine="1306"/>
        <w:spacing w:after="0" w:line="257" w:lineRule="auto"/>
        <w:tabs>
          <w:tab w:leader="none" w:pos="2025"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cost of replacements and capital improvements to the Building or Property, except for capital improvements installed after the Commencement Date for the purpose of reducing Building expenses or required by any governmental authority having or asserting jurisdiction over the Building which requirements are first effective after the Commencement Date, the cost of which shall be amortized over the useful life of such replacements or improvements as determined by generally accepted accounting principles, and Tenant shall be responsible only for the amortized costs falling within the Term;</w:t>
      </w:r>
    </w:p>
    <w:p>
      <w:pPr>
        <w:spacing w:after="0" w:line="188" w:lineRule="exact"/>
        <w:rPr>
          <w:rFonts w:ascii="Arial" w:cs="Arial" w:eastAsia="Arial" w:hAnsi="Arial"/>
          <w:sz w:val="18"/>
          <w:szCs w:val="18"/>
          <w:color w:val="auto"/>
        </w:rPr>
      </w:pPr>
    </w:p>
    <w:p>
      <w:pPr>
        <w:ind w:left="2020" w:hanging="634"/>
        <w:spacing w:after="0"/>
        <w:tabs>
          <w:tab w:leader="none" w:pos="20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Charitable and political contributions and advertising and promotional expenses;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right="580" w:firstLine="1306"/>
        <w:spacing w:after="0" w:line="277" w:lineRule="auto"/>
        <w:tabs>
          <w:tab w:leader="none" w:pos="20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Repair or other work occasioned by fire, windstorm, or other insurable casualties and repairs or rebuilding necessitated by condemnation for which Landlord receives compensation;</w:t>
      </w:r>
    </w:p>
    <w:p>
      <w:pPr>
        <w:spacing w:after="0" w:line="170" w:lineRule="exact"/>
        <w:rPr>
          <w:rFonts w:ascii="Arial" w:cs="Arial" w:eastAsia="Arial" w:hAnsi="Arial"/>
          <w:sz w:val="18"/>
          <w:szCs w:val="18"/>
          <w:color w:val="auto"/>
        </w:rPr>
      </w:pPr>
    </w:p>
    <w:p>
      <w:pPr>
        <w:ind w:left="80" w:right="620" w:firstLine="1306"/>
        <w:spacing w:after="0" w:line="277" w:lineRule="auto"/>
        <w:tabs>
          <w:tab w:leader="none" w:pos="2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cost, fines, or penalties incurred due to violations by Landlord or any other tenant or occupant of the Building of any governmental rule or authority;</w:t>
      </w:r>
    </w:p>
    <w:p>
      <w:pPr>
        <w:spacing w:after="0" w:line="170" w:lineRule="exact"/>
        <w:rPr>
          <w:rFonts w:ascii="Arial" w:cs="Arial" w:eastAsia="Arial" w:hAnsi="Arial"/>
          <w:sz w:val="18"/>
          <w:szCs w:val="18"/>
          <w:color w:val="auto"/>
        </w:rPr>
      </w:pPr>
    </w:p>
    <w:p>
      <w:pPr>
        <w:ind w:left="80" w:right="220" w:firstLine="1306"/>
        <w:spacing w:after="0" w:line="277" w:lineRule="auto"/>
        <w:tabs>
          <w:tab w:leader="none" w:pos="2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particular items and services for which Tenant otherwise reimburses Landlord by direct payment over and above base rent and operating expense adjustments;</w:t>
      </w:r>
    </w:p>
    <w:p>
      <w:pPr>
        <w:spacing w:after="0" w:line="170" w:lineRule="exact"/>
        <w:rPr>
          <w:rFonts w:ascii="Arial" w:cs="Arial" w:eastAsia="Arial" w:hAnsi="Arial"/>
          <w:sz w:val="18"/>
          <w:szCs w:val="18"/>
          <w:color w:val="auto"/>
        </w:rPr>
      </w:pPr>
    </w:p>
    <w:p>
      <w:pPr>
        <w:ind w:left="80" w:right="240" w:firstLine="1306"/>
        <w:spacing w:after="0" w:line="264" w:lineRule="auto"/>
        <w:tabs>
          <w:tab w:leader="none" w:pos="2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Unless required by a lender with a deed of trust encumbering the Property, the cost of any terrorism or flood insurance policies and any deductibles payable or paid under such policies, and, unless required by a lender with a deed of trust encumbering the Property, the cost of any insurance other than the Landlord Required Insurance;</w:t>
      </w:r>
    </w:p>
    <w:p>
      <w:pPr>
        <w:spacing w:after="0" w:line="181" w:lineRule="exact"/>
        <w:rPr>
          <w:rFonts w:ascii="Arial" w:cs="Arial" w:eastAsia="Arial" w:hAnsi="Arial"/>
          <w:sz w:val="18"/>
          <w:szCs w:val="18"/>
          <w:color w:val="auto"/>
        </w:rPr>
      </w:pPr>
    </w:p>
    <w:p>
      <w:pPr>
        <w:ind w:left="80" w:right="260" w:firstLine="1306"/>
        <w:spacing w:after="0" w:line="259" w:lineRule="auto"/>
        <w:tabs>
          <w:tab w:leader="none" w:pos="2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Rentals and other related expenses incurred in leasing air conditioning systems, elevators or other equipment ordinarily considered to be of a capital nature if purchased, except to the extent such amounts would not have been excluded from Operating Expenses pursuant to Subparagraph 9 above, excepting from this exclusion such equipment rented or leased to remedy or ameliorate an emergency condition in the Building or any part thereof;</w:t>
      </w:r>
    </w:p>
    <w:p>
      <w:pPr>
        <w:spacing w:after="0" w:line="186" w:lineRule="exact"/>
        <w:rPr>
          <w:rFonts w:ascii="Arial" w:cs="Arial" w:eastAsia="Arial" w:hAnsi="Arial"/>
          <w:sz w:val="18"/>
          <w:szCs w:val="18"/>
          <w:color w:val="auto"/>
        </w:rPr>
      </w:pPr>
    </w:p>
    <w:p>
      <w:pPr>
        <w:ind w:left="2020" w:hanging="634"/>
        <w:spacing w:after="0"/>
        <w:tabs>
          <w:tab w:leader="none" w:pos="2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Management fees other than the Management Fee;</w:t>
      </w:r>
    </w:p>
    <w:p>
      <w:pPr>
        <w:sectPr>
          <w:pgSz w:w="11900" w:h="16838" w:orient="portrait"/>
          <w:cols w:equalWidth="0" w:num="1">
            <w:col w:w="11400"/>
          </w:cols>
          <w:pgMar w:left="240" w:top="125" w:right="259" w:bottom="0" w:gutter="0" w:footer="0" w:header="0"/>
        </w:sectPr>
      </w:pPr>
    </w:p>
    <w:bookmarkStart w:id="54" w:name="page55"/>
    <w:bookmarkEnd w:id="54"/>
    <w:p>
      <w:pPr>
        <w:spacing w:after="0" w:line="94" w:lineRule="exact"/>
        <w:rPr>
          <w:sz w:val="20"/>
          <w:szCs w:val="20"/>
          <w:color w:val="auto"/>
        </w:rPr>
      </w:pPr>
    </w:p>
    <w:p>
      <w:pPr>
        <w:ind w:left="2020" w:hanging="634"/>
        <w:spacing w:after="0"/>
        <w:tabs>
          <w:tab w:leader="none" w:pos="2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Debt service, interest, amortization or other payments on any loans, mortgage, debts, notes or deeds of trust affecting or secured</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the Property;</w:t>
      </w:r>
    </w:p>
    <w:p>
      <w:pPr>
        <w:spacing w:after="0" w:line="211" w:lineRule="exact"/>
        <w:rPr>
          <w:sz w:val="20"/>
          <w:szCs w:val="20"/>
          <w:color w:val="auto"/>
        </w:rPr>
      </w:pPr>
    </w:p>
    <w:p>
      <w:pPr>
        <w:ind w:left="2020" w:hanging="634"/>
        <w:spacing w:after="0"/>
        <w:tabs>
          <w:tab w:leader="none" w:pos="2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bad debt loss, rent loss, or reserves for bad debts or rent loss;</w:t>
      </w:r>
    </w:p>
    <w:p>
      <w:pPr>
        <w:spacing w:after="0" w:line="225" w:lineRule="exact"/>
        <w:rPr>
          <w:rFonts w:ascii="Arial" w:cs="Arial" w:eastAsia="Arial" w:hAnsi="Arial"/>
          <w:sz w:val="18"/>
          <w:szCs w:val="18"/>
          <w:color w:val="auto"/>
        </w:rPr>
      </w:pPr>
    </w:p>
    <w:p>
      <w:pPr>
        <w:ind w:left="80" w:right="20" w:firstLine="1306"/>
        <w:spacing w:after="0" w:line="264" w:lineRule="auto"/>
        <w:tabs>
          <w:tab w:leader="none" w:pos="2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Deductibles for insurance other than commercially reasonable deductibles for “Special Form” property insurance or its equivalent (provided, however, that Tenant’s Share of any earthquake deductible or occurrence of uninsured or underinsured earthquake damage shall not exceed $150,000 per year (with such deductible amounts to be amortized over the Lease Term);</w:t>
      </w:r>
    </w:p>
    <w:p>
      <w:pPr>
        <w:spacing w:after="0" w:line="181" w:lineRule="exact"/>
        <w:rPr>
          <w:rFonts w:ascii="Arial" w:cs="Arial" w:eastAsia="Arial" w:hAnsi="Arial"/>
          <w:sz w:val="18"/>
          <w:szCs w:val="18"/>
          <w:color w:val="auto"/>
        </w:rPr>
      </w:pPr>
    </w:p>
    <w:p>
      <w:pPr>
        <w:jc w:val="both"/>
        <w:ind w:left="80" w:right="120" w:firstLine="1306"/>
        <w:spacing w:after="0" w:line="342" w:lineRule="auto"/>
        <w:tabs>
          <w:tab w:leader="none" w:pos="2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Costs, including attorneys’ fees and costs of settlement, judgments and payments in lieu thereof, arising from claims, disputes or potential disputes in connection with potential or actual claims, litigation or arbitrations pertaining to Landlord, the Premises, the Building or the Property;</w:t>
      </w:r>
    </w:p>
    <w:p>
      <w:pPr>
        <w:spacing w:after="0" w:line="123" w:lineRule="exact"/>
        <w:rPr>
          <w:rFonts w:ascii="Arial" w:cs="Arial" w:eastAsia="Arial" w:hAnsi="Arial"/>
          <w:sz w:val="16"/>
          <w:szCs w:val="16"/>
          <w:color w:val="auto"/>
        </w:rPr>
      </w:pPr>
    </w:p>
    <w:p>
      <w:pPr>
        <w:ind w:left="2020" w:hanging="634"/>
        <w:spacing w:after="0"/>
        <w:tabs>
          <w:tab w:leader="none" w:pos="2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Fines and penalties; and</w:t>
      </w:r>
    </w:p>
    <w:p>
      <w:pPr>
        <w:spacing w:after="0" w:line="225" w:lineRule="exact"/>
        <w:rPr>
          <w:rFonts w:ascii="Arial" w:cs="Arial" w:eastAsia="Arial" w:hAnsi="Arial"/>
          <w:sz w:val="18"/>
          <w:szCs w:val="18"/>
          <w:color w:val="auto"/>
        </w:rPr>
      </w:pPr>
    </w:p>
    <w:p>
      <w:pPr>
        <w:ind w:left="2020" w:hanging="634"/>
        <w:spacing w:after="0"/>
        <w:tabs>
          <w:tab w:leader="none" w:pos="2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of sculpture, paintings, fountains or other objects of art;</w:t>
      </w:r>
    </w:p>
    <w:p>
      <w:pPr>
        <w:spacing w:after="0" w:line="225" w:lineRule="exact"/>
        <w:rPr>
          <w:rFonts w:ascii="Arial" w:cs="Arial" w:eastAsia="Arial" w:hAnsi="Arial"/>
          <w:sz w:val="18"/>
          <w:szCs w:val="18"/>
          <w:color w:val="auto"/>
        </w:rPr>
      </w:pPr>
    </w:p>
    <w:p>
      <w:pPr>
        <w:ind w:left="80" w:right="340" w:firstLine="1306"/>
        <w:spacing w:after="0" w:line="277" w:lineRule="auto"/>
        <w:tabs>
          <w:tab w:leader="none" w:pos="2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(including attorney’s fees and settlement fees) incurred by Landlord due to Landlord’s failure to observe or perform the terms and conditions of this Lease;</w:t>
      </w:r>
    </w:p>
    <w:p>
      <w:pPr>
        <w:spacing w:after="0" w:line="170" w:lineRule="exact"/>
        <w:rPr>
          <w:rFonts w:ascii="Arial" w:cs="Arial" w:eastAsia="Arial" w:hAnsi="Arial"/>
          <w:sz w:val="18"/>
          <w:szCs w:val="18"/>
          <w:color w:val="auto"/>
        </w:rPr>
      </w:pPr>
    </w:p>
    <w:p>
      <w:pPr>
        <w:ind w:left="2020" w:hanging="634"/>
        <w:spacing w:after="0"/>
        <w:tabs>
          <w:tab w:leader="none" w:pos="2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Costs incurred in connection with or as a result of the negligence or willful misconduct of Landlord or its agents, employees or</w:t>
      </w:r>
    </w:p>
    <w:p>
      <w:pPr>
        <w:spacing w:after="0" w:line="46"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contractors;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right="260" w:firstLine="1306"/>
        <w:spacing w:after="0" w:line="277" w:lineRule="auto"/>
        <w:tabs>
          <w:tab w:leader="none" w:pos="2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Costs relating to a failure of the Premises, Building or Property or any part thereto to comply, as of the date of this Lease, with any applicable codes, regulations or laws;</w:t>
      </w:r>
    </w:p>
    <w:p>
      <w:pPr>
        <w:spacing w:after="0" w:line="170" w:lineRule="exact"/>
        <w:rPr>
          <w:rFonts w:ascii="Arial" w:cs="Arial" w:eastAsia="Arial" w:hAnsi="Arial"/>
          <w:sz w:val="18"/>
          <w:szCs w:val="18"/>
          <w:color w:val="auto"/>
        </w:rPr>
      </w:pPr>
    </w:p>
    <w:p>
      <w:pPr>
        <w:ind w:left="80" w:firstLine="1306"/>
        <w:spacing w:after="0" w:line="255" w:lineRule="auto"/>
        <w:tabs>
          <w:tab w:leader="none" w:pos="2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Costs incurred to comply with applicable laws with respect to the cleanup, removal, investigation and/or remediation of any Hazardous Materials in, on or under the Property, Premises and/or the Building to the extent such Hazardous Materials are: (1) in existence as of the Commencement Date; or (2) introduced onto the Property, the Premises and/or the Building after the Commencement Date by Landlord or any of Landlord’s agents, employees, contractors or other tenants in violation of applicable laws in effect at the date of introduction, and were of such a nature that a federal, state or municipal governmental or quasi-governmental authority, if it had then had knowledge of the presence of such Hazardous Materials, in the state and under the conditions that the same existed in the Premises, the Building or on the Property, would have then required removal, remediation or other action with respect to such Hazardous Materials;</w:t>
      </w:r>
    </w:p>
    <w:p>
      <w:pPr>
        <w:spacing w:after="0" w:line="189" w:lineRule="exact"/>
        <w:rPr>
          <w:rFonts w:ascii="Arial" w:cs="Arial" w:eastAsia="Arial" w:hAnsi="Arial"/>
          <w:sz w:val="18"/>
          <w:szCs w:val="18"/>
          <w:color w:val="auto"/>
        </w:rPr>
      </w:pPr>
    </w:p>
    <w:p>
      <w:pPr>
        <w:ind w:left="80" w:right="260" w:firstLine="1306"/>
        <w:spacing w:after="0" w:line="277" w:lineRule="auto"/>
        <w:tabs>
          <w:tab w:leader="none" w:pos="2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Costs incurred to repair and maintain the structural portions of the Building including, without limitation, the foundation, floor slabs, exterior walls, load bearing walls, and roof structure;</w:t>
      </w:r>
    </w:p>
    <w:p>
      <w:pPr>
        <w:spacing w:after="0" w:line="170" w:lineRule="exact"/>
        <w:rPr>
          <w:rFonts w:ascii="Arial" w:cs="Arial" w:eastAsia="Arial" w:hAnsi="Arial"/>
          <w:sz w:val="18"/>
          <w:szCs w:val="18"/>
          <w:color w:val="auto"/>
        </w:rPr>
      </w:pPr>
    </w:p>
    <w:p>
      <w:pPr>
        <w:ind w:left="80" w:right="460" w:firstLine="1306"/>
        <w:spacing w:after="0" w:line="264" w:lineRule="auto"/>
        <w:tabs>
          <w:tab w:leader="none" w:pos="2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Profit increments paid to Landlord’s subsidiaries or affiliates for management or other services on or to the Building or for supplies or other materials to the extent that the cost of the services, supplies, or materials exceeds the cost that would have been paid had the services, supplies, or materials been provided by unaffiliated parties on a competitive basis;</w:t>
      </w:r>
    </w:p>
    <w:p>
      <w:pPr>
        <w:spacing w:after="0" w:line="181" w:lineRule="exact"/>
        <w:rPr>
          <w:rFonts w:ascii="Arial" w:cs="Arial" w:eastAsia="Arial" w:hAnsi="Arial"/>
          <w:sz w:val="18"/>
          <w:szCs w:val="18"/>
          <w:color w:val="auto"/>
        </w:rPr>
      </w:pPr>
    </w:p>
    <w:p>
      <w:pPr>
        <w:ind w:left="2020" w:hanging="634"/>
        <w:spacing w:after="0"/>
        <w:tabs>
          <w:tab w:leader="none" w:pos="2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reserves for Operating Expenses;</w:t>
      </w:r>
    </w:p>
    <w:p>
      <w:pPr>
        <w:spacing w:after="0" w:line="225" w:lineRule="exact"/>
        <w:rPr>
          <w:rFonts w:ascii="Arial" w:cs="Arial" w:eastAsia="Arial" w:hAnsi="Arial"/>
          <w:sz w:val="18"/>
          <w:szCs w:val="18"/>
          <w:color w:val="auto"/>
        </w:rPr>
      </w:pPr>
    </w:p>
    <w:p>
      <w:pPr>
        <w:ind w:left="2020" w:hanging="634"/>
        <w:spacing w:after="0"/>
        <w:tabs>
          <w:tab w:leader="none" w:pos="20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Any cost or expense stated in this Lease to be at Landlord’s sole expense or expressly stated not to be an Operating Expense;</w:t>
      </w:r>
    </w:p>
    <w:p>
      <w:pPr>
        <w:spacing w:after="0" w:line="248" w:lineRule="exact"/>
        <w:rPr>
          <w:rFonts w:ascii="Arial" w:cs="Arial" w:eastAsia="Arial" w:hAnsi="Arial"/>
          <w:sz w:val="16"/>
          <w:szCs w:val="16"/>
          <w:color w:val="auto"/>
        </w:rPr>
      </w:pPr>
    </w:p>
    <w:p>
      <w:pPr>
        <w:ind w:left="80" w:right="160" w:firstLine="1306"/>
        <w:spacing w:after="0" w:line="264" w:lineRule="auto"/>
        <w:tabs>
          <w:tab w:leader="none" w:pos="2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items not otherwise excluded to the extent Landlord is reimbursed by insurance, warranty or otherwise compensated (other than as part of Operating Expenses), including direct reimbursement by any tenant other than pursuant to Operating Expense reimbursements or similar reimbursements less the out-of-pocket cost of collection; and</w:t>
      </w:r>
    </w:p>
    <w:p>
      <w:pPr>
        <w:spacing w:after="0" w:line="181" w:lineRule="exact"/>
        <w:rPr>
          <w:rFonts w:ascii="Arial" w:cs="Arial" w:eastAsia="Arial" w:hAnsi="Arial"/>
          <w:sz w:val="18"/>
          <w:szCs w:val="18"/>
          <w:color w:val="auto"/>
        </w:rPr>
      </w:pPr>
    </w:p>
    <w:p>
      <w:pPr>
        <w:ind w:left="80" w:right="120" w:firstLine="1297"/>
        <w:spacing w:after="0" w:line="308" w:lineRule="auto"/>
        <w:tabs>
          <w:tab w:leader="none" w:pos="2025" w:val="left"/>
        </w:tabs>
        <w:numPr>
          <w:ilvl w:val="1"/>
          <w:numId w:val="53"/>
        </w:numPr>
        <w:rPr>
          <w:rFonts w:ascii="Arial" w:cs="Arial" w:eastAsia="Arial" w:hAnsi="Arial"/>
          <w:sz w:val="17"/>
          <w:szCs w:val="17"/>
          <w:color w:val="auto"/>
        </w:rPr>
      </w:pPr>
      <w:r>
        <w:rPr>
          <w:rFonts w:ascii="Arial" w:cs="Arial" w:eastAsia="Arial" w:hAnsi="Arial"/>
          <w:sz w:val="17"/>
          <w:szCs w:val="17"/>
          <w:color w:val="auto"/>
        </w:rPr>
        <w:t>Costs to replace the Warranty Items or to replace major components of the Warranty Items, but only during the Warranty Period; provided, however, that routine maintenance and repairs shall of any such Warranty Items be included in Operating Expenses.</w:t>
      </w:r>
    </w:p>
    <w:p>
      <w:pPr>
        <w:spacing w:after="0" w:line="146" w:lineRule="exact"/>
        <w:rPr>
          <w:rFonts w:ascii="Arial" w:cs="Arial" w:eastAsia="Arial" w:hAnsi="Arial"/>
          <w:sz w:val="17"/>
          <w:szCs w:val="17"/>
          <w:color w:val="auto"/>
        </w:rPr>
      </w:pPr>
    </w:p>
    <w:p>
      <w:pPr>
        <w:ind w:firstLine="656"/>
        <w:spacing w:after="0" w:line="255" w:lineRule="auto"/>
        <w:tabs>
          <w:tab w:leader="none" w:pos="1307" w:val="left"/>
        </w:tabs>
        <w:numPr>
          <w:ilvl w:val="0"/>
          <w:numId w:val="54"/>
        </w:numPr>
        <w:rPr>
          <w:rFonts w:ascii="Arial" w:cs="Arial" w:eastAsia="Arial" w:hAnsi="Arial"/>
          <w:sz w:val="18"/>
          <w:szCs w:val="18"/>
          <w:color w:val="auto"/>
        </w:rPr>
      </w:pPr>
      <w:r>
        <w:rPr>
          <w:rFonts w:ascii="Arial" w:cs="Arial" w:eastAsia="Arial" w:hAnsi="Arial"/>
          <w:sz w:val="18"/>
          <w:szCs w:val="18"/>
          <w:color w:val="auto"/>
        </w:rPr>
        <w:t>Landlord hereby agrees that the cost of any new type or increased amount of insurance coverage (including, but not limited to, earthquake insurance) (or increased limits of insurance or decrease in the amount of deductibles) which is obtained or effected by Landlord during any calendar year after the Base Operating Year (but is not obtained or effected during the Base Operating Year) shall be added to and included in the Operating Expenses for the Base Operating Year (but at the rate which would have been in effect during the Base Year or the rate in effect during such subsequent calendar year, whichever is lower) prior to the calculation of Tenant’s Share of Operating Expenses for each such calendar year in which such change in insurance is initially obtained or effected. Landlord further agrees that any costs incurred in any calendar year after the Base Operating Year because of any added new type of discretionary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services which were readily available during the Base Operating Year, and customarily provided by landlords of buildings comparable to the Building in the general vicinity of the Building (“Comparable Buildings”) during the Base Operating Year (but not by Landlord), and not included in the Base Operating Year shall be added to and included in the Base Operating Year for purposes of determining the Operating Expenses payable for such calendar year in which such added new type of discretionary services are so provided, as if such services were provided in the Base Operating Year (but at the rate for such services which would have been in effect during the Base Year, or the rate in effect during such subsequent calendar year, whichever is lower); provided, however, the foregoing provision shall not apply to the costs of any capital additions, capital alterations, capital repairs or capital improvements which shall be governed by the provisions of this Paragraph 6 above. If any portion of the Building is covered by a warranty at any time during the Base Operating Year, Operating Expenses for the Base Operating Year shall be considered to be increased by the amount that Landlord would have incurred during the Base Operating Year with respect to the items or matters covered by the warranty had the warranty not been in effect during the Base Operating Year.</w:t>
      </w:r>
    </w:p>
    <w:p>
      <w:pPr>
        <w:sectPr>
          <w:pgSz w:w="11900" w:h="16932" w:orient="portrait"/>
          <w:cols w:equalWidth="0" w:num="1">
            <w:col w:w="11400"/>
          </w:cols>
          <w:pgMar w:left="240" w:top="125" w:right="259" w:bottom="0" w:gutter="0" w:footer="0" w:header="0"/>
        </w:sectPr>
      </w:pPr>
    </w:p>
    <w:bookmarkStart w:id="55" w:name="page56"/>
    <w:bookmarkEnd w:id="55"/>
    <w:p>
      <w:pPr>
        <w:ind w:firstLine="656"/>
        <w:spacing w:after="0" w:line="261" w:lineRule="auto"/>
        <w:tabs>
          <w:tab w:leader="none" w:pos="1304"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Commencing on the first (1st) anniversary of the Rent Commencement Date, Tenant shall pay, in equal monthly installments, one-twelfth (1/12</w:t>
      </w:r>
      <w:r>
        <w:rPr>
          <w:rFonts w:ascii="Arial" w:cs="Arial" w:eastAsia="Arial" w:hAnsi="Arial"/>
          <w:sz w:val="22"/>
          <w:szCs w:val="22"/>
          <w:color w:val="auto"/>
          <w:vertAlign w:val="superscript"/>
        </w:rPr>
        <w:t>th</w:t>
      </w:r>
      <w:r>
        <w:rPr>
          <w:rFonts w:ascii="Arial" w:cs="Arial" w:eastAsia="Arial" w:hAnsi="Arial"/>
          <w:sz w:val="17"/>
          <w:szCs w:val="17"/>
          <w:color w:val="auto"/>
        </w:rPr>
        <w:t>) of Landlord’s estimate of the Operating Payment for the then current calendar year (prorated for any partial calendar year or month at the beginning or end of the Term). Landlord shall give Tenant written notice of such estimated amounts, and Tenant shall pay such amounts monthly to Landlord at the same time as monthly Base Rent. Following the end of each calendar year subsequent to the Base Operating Year, Landlord will submit to Tenant a statement showing Operating Expenses for the preceding calendar year with a reasonable breakdown of the particular Operating Expenses in categories, along with a reconciliation of Tenant’s estimated payments as compared to Tenant’s actual Operating Payment for such calendar year (each, an “Operating Statement”). Within thirty (30) days after receipt of an Operating Statement, Tenant shall pay Landlord any additional amounts owed as shown on the Operating Statement. Tenant shall also pay to the taxing authority, before delinquency, any taxes levied or assessed upon all of Tenant’s equipment, furniture, fixtures and other personal property within the Premises. Tenant’s obligation to pay any amounts due under the Paragraph shall survive the Expiration Date or earlier termination of this Lease.</w:t>
      </w:r>
    </w:p>
    <w:p>
      <w:pPr>
        <w:spacing w:after="0" w:line="188" w:lineRule="exact"/>
        <w:rPr>
          <w:rFonts w:ascii="Arial" w:cs="Arial" w:eastAsia="Arial" w:hAnsi="Arial"/>
          <w:sz w:val="17"/>
          <w:szCs w:val="17"/>
          <w:color w:val="auto"/>
        </w:rPr>
      </w:pPr>
    </w:p>
    <w:p>
      <w:pPr>
        <w:ind w:firstLine="656"/>
        <w:spacing w:after="0" w:line="270" w:lineRule="auto"/>
        <w:tabs>
          <w:tab w:leader="none" w:pos="1307"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the event of overpayment by Tenant, Landlord shall apply the excess to the next payment of Rent when due, until such excess is exhausted or until no further payments of Rent are due, in which case, Landlord shall pay to Tenant the balance of such excess within thirty (30) days thereafter (and said obligation shall survive the Expiration Date or earlier termination of this Lease). Except as provided below, any failure or delay on the part of Landlord in furnishing any Operating Statement shall not constitute a waiver by Landlord of Tenant’s obligation to pay Tenant’s Operating Payment to the extent required of Tenant under this Lease. Landlord shall use reasonable efforts to deliver an Operating Statement for each calendar year or portion thereof occurring during the Term hereof occurring subsequent to the Base Operating Year to Tenant within ninety (90) days after the last day of the calendar year to which such statement is applicable. Notwithstanding the foregoing to the contrary, Tenant shall not be responsible for Tenant’s Share of any Operating Expenses attributable to any calendar year for which Tenant received an Operating Statement more than two (2) calendar years after the date (the “Cutoff Date”) which is the earlier of (i) the expiration of the applicable calendar year or (ii) the Lease Expiration Date, except that Tenant shall be responsible for Tenant’s Share of Operating Expenses levied by 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governmental authority or by any public utility company at any time following the applicable Cutoff Date which are attributable to any Expense Year occurring prior to such Cutoff Date, so long as Landlord delivers to Tenant a bill and supplemental Statement for such amounts within two (2) years following Landlord’s receipt of the applicable bill therefor.</w:t>
      </w:r>
    </w:p>
    <w:p>
      <w:pPr>
        <w:spacing w:after="0" w:line="181" w:lineRule="exact"/>
        <w:rPr>
          <w:sz w:val="20"/>
          <w:szCs w:val="20"/>
          <w:color w:val="auto"/>
        </w:rPr>
      </w:pPr>
    </w:p>
    <w:p>
      <w:pPr>
        <w:ind w:firstLine="656"/>
        <w:spacing w:after="0" w:line="284" w:lineRule="auto"/>
        <w:tabs>
          <w:tab w:leader="none" w:pos="1301"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Audit Rights</w:t>
      </w:r>
      <w:r>
        <w:rPr>
          <w:rFonts w:ascii="Arial" w:cs="Arial" w:eastAsia="Arial" w:hAnsi="Arial"/>
          <w:sz w:val="16"/>
          <w:szCs w:val="16"/>
          <w:color w:val="auto"/>
        </w:rPr>
        <w:t>. Tenant shall have the right, at Tenant’s cost, after reasonable notice to Landlord, to have Tenant’s authorized employees or agents or auditors inspect, at Landlord’s office during normal business hours, Landlord’s books, records and supporting documents concerning the Operating Expenses, set forth in any Operating Statement delivered by Landlord to Tenant for a particular calendar year; provided, however, Tenant shall have no right to conduct such inspection, have an audit performed by the Accountant as described below, or object to or otherwise dispute the amount of the Operating Expenses, set forth in any such Operating Statement, unless Tenant notifies Landlord of its desire to conduct such inspection within nine (9) months immediately following Landlord’s delivery to Tenant of the particular Operating Statement in question (the “Review Period”); provided, further, that notwithstanding any such timely notice and as a condition precedent to Tenant’s exercise of its right of inspection, objection, dispute, and/or audit as set forth in this Paragraph 6(f), Tenant shall not be permitted to withhold payment of, and Tenant shall timely pay to Landlord, the full amounts as required by the provisions of this Paragraph 6 in accordance with such Operating Statement. However, such payment may be made under protest pending the outcome of any inspection and/or audit which may be performed by or on behalf of Tenant or by the Accountant as described below. In connection with any such inspection by Tenant, Landlord and Tenant shall reasonably cooperate with each other so that such inspection can be performed pursuant to a mutually acceptable schedule, in an expeditious manner and without undue interference with Landlord’s operation and management of the Building. If after such inspection and/or request for documentation, Tenant disputes the amount of the Operating Expenses set forth in the Operating Statement, Tenant shall have the right, but not the obligation, to cause an independent certified public accountant which is not paid on a contingency basis and which is selected by Tenant and reasonably approved by Landlord (the “Accountant”) to complete an audit of Landlord’s books and records to determine the proper amount of the Operating Expenses incurred and amounts payable by Tenant for the calendar year or calendar years which is the subject of such Operating Statement. Such audit by the Accountant shall be final and binding upon Landlord and Tenant. If Landlord and Tenant cannot mutually agree as to the identity of the Accountant within thirty (30) days after Tenant notifies Landlord that Tenant desires an audit to be performed, then the Accountant shall be one of the “Big 4” accounting firms selected by Tenant, which is not paid on a contingency basis and who has not been engaged by Tenant in the twenty-four (24) month period preceding the Review Period. If such audit reveals that Landlord has over-charged Tenant, then within thirty (30) days after the results of such audit are made available to Landlord, Landlord shall reimburse to Tenant the amount of such over-charge. If the audit reveals that the Tenant was under-charged, then within thirty (30) days after the results of such audit are made available to Tenant, Tenant shall reimburse to Landlord the amount of such under-charge. Tenant agrees to pay the cost of such audit unless it is subsequently determined that Landlord’s original Operating Statement which was the subject of such audit was in error to Tenant’s disadvantage by five percent (5%) or more of the total Operating Expenses which was the subject of such audit, in which event Landlord shall pay the cost of such audit. The payment by Tenant of any amounts pursuant to this Paragraph 6(f) at any time during the applicable Review Period shall not preclude Tenant from questioning the correctness of any Operating Statement provided by Landlord at any time during the Review Period, but the failure of Tenant to dispute such</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Operating Statement prior to the expiration of the applicable Review Period shall be conclusively deemed Tenant’s approval of the Operating Statement in question and the amount of Operating Expenses shown thereon. In connection with any inspection and/or audit conducted by Tenant pursuant to this Paragraph 6(f), Tenant agrees to use reasonable efforts to keep, and to cause all of Tenant’s employees and consultants and the Accountant to keep, all of Landlord’s books and records and the audit, and all information pertaining thereto and the results thereof, strictly confidential, provided, however, that nothing herein shall prohibit the disclosure or dissemination of such books, records, audit and/or information to Tenant’s or Tenant’s accountant’s attorneys, accountants, auditors, investors, lenders or partners or to any person or entity to the extent required by law or legal process or in connection with any dispute, suit or preceding between Landlord and Tenant. Within a reasonable period after Landlord’s request, Tenant shall cause its employees and consultants performing the Audit and the Accountant to execute such reasonable confidentiality agreements as Landlord may reasonably require prior to conducting any such inspections and/or audits.</w:t>
      </w:r>
    </w:p>
    <w:p>
      <w:pPr>
        <w:spacing w:after="0" w:line="178"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7:</w:t>
      </w:r>
      <w:r>
        <w:rPr>
          <w:sz w:val="20"/>
          <w:szCs w:val="20"/>
          <w:color w:val="auto"/>
        </w:rPr>
        <w:tab/>
      </w:r>
      <w:r>
        <w:rPr>
          <w:rFonts w:ascii="Arial" w:cs="Arial" w:eastAsia="Arial" w:hAnsi="Arial"/>
          <w:sz w:val="16"/>
          <w:szCs w:val="16"/>
          <w:b w:val="1"/>
          <w:bCs w:val="1"/>
          <w:color w:val="auto"/>
        </w:rPr>
        <w:t>REAL ESTATE TAXES</w:t>
      </w:r>
      <w:r>
        <w:rPr>
          <w:rFonts w:ascii="Arial" w:cs="Arial" w:eastAsia="Arial" w:hAnsi="Arial"/>
          <w:sz w:val="16"/>
          <w:szCs w:val="16"/>
          <w:color w:val="auto"/>
        </w:rPr>
        <w:t>: For the purpose of this Lease, the following terms have the following meanings:</w:t>
      </w:r>
    </w:p>
    <w:p>
      <w:pPr>
        <w:sectPr>
          <w:pgSz w:w="11900" w:h="16838" w:orient="portrait"/>
          <w:cols w:equalWidth="0" w:num="1">
            <w:col w:w="11420"/>
          </w:cols>
          <w:pgMar w:left="240" w:top="341" w:right="239" w:bottom="36" w:gutter="0" w:footer="0" w:header="0"/>
        </w:sectPr>
      </w:pPr>
    </w:p>
    <w:bookmarkStart w:id="56" w:name="page57"/>
    <w:bookmarkEnd w:id="56"/>
    <w:p>
      <w:pPr>
        <w:spacing w:after="0" w:line="90" w:lineRule="exact"/>
        <w:rPr>
          <w:sz w:val="20"/>
          <w:szCs w:val="20"/>
          <w:color w:val="auto"/>
        </w:rPr>
      </w:pPr>
    </w:p>
    <w:p>
      <w:pPr>
        <w:ind w:firstLine="656"/>
        <w:spacing w:after="0" w:line="268" w:lineRule="auto"/>
        <w:tabs>
          <w:tab w:leader="none" w:pos="1294"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“Real Estate Taxes” (as used in Paragraph 6(a) and elsewhere in this Lease) shall mean the real estate taxes, assessments, sewer rentals, levies, impositions, charges and special assessments, or payments in lieu thereof, imposed -on the Building, including without limitation, town, village, county and school taxes and any traffic district or community district assessments, as well as increases from a change of ownership of the Building. For purposes of inclusion in Operating Expenses, all special assessments shall be allocated over the maximum term allowed by law and shall include the interest charged for such allocation. If, at any time during the Term, the methods of taxation prevailing on the Commencement Date shall be altered, modified, or changed, in whole or in part, so that in lieu of or as a substitute for the whole or any part of the taxes, assessments, levies, impositions, charges, special assessments, or payments in lieu thereof, now levied, assessed or imposed on the Building as of the Commencement Date (the “Existing Real Estate Taxes”), there shall be levied, assessed or imposed on the Property any taxes, assessments, levies, impositions, charges or special assessments not now levied, assessed or imposed on the Building as of the Commencement Date, including, without limitation: (i) a tax assessment, levy, imposition or charge wholly or partially as a capital levy or otherwise on the rents received therefrom, (ii) a tax assessment, levy, imposition of charge measured by or based in whole or in part upon the Building and imposed upon Landlord, (iii) a license fee measured by the rents payable by Tenant to Landlord, or (iv) any other governmental charges whether federal, state, city, county, or municipal, whether general or special, ordinary or extraordinary, foreseen or unforeseen, levied upon the Building, then all such in lieu or substitute taxes, assessments, levies, impositions, charges or special assessments, or the part thereof so measured or based, shall be deemed to be included within the term Real Estate Taxes for the purpose hereof. Real Estate Taxes shall also include any expenses incurred by Landlord in attempting to obtain a reduction of Real Estate Taxes from the Taxing Authority, to the extent the Real Estate Taxes are reduced during the Term, Tenant’s Operating Payment shall be proportionately reduced.</w:t>
      </w:r>
    </w:p>
    <w:p>
      <w:pPr>
        <w:spacing w:after="0" w:line="180" w:lineRule="exact"/>
        <w:rPr>
          <w:rFonts w:ascii="Arial" w:cs="Arial" w:eastAsia="Arial" w:hAnsi="Arial"/>
          <w:sz w:val="17"/>
          <w:szCs w:val="17"/>
          <w:color w:val="auto"/>
        </w:rPr>
      </w:pPr>
    </w:p>
    <w:p>
      <w:pPr>
        <w:ind w:right="400" w:firstLine="656"/>
        <w:spacing w:after="0" w:line="277" w:lineRule="auto"/>
        <w:tabs>
          <w:tab w:leader="none" w:pos="130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“Taxing Authority” shall mean any State of California, County of San Mateo, City of South San Francisco taxing authority which shall impose Real Estate Taxes on the Building.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8:</w:t>
      </w:r>
      <w:r>
        <w:rPr>
          <w:sz w:val="20"/>
          <w:szCs w:val="20"/>
          <w:color w:val="auto"/>
        </w:rPr>
        <w:tab/>
      </w:r>
      <w:r>
        <w:rPr>
          <w:rFonts w:ascii="Arial" w:cs="Arial" w:eastAsia="Arial" w:hAnsi="Arial"/>
          <w:sz w:val="17"/>
          <w:szCs w:val="17"/>
          <w:b w:val="1"/>
          <w:bCs w:val="1"/>
          <w:color w:val="auto"/>
        </w:rPr>
        <w:t>HOLDOVER TENANCY</w:t>
      </w:r>
      <w:r>
        <w:rPr>
          <w:rFonts w:ascii="Arial" w:cs="Arial" w:eastAsia="Arial" w:hAnsi="Arial"/>
          <w:sz w:val="17"/>
          <w:szCs w:val="17"/>
          <w:color w:val="auto"/>
        </w:rPr>
        <w:t>: If Tenant shall hold over without written permission from Landlord after the expiration of the Term</w:t>
      </w:r>
    </w:p>
    <w:p>
      <w:pPr>
        <w:spacing w:after="0" w:line="2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or Tenant should fail to return the Premises in the condition specified in Paragraph 28 below, at Landlord’s option: (a) Tenant shall be deemed to occupy the Premises as a tenant at sufferance, subject to immediate dispossession in accordance with law, at (i) for the first calendar month after the expiration of the Term, one hundred fifty percent (150%) of the Base Rent in effect during the last year of the Term, (ii) for the second calendar month after the expiration of the Term, one hundred seventy-five percent (175%) of the Base Rent in effect during the last year of the Term, and (iii) thereafter, two hundred percent (200%) of the Base Rent, and otherwise subject to all of the terms, covenants and conditions of this Lease; and (b) Landlord may exercise any other remedies it has under this Lease or at law or in equity including an action for wrongfully holding over. Landlord’s acceptance of the increased rent in accordance with this Paragraph 8 shall in no way limit or affect Landlord’s rights and remedies under this Lease, at law or equity. No extension or renewal of this Lease shall be deemed to have occurred by any holding over. Notwithstanding anything set forth in this Paragraph 8 to the contrary, in the event Tenant has not exercised its first extension option pursuant to Paragraph 49 hereof, Tenant shall have the one-time right to extend the initial Lease Term for a period of up to three</w:t>
      </w:r>
    </w:p>
    <w:p>
      <w:pPr>
        <w:spacing w:after="0" w:line="6" w:lineRule="exact"/>
        <w:rPr>
          <w:sz w:val="20"/>
          <w:szCs w:val="20"/>
          <w:color w:val="auto"/>
        </w:rPr>
      </w:pPr>
    </w:p>
    <w:p>
      <w:pPr>
        <w:ind w:right="60" w:firstLine="8"/>
        <w:spacing w:after="0" w:line="281" w:lineRule="auto"/>
        <w:tabs>
          <w:tab w:leader="none" w:pos="2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months thereafter (“Temporary Extension Term”) by delivering written notice of the exercise of such right at least six (6) months prior to the expiration of the initial Lease Term which notice shall specify the period of the Temporary Extension Term Tenant shall select (which period shall be not less than one</w:t>
      </w:r>
    </w:p>
    <w:p>
      <w:pPr>
        <w:spacing w:after="0" w:line="1" w:lineRule="exact"/>
        <w:rPr>
          <w:rFonts w:ascii="Arial" w:cs="Arial" w:eastAsia="Arial" w:hAnsi="Arial"/>
          <w:sz w:val="16"/>
          <w:szCs w:val="16"/>
          <w:color w:val="auto"/>
        </w:rPr>
      </w:pPr>
    </w:p>
    <w:p>
      <w:pPr>
        <w:ind w:firstLine="8"/>
        <w:spacing w:after="0" w:line="287" w:lineRule="auto"/>
        <w:tabs>
          <w:tab w:leader="none" w:pos="255" w:val="left"/>
        </w:tabs>
        <w:numPr>
          <w:ilvl w:val="0"/>
          <w:numId w:val="59"/>
        </w:numPr>
        <w:rPr>
          <w:rFonts w:ascii="Arial" w:cs="Arial" w:eastAsia="Arial" w:hAnsi="Arial"/>
          <w:sz w:val="16"/>
          <w:szCs w:val="16"/>
          <w:color w:val="auto"/>
        </w:rPr>
      </w:pPr>
      <w:r>
        <w:rPr>
          <w:rFonts w:ascii="Arial" w:cs="Arial" w:eastAsia="Arial" w:hAnsi="Arial"/>
          <w:sz w:val="16"/>
          <w:szCs w:val="16"/>
          <w:color w:val="auto"/>
        </w:rPr>
        <w:t>month nor more than six (6) months), and provided that, at Landlord’s option, in addition to all remedies available to Landlord under this Lease, at law or in equity, Tenant is not in default under this Lease (after expiration of any applicable notice and cure period) as of the date Tenant delivers such notice to Landlord or the commencement of the Temporary Extension Term. If Tenant timely exercises such renewal right, all of the terms and conditions of this Lease shall apply during the Temporary Extension Term, provided, however, that the monthly Base Rent payable by Tenant during the Temporary Extension Term shall be equal to one hundred twenty-five percent (125%) of monthly Base Rent applicable during the last rental period of the initial Lease Term. Tenant shall defend, indemnify and hold Landlord harmless from and against all claims, losses and liabilities for damages resulting from failure to surrender possession upon the Expiration Date or sooner termination of the Term by any tenant to whom Landlord may have leased all or any part of the Premises and for all other losses, costs and expenses of any kind or nature, including reasonable attorney’s fees and costs, expert witness fees and costs and court costs incurred by Landlord as a result of such holdover, and such obligations shall survive the expiration or sooner termination of this Lease.</w:t>
      </w:r>
    </w:p>
    <w:p>
      <w:pPr>
        <w:spacing w:after="0" w:line="162"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9:</w:t>
      </w:r>
      <w:r>
        <w:rPr>
          <w:sz w:val="20"/>
          <w:szCs w:val="20"/>
          <w:color w:val="auto"/>
        </w:rPr>
        <w:tab/>
      </w:r>
      <w:r>
        <w:rPr>
          <w:rFonts w:ascii="Arial" w:cs="Arial" w:eastAsia="Arial" w:hAnsi="Arial"/>
          <w:sz w:val="18"/>
          <w:szCs w:val="18"/>
          <w:b w:val="1"/>
          <w:bCs w:val="1"/>
          <w:color w:val="auto"/>
        </w:rPr>
        <w:t>TENANT ALTERATIONS</w:t>
      </w:r>
      <w:r>
        <w:rPr>
          <w:rFonts w:ascii="Arial" w:cs="Arial" w:eastAsia="Arial" w:hAnsi="Arial"/>
          <w:sz w:val="18"/>
          <w:szCs w:val="18"/>
          <w:color w:val="auto"/>
        </w:rPr>
        <w:t>:</w:t>
      </w:r>
    </w:p>
    <w:p>
      <w:pPr>
        <w:spacing w:after="0" w:line="229" w:lineRule="exact"/>
        <w:rPr>
          <w:sz w:val="20"/>
          <w:szCs w:val="20"/>
          <w:color w:val="auto"/>
        </w:rPr>
      </w:pPr>
    </w:p>
    <w:p>
      <w:pPr>
        <w:ind w:right="60" w:firstLine="656"/>
        <w:spacing w:after="0" w:line="255" w:lineRule="auto"/>
        <w:tabs>
          <w:tab w:leader="none" w:pos="129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Tenant shall not make any alterations, additions or improvements (collectively referred to as “Tenant Alterations”) in or to the Premises without the prior written consent of Landlord, which consent shall not be unreasonably withheld, delayed or conditioned, provided that such proposed Tenant Alterations (i) are nonstructural, (ii) do not affect the Building’s HVAC, plumbing, electrical, life safety or mechanical systems or services, (iii) do not affect any part of the Building other than the Premises, (iv) do not adversely affect any service required to be furnished by Landlord to Tenant or to any other tenant or occupant of the Building and (v) do not reduce the value or utility of the Building. Tenant shall be permitted to make, without Landlord’s consent, Tenant Alterations not exceeding $100,000.00 in any twelve (12) month period in value and for which Tenant is not required to obtain a permit from the applicable municipality and if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such Alterations are of the type described in clauses (i), (ii), (iii) and (iv) above (“Permitted Alterations”). Any other Tenant Alteration may be approved or disapproved by Landlord for any reason or for no reason. If Landlord consents to any Tenant Alterations to the Premises such Tenant Alterations shall be performed (a) at Tenant’s expense pursuant to plans and specifications approved by Landlord (not to be unreasonably withheld, conditioned or delayed) and</w:t>
      </w:r>
    </w:p>
    <w:p>
      <w:pPr>
        <w:ind w:firstLine="8"/>
        <w:spacing w:after="0" w:line="285" w:lineRule="auto"/>
        <w:tabs>
          <w:tab w:leader="none" w:pos="2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by a reputable and qualified contractor licensed in the State of California and reasonably approved by Landlord, and subject to any commercially reasonable covenants and conditions required by Landlord, including, without limitation, any commercially reasonable construction rules and regulations promulgated by Landlord for the Building. Landlord’s approval of any plans and specifications for alterations, improvements, modifications or additions to the Premises or the Property shall not constitute a representation or warranty of Landlord (x) as to the adequacy or sufficiency of such drawings, plans and specifications, or alterations, improvements, modifications or additions to which they relate, for any use, purpose or conditions, (y) that such drawings, plans and specifications or any action taken pursuant thereto or in reliance thereon complies with, or is not in violation of, any applicable laws, rules or regulations or any standard of due care regarding engineering or structural design or quality of material, and Landlord does not assume any liability or responsibility therefor nor for any defect in construction from said drawings, but such approval shall merely be the consent of Landlord as required hereunder. In no event shall Landlord be deemed to have consented to imposition of any lien against any interest of Landlord in the Building or the Premises and Landlord shall have the right, at all times, to post and to keep posted on the Premises all notices permitted and/or required by law, or which Landlord shall deem proper for the protection of Landlord and the Premises and any other parties having an interest therein, from all mechanic and materialmen’s liens, and Tenant shall give Landlord fifteen (15) days prior notice before commencing any Tenant Alterations (other than Permitted Alterations) for such purposes and for scheduling purposes. All Tenant Alterations shall be done in a good and workmanlike manner with first-class quality materials in accordance with all laws, ordinances,</w:t>
      </w:r>
    </w:p>
    <w:p>
      <w:pPr>
        <w:sectPr>
          <w:pgSz w:w="11900" w:h="16929" w:orient="portrait"/>
          <w:cols w:equalWidth="0" w:num="1">
            <w:col w:w="11420"/>
          </w:cols>
          <w:pgMar w:left="240" w:top="125" w:right="239" w:bottom="0" w:gutter="0" w:footer="0" w:header="0"/>
        </w:sectPr>
      </w:pPr>
    </w:p>
    <w:bookmarkStart w:id="57" w:name="page58"/>
    <w:bookmarkEnd w:id="57"/>
    <w:p>
      <w:pPr>
        <w:spacing w:after="0" w:line="14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and rules and regulations of any federal, state, county, municipal, or other public authority having jurisdiction over the Premises. Tenant shall cause such work to be performed in a diligent manner and shall use commercially reasonable efforts as to minimize unreasonable interference with other tenants’ and occupants’ lawful use and enjoyment of their premises and business operations. Tenant and its contractors shall comply with all commercially reasonable requirements Landlord may reasonably impose on Tenant or its contractors with respect to such work (including but not limited to, insurance, indemnity and bonding requirements), and shall deliver to Landlord a complete copy of the “as-built” or final plans and specifications for all Alterations so made in or to the Premises within thirty (30) days of completing the work (provided the work was of such a nature that such plans were actually prepared). Tenant shall not place safes or vaults in the Premises without Landlord’s prior written consent, which shall not be reasonably withheld or delayed.</w:t>
      </w:r>
    </w:p>
    <w:p>
      <w:pPr>
        <w:spacing w:after="0" w:line="167" w:lineRule="exact"/>
        <w:rPr>
          <w:sz w:val="20"/>
          <w:szCs w:val="20"/>
          <w:color w:val="auto"/>
        </w:rPr>
      </w:pPr>
    </w:p>
    <w:p>
      <w:pPr>
        <w:ind w:right="20" w:firstLine="656"/>
        <w:spacing w:after="0" w:line="291" w:lineRule="auto"/>
        <w:tabs>
          <w:tab w:leader="none" w:pos="1304" w:val="left"/>
        </w:tabs>
        <w:numPr>
          <w:ilvl w:val="1"/>
          <w:numId w:val="62"/>
        </w:numPr>
        <w:rPr>
          <w:rFonts w:ascii="Arial" w:cs="Arial" w:eastAsia="Arial" w:hAnsi="Arial"/>
          <w:sz w:val="16"/>
          <w:szCs w:val="16"/>
          <w:color w:val="auto"/>
        </w:rPr>
      </w:pPr>
      <w:r>
        <w:rPr>
          <w:rFonts w:ascii="Arial" w:cs="Arial" w:eastAsia="Arial" w:hAnsi="Arial"/>
          <w:sz w:val="16"/>
          <w:szCs w:val="16"/>
          <w:color w:val="auto"/>
        </w:rPr>
        <w:t>Any mechanic’s lien filed against the Premises or the Building for work or materials furnished to Tenant at Tenant’s request shall be discharged by Tenant, by payment or by bonding of such lien by a reputable casualty or insurance company reasonably satisfactory to Landlord within twenty</w:t>
      </w:r>
    </w:p>
    <w:p>
      <w:pPr>
        <w:ind w:firstLine="8"/>
        <w:spacing w:after="0" w:line="254" w:lineRule="auto"/>
        <w:tabs>
          <w:tab w:leader="none" w:pos="345" w:val="left"/>
        </w:tabs>
        <w:numPr>
          <w:ilvl w:val="0"/>
          <w:numId w:val="63"/>
        </w:numPr>
        <w:rPr>
          <w:rFonts w:ascii="Arial" w:cs="Arial" w:eastAsia="Arial" w:hAnsi="Arial"/>
          <w:sz w:val="18"/>
          <w:szCs w:val="18"/>
          <w:color w:val="auto"/>
        </w:rPr>
      </w:pPr>
      <w:r>
        <w:rPr>
          <w:rFonts w:ascii="Arial" w:cs="Arial" w:eastAsia="Arial" w:hAnsi="Arial"/>
          <w:sz w:val="18"/>
          <w:szCs w:val="18"/>
          <w:color w:val="auto"/>
        </w:rPr>
        <w:t>days from the date of receipt of notice of the lien (provided that any such bond must be sufficient under applicable law to release the Premises and the Property from the lien). Should any action, suit, or proceeding be brought upon any such lien for the enforcement or foreclosure of the same, Tenant shall pay for Landlord’s reasonable attorneys’ fees for the defense of Landlord therein, by counsel reasonably satisfactory to Landlord, and satisfy and discharge any judgment entered therein against Landlord.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76" w:lineRule="auto"/>
        <w:tabs>
          <w:tab w:leader="none" w:pos="1307" w:val="left"/>
        </w:tabs>
        <w:numPr>
          <w:ilvl w:val="1"/>
          <w:numId w:val="64"/>
        </w:numPr>
        <w:rPr>
          <w:rFonts w:ascii="Arial" w:cs="Arial" w:eastAsia="Arial" w:hAnsi="Arial"/>
          <w:sz w:val="17"/>
          <w:szCs w:val="17"/>
          <w:color w:val="auto"/>
        </w:rPr>
      </w:pPr>
      <w:r>
        <w:rPr>
          <w:rFonts w:ascii="Arial" w:cs="Arial" w:eastAsia="Arial" w:hAnsi="Arial"/>
          <w:sz w:val="17"/>
          <w:szCs w:val="17"/>
          <w:color w:val="auto"/>
        </w:rPr>
        <w:t>Tenant shall indemnify, defend and hold Landlord harmless from any (i) injury, damage, cost or loss sustained by persons or property as a result of any defect in the design, material or workmanship of Tenant Alterations, except to the extent caused by Landlord’s breach of this Lease or by the gross negligence or willful misconduct of Landlord, its agent, contractors or employees, and (ii) loss, liability, cost and expense (including, without limitation, attorney’s fees and court costs) incurred by Landlord, its agents, contractors, or employees, relating in any way to Tenant Alterations, including, without limitation, the imposition of any lien against the Premises or the Building by reason of any Tenant Alterations.</w:t>
      </w:r>
    </w:p>
    <w:p>
      <w:pPr>
        <w:spacing w:after="0" w:line="172" w:lineRule="exact"/>
        <w:rPr>
          <w:rFonts w:ascii="Arial" w:cs="Arial" w:eastAsia="Arial" w:hAnsi="Arial"/>
          <w:sz w:val="17"/>
          <w:szCs w:val="17"/>
          <w:color w:val="auto"/>
        </w:rPr>
      </w:pPr>
    </w:p>
    <w:p>
      <w:pPr>
        <w:ind w:right="40" w:firstLine="656"/>
        <w:spacing w:after="0" w:line="282" w:lineRule="auto"/>
        <w:tabs>
          <w:tab w:leader="none" w:pos="1304"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Except for those items listed on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all Alterations, attached equipment, decorations, fixtures, trade fixtures, additions and improvements, attached to or built into the Premises, made by either of the parties, including, without limitation, all floor and wall coverings, built-in cabinet work and paneling, sinks and related plumbing fixtures, laboratory benches, exterior venting fume hoods and walk-in freezers and refrigerators, ductwork, conduits, electrical panels and circuits shall (unless, with respect to any Tenant Alterations proposed by Tenant Landlord expressly notified Tenant in writing as part of Landlord’s approval of the plans and specifications for such Alterations or at the time Tenant provides written notice to Landlord of any Permitted Alterations that Tenant must remove such Alterations prior to the expiration of the Term; provided, that Tenant, in any event, has requested Landlord in writing to make such determination) become the property of Landlord upon the expiration or earlier termination of the Term, and shall remain upon and be surrendered with the Premises as a part thereof. The Premises shall at all times remain the property of Landlord and shall be surrendered to Landlord upon the expiration or earlier termination of this Lease. Notwithstanding anything to the contrary herein, Tenant’s furniture, fixtures and furnishings which are not permanently attached to the Premises, Tenant’s business machines and equipment which are not permanently attached to the Premises, and Tenant’s communications equipment shall be and remain Tenant’s personal property and may be removed by Tenant at any time, and must be removed by Tenant upon the expiration or earlier termination of this Lease. As used in this Paragraph, “permanently attached” shall mean attached in such a manner as would result in material damage to the Premises if detached from the Premises. Notwithstanding the foregoing, at any time during the Term, subject to Landlord’s prior written approval, which approval shall not be unreasonably withheld, conditioned or delayed, Tenant shall have the right to update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Except as to those items listed on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attached hereto, all business and trade fixtures, machinery and equipment, built-in furniture and cabinets, together with all additions and accessories thereto, permanently attached to or built into the Premises shall become the property of Landlord upon the expiration of the Term. If Tenant shall fail to remove any of its effects from the Premises (required by this Paragraph to be removed) within ten (10) days after the termination of this Lease, then Landlord may, at its option, remove the same in any manner that Landlord shall choose and store said effects without liability to Tenant for loss thereof or damage thereto, and Tenant shall pay Landlord, upon demand, any actual, documented and reasonable costs and expenses incurred due to such removal and storage or Landlord may, at its sole option and upon notice to Tenant, sell such property or any portion thereof at private sale and without legal process for such price as Landlord may obtain and apply the proceeds of such sale against any (a) amounts due by Tenant to Landlord under this Lease and</w:t>
      </w:r>
    </w:p>
    <w:p>
      <w:pPr>
        <w:spacing w:after="0" w:line="12" w:lineRule="exact"/>
        <w:rPr>
          <w:rFonts w:ascii="Arial" w:cs="Arial" w:eastAsia="Arial" w:hAnsi="Arial"/>
          <w:sz w:val="16"/>
          <w:szCs w:val="16"/>
          <w:color w:val="auto"/>
        </w:rPr>
      </w:pPr>
    </w:p>
    <w:p>
      <w:pPr>
        <w:ind w:right="80" w:firstLine="8"/>
        <w:spacing w:after="0" w:line="255"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actual and documented expenses incident to the removal, storage and sale of said personal property. Notwithstanding any other provision of this Article to the contrary, in no event shall Tenant remove any improvement from the Premises as to which Landlord contributed payment, including the Tenant Improvements, without Landlord’s prior written consent, which consent Landlord may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withhold in its sole and absolute discretion. Notwithstanding anything to the contrary herein, Tenant shall have no obligation to remove the Emergency Generator upon or prior to the expiration or termination of the Term.</w:t>
      </w:r>
    </w:p>
    <w:p>
      <w:pPr>
        <w:spacing w:after="0" w:line="170" w:lineRule="exact"/>
        <w:rPr>
          <w:sz w:val="20"/>
          <w:szCs w:val="20"/>
          <w:color w:val="auto"/>
        </w:rPr>
      </w:pPr>
    </w:p>
    <w:p>
      <w:pPr>
        <w:ind w:right="60" w:firstLine="656"/>
        <w:spacing w:after="0" w:line="272" w:lineRule="auto"/>
        <w:tabs>
          <w:tab w:leader="none" w:pos="1307" w:val="left"/>
        </w:tabs>
        <w:numPr>
          <w:ilvl w:val="1"/>
          <w:numId w:val="66"/>
        </w:numPr>
        <w:rPr>
          <w:rFonts w:ascii="Arial" w:cs="Arial" w:eastAsia="Arial" w:hAnsi="Arial"/>
          <w:sz w:val="17"/>
          <w:szCs w:val="17"/>
          <w:color w:val="auto"/>
        </w:rPr>
      </w:pPr>
      <w:r>
        <w:rPr>
          <w:rFonts w:ascii="Arial" w:cs="Arial" w:eastAsia="Arial" w:hAnsi="Arial"/>
          <w:sz w:val="17"/>
          <w:szCs w:val="17"/>
          <w:color w:val="auto"/>
        </w:rPr>
        <w:t>Tenant shall be responsible for removal, as needed, from the Premises and the Building of all trash, rubbish, and surplus materials resulting from any work being performed in the Premises by Tenant or Tenant’s contract parties. Tenant shall exercise due care and diligence in removing such trash, rubbish, or surplus materials from the Premises to avoid littering, marring, or damaging any portion of the Building. If any such trash, rubbish, or surplus materials are not promptly removed from the Building in accordance with the provisions hereof and Landlord notifies Tenant in writing that it intends to remove the same at Tenant’s expense and Tenant fails to remove the same with three (3) business days thereafter, Landlord may cause same to be removed or repaired, as the case may be, at Tenant’s cost and expense. If Landlord incurs any costs or expenses in performing the above, Tenant shall pay Landlord the amount of any such cost and expenses promptly upon demand therefor.</w:t>
      </w:r>
    </w:p>
    <w:p>
      <w:pPr>
        <w:spacing w:after="0" w:line="177" w:lineRule="exact"/>
        <w:rPr>
          <w:rFonts w:ascii="Arial" w:cs="Arial" w:eastAsia="Arial" w:hAnsi="Arial"/>
          <w:sz w:val="17"/>
          <w:szCs w:val="17"/>
          <w:color w:val="auto"/>
        </w:rPr>
      </w:pPr>
    </w:p>
    <w:p>
      <w:pPr>
        <w:ind w:firstLine="656"/>
        <w:spacing w:after="0" w:line="285" w:lineRule="auto"/>
        <w:tabs>
          <w:tab w:leader="none" w:pos="1301" w:val="left"/>
        </w:tabs>
        <w:numPr>
          <w:ilvl w:val="1"/>
          <w:numId w:val="66"/>
        </w:numPr>
        <w:rPr>
          <w:rFonts w:ascii="Arial" w:cs="Arial" w:eastAsia="Arial" w:hAnsi="Arial"/>
          <w:sz w:val="16"/>
          <w:szCs w:val="16"/>
          <w:color w:val="auto"/>
        </w:rPr>
      </w:pPr>
      <w:r>
        <w:rPr>
          <w:rFonts w:ascii="Arial" w:cs="Arial" w:eastAsia="Arial" w:hAnsi="Arial"/>
          <w:sz w:val="16"/>
          <w:szCs w:val="16"/>
          <w:color w:val="auto"/>
        </w:rPr>
        <w:t>Subject to Paragraphs 16(g) and 21, Tenant will be responsible for repairing any damage to the Building common areas caused by Tenant or its agents or contractors within fifteen (15) days after receipt of written notice by Landlord specifying the damage in reasonable detail; provided, however, that if such repairs cannot reasonably be completed within said 15-day period, Tenant shall have such time as is reasonably necessary under the circumstances to complete such repairs. If such repairs are not completed within such time frame and Landlord gives Tenant at least five (5) business days prior written notice of Landlord’s intention to complete the same at Tenant’s expense, Landlord may cause the damage to be repaired at Tenant’s expense. Within ten</w:t>
      </w:r>
    </w:p>
    <w:p>
      <w:pPr>
        <w:spacing w:after="0" w:line="2" w:lineRule="exact"/>
        <w:rPr>
          <w:rFonts w:ascii="Arial" w:cs="Arial" w:eastAsia="Arial" w:hAnsi="Arial"/>
          <w:sz w:val="16"/>
          <w:szCs w:val="16"/>
          <w:color w:val="auto"/>
        </w:rPr>
      </w:pPr>
    </w:p>
    <w:p>
      <w:pPr>
        <w:ind w:left="360" w:hanging="352"/>
        <w:spacing w:after="0"/>
        <w:tabs>
          <w:tab w:leader="none" w:pos="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days of receipt of an invoice therefor, Tenant shall reimburse Landlord for its actual costs and expenses in completing any such repair.</w:t>
      </w:r>
    </w:p>
    <w:p>
      <w:pPr>
        <w:spacing w:after="0" w:line="207"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10:</w:t>
      </w:r>
      <w:r>
        <w:rPr>
          <w:sz w:val="20"/>
          <w:szCs w:val="20"/>
          <w:color w:val="auto"/>
        </w:rPr>
        <w:tab/>
      </w:r>
      <w:r>
        <w:rPr>
          <w:rFonts w:ascii="Arial" w:cs="Arial" w:eastAsia="Arial" w:hAnsi="Arial"/>
          <w:sz w:val="18"/>
          <w:szCs w:val="18"/>
          <w:b w:val="1"/>
          <w:bCs w:val="1"/>
          <w:color w:val="auto"/>
        </w:rPr>
        <w:t>INTENTIONALLY OMITTED.</w:t>
      </w:r>
    </w:p>
    <w:p>
      <w:pPr>
        <w:spacing w:after="0" w:line="225"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PARAGRAPH 11: PROJECT SERVICES</w:t>
      </w:r>
      <w:r>
        <w:rPr>
          <w:rFonts w:ascii="Arial" w:cs="Arial" w:eastAsia="Arial" w:hAnsi="Arial"/>
          <w:sz w:val="16"/>
          <w:szCs w:val="16"/>
          <w:color w:val="auto"/>
        </w:rPr>
        <w:t>: Subject to force majeure events and other causes beyond Landlord’s reasonable control, Landlord shall</w:t>
      </w:r>
      <w:r>
        <w:rPr>
          <w:rFonts w:ascii="Arial" w:cs="Arial" w:eastAsia="Arial" w:hAnsi="Arial"/>
          <w:sz w:val="16"/>
          <w:szCs w:val="16"/>
          <w:b w:val="1"/>
          <w:bCs w:val="1"/>
          <w:color w:val="auto"/>
        </w:rPr>
        <w:t xml:space="preserve"> </w:t>
      </w:r>
      <w:r>
        <w:rPr>
          <w:rFonts w:ascii="Arial" w:cs="Arial" w:eastAsia="Arial" w:hAnsi="Arial"/>
          <w:sz w:val="16"/>
          <w:szCs w:val="16"/>
          <w:color w:val="auto"/>
        </w:rPr>
        <w:t>furnish Project Services, as defined herein, as specifically provided herein and, at a minimum, as in the manner generally provided in comparable buildings in</w:t>
      </w:r>
    </w:p>
    <w:p>
      <w:pPr>
        <w:sectPr>
          <w:pgSz w:w="11900" w:h="16979" w:orient="portrait"/>
          <w:cols w:equalWidth="0" w:num="1">
            <w:col w:w="11400"/>
          </w:cols>
          <w:pgMar w:left="240" w:top="125" w:right="259" w:bottom="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the Brisbane/South San Francisco area including, but not limited to:</w:t>
      </w:r>
    </w:p>
    <w:p>
      <w:pPr>
        <w:spacing w:after="0" w:line="221" w:lineRule="exact"/>
        <w:rPr>
          <w:sz w:val="20"/>
          <w:szCs w:val="20"/>
          <w:color w:val="auto"/>
        </w:rPr>
      </w:pPr>
    </w:p>
    <w:p>
      <w:pPr>
        <w:ind w:firstLine="656"/>
        <w:spacing w:after="0" w:line="272" w:lineRule="auto"/>
        <w:tabs>
          <w:tab w:leader="none" w:pos="1294"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Utility Services: </w:t>
      </w:r>
      <w:r>
        <w:rPr>
          <w:rFonts w:ascii="Arial" w:cs="Arial" w:eastAsia="Arial" w:hAnsi="Arial"/>
          <w:sz w:val="17"/>
          <w:szCs w:val="17"/>
          <w:color w:val="auto"/>
        </w:rPr>
        <w:t>Electricity to the Premises twenty-four (24) hours per day, seven (7) days per week, three-hundred sixty-five (365) days</w:t>
      </w:r>
      <w:r>
        <w:rPr>
          <w:rFonts w:ascii="Arial" w:cs="Arial" w:eastAsia="Arial" w:hAnsi="Arial"/>
          <w:sz w:val="17"/>
          <w:szCs w:val="17"/>
          <w:b w:val="1"/>
          <w:bCs w:val="1"/>
          <w:color w:val="auto"/>
        </w:rPr>
        <w:t xml:space="preserve"> </w:t>
      </w:r>
      <w:r>
        <w:rPr>
          <w:rFonts w:ascii="Arial" w:cs="Arial" w:eastAsia="Arial" w:hAnsi="Arial"/>
          <w:sz w:val="17"/>
          <w:szCs w:val="17"/>
          <w:color w:val="auto"/>
        </w:rPr>
        <w:t>per year (“24/7”); hot and cold running water to the Premises 24/7 (however, as to the portion of the Premises located on the third floor only as provided in the Building standard restrooms); sewer to the Premises 24/7; refuse and rubbish removal (except for periodic removal during the day, which shall be Tenant’s obligation); lighting, and bulb, tube, lamp and ballast replacement for the Building standard light fixtures; and heating, ventilation and air conditioning. Should Tenant, in Landlord’s reasonable judgment, use additional, unusual or excessive electricity in the portion of the Premises located on the third floor, Landlord reserves the right to charge Tenant Landlord’s actual costs for such services as determined either by a separate submeter installed at Tenant’s expense, or by another commercially reasonable method selected by Landlord. Notwithstanding anything above or elsewhere in this Lease to the contrary, Tenant shall be separately metered for all electricity consumed in the ground floor portion of the Premises.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56"/>
        <w:spacing w:after="0" w:line="256" w:lineRule="auto"/>
        <w:tabs>
          <w:tab w:leader="none" w:pos="1304"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Common Area Maintenance Services: </w:t>
      </w:r>
      <w:r>
        <w:rPr>
          <w:rFonts w:ascii="Arial" w:cs="Arial" w:eastAsia="Arial" w:hAnsi="Arial"/>
          <w:sz w:val="18"/>
          <w:szCs w:val="18"/>
          <w:color w:val="auto"/>
        </w:rPr>
        <w:t>Repair and maintenance of all interior and exterior common areas including parking areas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roof so as to maintain the same in safe, “good” condition and working order. Services include, but are not limited to, lighting, landscaping, cleaning, painting, resurfacing of the parking facilities, litter removal, painting, rodent/insect control, and window washing. Window washing shall be performed not less frequently than twice per calendar year and lighting of the parking facilities shall be provided, at a minimum, between dusk and dawn, otherwise all of the foregoing services shall be performed at such times and with such frequency as substantially provided in comparable buildings in the City of South San Francisco.</w:t>
      </w:r>
    </w:p>
    <w:p>
      <w:pPr>
        <w:spacing w:after="0" w:line="187" w:lineRule="exact"/>
        <w:rPr>
          <w:rFonts w:ascii="Arial" w:cs="Arial" w:eastAsia="Arial" w:hAnsi="Arial"/>
          <w:sz w:val="18"/>
          <w:szCs w:val="18"/>
          <w:color w:val="auto"/>
        </w:rPr>
      </w:pPr>
    </w:p>
    <w:p>
      <w:pPr>
        <w:ind w:right="40" w:firstLine="656"/>
        <w:spacing w:after="0" w:line="260" w:lineRule="auto"/>
        <w:tabs>
          <w:tab w:leader="none" w:pos="1307"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Janitorial Services: </w:t>
      </w:r>
      <w:r>
        <w:rPr>
          <w:rFonts w:ascii="Arial" w:cs="Arial" w:eastAsia="Arial" w:hAnsi="Arial"/>
          <w:sz w:val="17"/>
          <w:szCs w:val="17"/>
          <w:color w:val="auto"/>
        </w:rPr>
        <w:t>Cleaning service for the Premises (excluding the first (1</w:t>
      </w:r>
      <w:r>
        <w:rPr>
          <w:rFonts w:ascii="Arial" w:cs="Arial" w:eastAsia="Arial" w:hAnsi="Arial"/>
          <w:sz w:val="22"/>
          <w:szCs w:val="22"/>
          <w:color w:val="auto"/>
          <w:vertAlign w:val="superscript"/>
        </w:rPr>
        <w:t>st</w:t>
      </w:r>
      <w:r>
        <w:rPr>
          <w:rFonts w:ascii="Arial" w:cs="Arial" w:eastAsia="Arial" w:hAnsi="Arial"/>
          <w:sz w:val="17"/>
          <w:szCs w:val="17"/>
          <w:color w:val="auto"/>
        </w:rPr>
        <w:t>) floor portion of the Premises which shall be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responsibility) consistent with the standards applied to other tenants of the Building, at Landlord’s expense (subject to reimbursement through Operating Payments), but at a minimum substantially consistent with janitorial services provided to tenants of comparable buildings in the City of South San Francisco provided that the Premises are kept in order by Tenant. The services set forth in this Subparagraph shall only be furnished to Tenant five (5) days per week, excluding legal holidays observed by the United States government (“Holidays”). Notwithstanding anything above or elsewhere to the contrary in this Lease, Tenant, at Tenant’s sole cost and expense, shall provide janitorial services to the ground floor portion of the Premises pursuant to a janitorial contract (and with a janitorial contractor) reasonably approved by Landlord.</w:t>
      </w:r>
    </w:p>
    <w:p>
      <w:pPr>
        <w:spacing w:after="0" w:line="184" w:lineRule="exact"/>
        <w:rPr>
          <w:rFonts w:ascii="Arial" w:cs="Arial" w:eastAsia="Arial" w:hAnsi="Arial"/>
          <w:sz w:val="17"/>
          <w:szCs w:val="17"/>
          <w:color w:val="auto"/>
        </w:rPr>
      </w:pPr>
    </w:p>
    <w:p>
      <w:pPr>
        <w:ind w:right="320" w:firstLine="656"/>
        <w:spacing w:after="0" w:line="282" w:lineRule="auto"/>
        <w:tabs>
          <w:tab w:leader="none" w:pos="1304"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Elevator Service: </w:t>
      </w:r>
      <w:r>
        <w:rPr>
          <w:rFonts w:ascii="Arial" w:cs="Arial" w:eastAsia="Arial" w:hAnsi="Arial"/>
          <w:sz w:val="18"/>
          <w:szCs w:val="18"/>
          <w:color w:val="auto"/>
        </w:rPr>
        <w:t>There shall also be at least one elevator serving the Building available for Tenant’s use, 24/7. Freight elevator use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scheduling with Landlord’s property manager</w:t>
      </w:r>
    </w:p>
    <w:p>
      <w:pPr>
        <w:spacing w:after="0" w:line="161" w:lineRule="exact"/>
        <w:rPr>
          <w:rFonts w:ascii="Arial" w:cs="Arial" w:eastAsia="Arial" w:hAnsi="Arial"/>
          <w:sz w:val="18"/>
          <w:szCs w:val="18"/>
          <w:color w:val="auto"/>
        </w:rPr>
      </w:pPr>
    </w:p>
    <w:p>
      <w:pPr>
        <w:jc w:val="both"/>
        <w:ind w:right="20" w:firstLine="656"/>
        <w:spacing w:after="0" w:line="261" w:lineRule="auto"/>
        <w:tabs>
          <w:tab w:leader="none" w:pos="1307"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Access Control: </w:t>
      </w:r>
      <w:r>
        <w:rPr>
          <w:rFonts w:ascii="Arial" w:cs="Arial" w:eastAsia="Arial" w:hAnsi="Arial"/>
          <w:sz w:val="18"/>
          <w:szCs w:val="18"/>
          <w:color w:val="auto"/>
        </w:rPr>
        <w:t>Landlord shall not be liable for loss to Tenant, its agents, employees, and visitors arising out of theft, burglary, or damage</w:t>
      </w:r>
      <w:r>
        <w:rPr>
          <w:rFonts w:ascii="Arial" w:cs="Arial" w:eastAsia="Arial" w:hAnsi="Arial"/>
          <w:sz w:val="18"/>
          <w:szCs w:val="18"/>
          <w:b w:val="1"/>
          <w:bCs w:val="1"/>
          <w:color w:val="auto"/>
        </w:rPr>
        <w:t xml:space="preserve"> </w:t>
      </w:r>
      <w:r>
        <w:rPr>
          <w:rFonts w:ascii="Arial" w:cs="Arial" w:eastAsia="Arial" w:hAnsi="Arial"/>
          <w:sz w:val="18"/>
          <w:szCs w:val="18"/>
          <w:color w:val="auto"/>
        </w:rPr>
        <w:t>or injury to persons or property caused by persons gaining access to the Building or the Premises, except if such loss, injury, or damage arises from the breach of this Lease by Landlord or the negligence or willful misconduct of Landlord so long as the change does not exceed the actual cost, without mark-up, of providing such service.</w:t>
      </w:r>
    </w:p>
    <w:p>
      <w:pPr>
        <w:spacing w:after="0" w:line="184"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The services described in Subparagraphs (a) through (e) above shall be collectively referred to as “Project Services”. The costs of Project Services shall be part of the Operating Expenses, subject to Paragraph 6(b). Unless otherwise indicated, Project Services shall be furnished during normal Building hours, which are 7:00 a.m. to 6:00 p.m., Monday through Friday, and 8:00 a.m. to 1:00 p.m. on Saturdays, excluding Sundays and Holidays observed by the United States government. If requested by Tenant with twenty-four (24) hours prior notice, Landlord will make available heating, ventilating and air conditioning service to the third floor portion of the Premises at other times at a fixed rate of $50.00 per hour throughout the Lease Term Tenant shall have access to the parking facilities, Building and Premises at all times during the Term.</w:t>
      </w:r>
    </w:p>
    <w:p>
      <w:pPr>
        <w:spacing w:after="0" w:line="17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PARAGRAPH 12: INTERRUPTION OF SERVICES</w:t>
      </w:r>
      <w:r>
        <w:rPr>
          <w:rFonts w:ascii="Arial" w:cs="Arial" w:eastAsia="Arial" w:hAnsi="Arial"/>
          <w:sz w:val="18"/>
          <w:szCs w:val="18"/>
          <w:color w:val="auto"/>
        </w:rPr>
        <w:t>: Landlord shall not be liable to Tenant for damages upon any loss, damage, failure,</w:t>
      </w:r>
      <w:r>
        <w:rPr>
          <w:rFonts w:ascii="Arial" w:cs="Arial" w:eastAsia="Arial" w:hAnsi="Arial"/>
          <w:sz w:val="18"/>
          <w:szCs w:val="18"/>
          <w:b w:val="1"/>
          <w:bCs w:val="1"/>
          <w:color w:val="auto"/>
        </w:rPr>
        <w:t xml:space="preserve"> </w:t>
      </w:r>
      <w:r>
        <w:rPr>
          <w:rFonts w:ascii="Arial" w:cs="Arial" w:eastAsia="Arial" w:hAnsi="Arial"/>
          <w:sz w:val="18"/>
          <w:szCs w:val="18"/>
          <w:color w:val="auto"/>
        </w:rPr>
        <w:t>interruption, defect or change in the character or supply of electricity or water to the Premises, and Tenant agrees that such supply may be interrupted in cases of emergency (provided Landlord uses its commercially reasonable efforts 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restore such supply as soon as reasonably possible under the circumstances). Notwithstanding any other provisions of this Lease, (i) if Landlord fails to provide Tenant access to the Premises or (ii) if any of the Project Services to be provided by Landlord are suspended or interrupted for any reason other than the willful acts or negligence of Tenant or by reason of force majeure and as a result thereof Tenant is not reasonably able to conduct its business at the Premises and Tenant actually ceases to conduct its business in all or a portion of the Premises (each, together with the Entry Abatement Condition described in Paragraph 19(d), an “Abatement Condition”), then Tenant may elect, by notice to Landlord, to have Base Rent due hereunder abate until such time as the access or applicable Project Services are restored to the Premises, subject to the following additional provisions having occurred in each instance: (a) with respect to the Abatement Condition in question, Tenant shall have given notice to Landlord of the occurrence thereof, which notice shall designate the cause of the Abatement Condition and the portion of the Premises which is not reasonably usable by Tenant for the Permitted Use (the “Abatement Space”) and the Abatement Condition in question shall have continued after Tenant has given notice, for a period of more than five (5) business day; and (b) Tenant has actually ceased using the Abatement Space for more than five (5) business day after the giving of notice of the Abatement Condition. If, with respect to the Abatement Condition in question, the conditions of the immediately preceding sentence are fulfilled, then Base Rent shall abate, in the proportion that the rentable square foot area of the portion of the Premises that is not reasonably usable by Tenant for the Permitted Use (and not actually used therefor by Tenant) to the rentable square foot area of the Premises, for a period equal to the period during which Tenant actually ceases using the Abatement Space for the Permitted Use, but commencing no sooner than the day after the giving of notice of the Abatement Condition and ending no later than the date that the access or applicable Project Services are fully restored to Tenant. Tenant agrees that any Abatement of Base Rent received by Tenant hereunder shall be Tenant’s sole and exclusive remedy solely for the suspension or interruption of Project Services on which such abatement was based. Tenant shall not, however, be entitled to any abatement of Base Rent if the interruption or abatement in Project Services is solely the result of an interruption or abatement in the service of a public utility, provided such interruption or abatement is not the result of Landlord’s failure to timely pay the public utility or otherwise comply with the terms of service of the public utility. By way of example only, there shall be no abatement of Base Rent if Landlord is unable to furnish water or electricity to the Premises if no water or electricity is then being made available to the Building by the supplying utility company or municipality, provided the reason for such unavailability is not Landlord’s failure to timely pay the utility company or municipality or otherwise comply with the terms of service of the utility company or municipality.</w:t>
      </w:r>
    </w:p>
    <w:p>
      <w:pPr>
        <w:sectPr>
          <w:pgSz w:w="11900" w:h="16838" w:orient="portrait"/>
          <w:cols w:equalWidth="0" w:num="1">
            <w:col w:w="11420"/>
          </w:cols>
          <w:pgMar w:left="240" w:top="125" w:right="239" w:bottom="0" w:gutter="0" w:footer="0" w:header="0"/>
        </w:sectPr>
      </w:pPr>
    </w:p>
    <w:bookmarkStart w:id="59" w:name="page60"/>
    <w:bookmarkEnd w:id="59"/>
    <w:p>
      <w:pPr>
        <w:spacing w:after="0" w:line="103"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13:</w:t>
      </w:r>
      <w:r>
        <w:rPr>
          <w:sz w:val="20"/>
          <w:szCs w:val="20"/>
          <w:color w:val="auto"/>
        </w:rPr>
        <w:tab/>
      </w:r>
      <w:r>
        <w:rPr>
          <w:rFonts w:ascii="Arial" w:cs="Arial" w:eastAsia="Arial" w:hAnsi="Arial"/>
          <w:sz w:val="16"/>
          <w:szCs w:val="16"/>
          <w:b w:val="1"/>
          <w:bCs w:val="1"/>
          <w:color w:val="auto"/>
        </w:rPr>
        <w:t>USE OF PREMISES</w:t>
      </w:r>
      <w:r>
        <w:rPr>
          <w:rFonts w:ascii="Arial" w:cs="Arial" w:eastAsia="Arial" w:hAnsi="Arial"/>
          <w:sz w:val="16"/>
          <w:szCs w:val="16"/>
          <w:color w:val="auto"/>
        </w:rPr>
        <w:t>: Tenant agrees to:</w:t>
      </w:r>
    </w:p>
    <w:p>
      <w:pPr>
        <w:spacing w:after="0" w:line="229"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Use the Premises for the Permitted Use and for no other purpose.</w:t>
      </w:r>
    </w:p>
    <w:p>
      <w:pPr>
        <w:spacing w:after="0" w:line="225" w:lineRule="exact"/>
        <w:rPr>
          <w:rFonts w:ascii="Arial" w:cs="Arial" w:eastAsia="Arial" w:hAnsi="Arial"/>
          <w:sz w:val="18"/>
          <w:szCs w:val="18"/>
          <w:color w:val="auto"/>
        </w:rPr>
      </w:pPr>
    </w:p>
    <w:p>
      <w:pPr>
        <w:ind w:right="20" w:firstLine="656"/>
        <w:spacing w:after="0" w:line="257" w:lineRule="auto"/>
        <w:tabs>
          <w:tab w:leader="none" w:pos="1304" w:val="left"/>
        </w:tabs>
        <w:numPr>
          <w:ilvl w:val="0"/>
          <w:numId w:val="70"/>
        </w:numPr>
        <w:rPr>
          <w:rFonts w:ascii="Arial" w:cs="Arial" w:eastAsia="Arial" w:hAnsi="Arial"/>
          <w:sz w:val="18"/>
          <w:szCs w:val="18"/>
          <w:color w:val="auto"/>
        </w:rPr>
      </w:pPr>
      <w:r>
        <w:rPr>
          <w:rFonts w:ascii="Arial" w:cs="Arial" w:eastAsia="Arial" w:hAnsi="Arial"/>
          <w:sz w:val="18"/>
          <w:szCs w:val="18"/>
          <w:color w:val="auto"/>
        </w:rPr>
        <w:t>Use the Premises in compliance with all laws, ordinances, regulations or rules applicable to the Premises. Tenant shall comply with all recorded covenants, conditions, and restrictions (“CC&amp;Rs”), and the provisions of all ground or underlying leases now affecting the Property and those affecting the Property after the date hereof, so long as such new CC&amp;Rs and/or ground or underlying lease do not materially increase Tenant’s obligations or decrease or impair Tenant’s rights under this Lease. However, so long as it uses the Premises for the Permitted Use, Tenant shall not be obligated to make any alterations, improvements, renovations, or other changes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to the Premises due to laws, ordinances, regulations or governmental orders now or hereafter in effect, unless such alterations, improvements, renovations, or other changes are required as a result of any Tenant Alterations In no event shall Tenant be responsible for legally required improvements to the common areas which may be triggered by the initial Tenant Improvements constructed by Tenant pursuant to Exhibit “C”.</w:t>
      </w:r>
    </w:p>
    <w:p>
      <w:pPr>
        <w:spacing w:after="0" w:line="166" w:lineRule="exact"/>
        <w:rPr>
          <w:sz w:val="20"/>
          <w:szCs w:val="20"/>
          <w:color w:val="auto"/>
        </w:rPr>
      </w:pPr>
    </w:p>
    <w:p>
      <w:pPr>
        <w:ind w:right="260" w:firstLine="656"/>
        <w:spacing w:after="0" w:line="264" w:lineRule="auto"/>
        <w:tabs>
          <w:tab w:leader="none" w:pos="1307"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 do or permit any Tenant’s Parties to do anything in or about the Premises, or bring or keep anything in the Premises, beyond the Permitted Use, that may increase Landlord’s fire and extended coverage insurance premium, damage the Building or the Property, constitute waste, or be a nuisance, public or private.</w:t>
      </w:r>
    </w:p>
    <w:p>
      <w:pPr>
        <w:spacing w:after="0" w:line="181" w:lineRule="exact"/>
        <w:rPr>
          <w:rFonts w:ascii="Arial" w:cs="Arial" w:eastAsia="Arial" w:hAnsi="Arial"/>
          <w:sz w:val="18"/>
          <w:szCs w:val="18"/>
          <w:color w:val="auto"/>
        </w:rPr>
      </w:pPr>
    </w:p>
    <w:p>
      <w:pPr>
        <w:ind w:right="60" w:firstLine="656"/>
        <w:spacing w:after="0" w:line="257" w:lineRule="auto"/>
        <w:tabs>
          <w:tab w:leader="none" w:pos="1304"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Observe, perform and abide by all reasonable, non-discriminatory and uniformly enforced rules and regulations promulgated by Landlord and delivered in writing to Tenant from time to time, provided such rules and regulations (including all amendments and supplements thereto) do not materially interfere with the Permitted Use or conflict with the terms of this Lease. The initial Rules and Regulations, which Tenant has agreed to, are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 In the event of any conflict between the terms of this Lease and the terms of any rules and regulations promulgated by Landlord (including Exhibit F hereto), the terms of this Lease shall prevail and control.</w:t>
      </w:r>
    </w:p>
    <w:p>
      <w:pPr>
        <w:spacing w:after="0" w:line="18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b w:val="1"/>
          <w:bCs w:val="1"/>
          <w:color w:val="auto"/>
        </w:rPr>
        <w:t>PARAGRAPH 14: SIGNS AND GRAPHICS</w:t>
      </w:r>
      <w:r>
        <w:rPr>
          <w:rFonts w:ascii="Arial" w:cs="Arial" w:eastAsia="Arial" w:hAnsi="Arial"/>
          <w:sz w:val="16"/>
          <w:szCs w:val="16"/>
          <w:color w:val="auto"/>
        </w:rPr>
        <w:t>: Landlord will, at Landlord’s expense, provide Tenant with a Building standard directory sign, floor</w:t>
      </w:r>
      <w:r>
        <w:rPr>
          <w:rFonts w:ascii="Arial" w:cs="Arial" w:eastAsia="Arial" w:hAnsi="Arial"/>
          <w:sz w:val="16"/>
          <w:szCs w:val="16"/>
          <w:b w:val="1"/>
          <w:bCs w:val="1"/>
          <w:color w:val="auto"/>
        </w:rPr>
        <w:t xml:space="preserve"> </w:t>
      </w:r>
      <w:r>
        <w:rPr>
          <w:rFonts w:ascii="Arial" w:cs="Arial" w:eastAsia="Arial" w:hAnsi="Arial"/>
          <w:sz w:val="16"/>
          <w:szCs w:val="16"/>
          <w:color w:val="auto"/>
        </w:rPr>
        <w:t>lobby signage on all Tenant occupied floors and suite signs on all Tenant occupied floors. Except as provided in this Paragraph 14, Tenant shall not place any lettering, sign, advertisement, notice or object (collectively, “Signage”) on the windows or doors or on the outside of the perimeter walls of the Premises unless Landlord has given prior written consent and Tenant has obtained all applicable governmental approvals or the placement or posting of such Signage is required by code or other laws or such Signage is located in the shipping and receiving area of the Premises or in the Emergency Generator area. Any sign or lettering not approved by Landlord (where Landlord’s approval is required) may be removed by Landlord following five (5) business days prior written notice to Tenant of Landlord’s intention to remove the same and the cost of such removal and any necessary repair shall be paid for by Tenant. Subject to the approval of all applicable governmental and quasi-governmental entities, and subject to all applicable governmental laws, rules, regulations and codes and any covenants, conditions and restrictions affecting the Building, Landlord hereby grants Tenant the non-exclusive right to have one (1) Building exterior identification sign containing the name “Veracyte” in a location on the west facing side of the Building (the “Exterior Sign”). The design, size, specifications, graphics, materials, manner of affixing, exact location, colors and lighting (if applicable) of Tenant’s Exterior Sign shall be (i) consistent with the quality and appearance of the Building, (ii) subject to the approval of all applicable governmental and quasi-governmental authorities, and subject to all applicable governmental and quasi-governmental laws, rules, regulations and codes and any covenants, conditions and restrictions affecting the Building, and</w:t>
      </w:r>
    </w:p>
    <w:p>
      <w:pPr>
        <w:spacing w:after="0" w:line="7" w:lineRule="exact"/>
        <w:rPr>
          <w:sz w:val="20"/>
          <w:szCs w:val="20"/>
          <w:color w:val="auto"/>
        </w:rPr>
      </w:pPr>
    </w:p>
    <w:p>
      <w:pPr>
        <w:ind w:right="20" w:firstLine="8"/>
        <w:spacing w:after="0" w:line="295" w:lineRule="auto"/>
        <w:tabs>
          <w:tab w:leader="none" w:pos="315" w:val="left"/>
        </w:tabs>
        <w:numPr>
          <w:ilvl w:val="0"/>
          <w:numId w:val="72"/>
        </w:numPr>
        <w:rPr>
          <w:rFonts w:ascii="Arial" w:cs="Arial" w:eastAsia="Arial" w:hAnsi="Arial"/>
          <w:sz w:val="16"/>
          <w:szCs w:val="16"/>
          <w:color w:val="auto"/>
        </w:rPr>
      </w:pPr>
      <w:r>
        <w:rPr>
          <w:rFonts w:ascii="Arial" w:cs="Arial" w:eastAsia="Arial" w:hAnsi="Arial"/>
          <w:sz w:val="16"/>
          <w:szCs w:val="16"/>
          <w:color w:val="auto"/>
        </w:rPr>
        <w:t>subject to Landlord’s approval (which shall not be unreasonably withheld, conditioned or delayed). Tenant shall install Tenant’s Exterior Sign at Tenant’s sole cost and expense. In addition, Tenant shall be responsible for all other costs attributable to the fabrication, insurance, lighting (if applicable), maintenance, repair and removal of Tenant’s Exterior Sign. The Exterior Sign right granted to Tenant under this Paragraph 14 is personal to the original Tenant executing this Lease (“Original Tenant”) and any Permitted Transferee (as defined in Paragraph 18) that is an assignee of Original Tenant’s entire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interest in this Lease (herein, a “Permitted Assignee”) and may not be exercised or used by or assigned to any other person or entity. In addition, Original Tenant (or such Permitted Assignee) shall no longer have any right to Tenant’s Exterior Sign if at any time during the Term the Original Tenant (or such Permitted Assignee) does not lease and occupy at least 50% the entire Premises then leased by Original Tenant (or such Permitted Assignee) hereunder. Upon the expiration or sooner termination of this Lease, or upon the earlier termination of Tenant’s signage rights under this Paragraph 14, Landlord shall have the right to permanently remove Tenant’s Exterior Sign from the Building and to repair all damage to the Building resulting from such removal and restore the affected area to its original condition existing immediately prior to the installation of such Exterior Sign, and Tenant shall reimburse Landlord for the reasonable costs thereof; provided, however, that Tenant shall have no obligation to reimburse Landlord for any costs arising out Landlord’s or its contractor’s improper or negligent removal of Tenant’s Exterior Sign.</w:t>
      </w:r>
    </w:p>
    <w:p>
      <w:pPr>
        <w:spacing w:after="0" w:line="175"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15:</w:t>
      </w:r>
      <w:r>
        <w:rPr>
          <w:sz w:val="20"/>
          <w:szCs w:val="20"/>
          <w:color w:val="auto"/>
        </w:rPr>
        <w:tab/>
      </w:r>
      <w:r>
        <w:rPr>
          <w:rFonts w:ascii="Arial" w:cs="Arial" w:eastAsia="Arial" w:hAnsi="Arial"/>
          <w:sz w:val="18"/>
          <w:szCs w:val="18"/>
          <w:b w:val="1"/>
          <w:bCs w:val="1"/>
          <w:color w:val="auto"/>
        </w:rPr>
        <w:t>INDEMNIFICATION; COMPLIANCE WITH LAW</w:t>
      </w:r>
      <w:r>
        <w:rPr>
          <w:rFonts w:ascii="Arial" w:cs="Arial" w:eastAsia="Arial" w:hAnsi="Arial"/>
          <w:sz w:val="18"/>
          <w:szCs w:val="18"/>
          <w:color w:val="auto"/>
        </w:rPr>
        <w:t>:</w:t>
      </w:r>
    </w:p>
    <w:p>
      <w:pPr>
        <w:spacing w:after="0" w:line="229" w:lineRule="exact"/>
        <w:rPr>
          <w:sz w:val="20"/>
          <w:szCs w:val="20"/>
          <w:color w:val="auto"/>
        </w:rPr>
      </w:pPr>
    </w:p>
    <w:p>
      <w:pPr>
        <w:ind w:right="20" w:firstLine="656"/>
        <w:spacing w:after="0" w:line="270" w:lineRule="auto"/>
        <w:tabs>
          <w:tab w:leader="none" w:pos="1294" w:val="left"/>
        </w:tabs>
        <w:numPr>
          <w:ilvl w:val="0"/>
          <w:numId w:val="73"/>
        </w:numPr>
        <w:rPr>
          <w:rFonts w:ascii="Arial" w:cs="Arial" w:eastAsia="Arial" w:hAnsi="Arial"/>
          <w:sz w:val="17"/>
          <w:szCs w:val="17"/>
          <w:color w:val="auto"/>
        </w:rPr>
      </w:pPr>
      <w:r>
        <w:rPr>
          <w:rFonts w:ascii="Arial" w:cs="Arial" w:eastAsia="Arial" w:hAnsi="Arial"/>
          <w:sz w:val="17"/>
          <w:szCs w:val="17"/>
          <w:color w:val="auto"/>
        </w:rPr>
        <w:t>Subject to Paragraphs 16(g) and 21, Tenant shall defend, indemnify and hold Landlord and its officers and directors (collectively, the “Landlord Indemnitees”) harmless from and against any and all written demands, causes of action, judgments, costs, expenses, losses (excluding lost profits and lost revenues), damages (excluding special, indirect, punitive and consequential damages), claims, or liability for any damage to any property or injury, illness or death of any person (i) occurring in the Premises at any time during the Term from any cause other than the negligence or willful misconduct of Landlord or its agents, employees or contractors; (ii) occurring during the Term in or on the Property other than the Premises, to the extent such damage, injury, illness or death shall be caused in whole or in part by any act or omission or willful or criminal misconduct of Tenant or any agent, employee or contractor of Tenant; (iii) arising out of claims for labor performed or materials furnished to Tenant at its request or the performance of any work done by or at the request of Tenant, whether or not Tenant obtained Landlord’s permission to have such work done, labor performed or materials furnished; or (iv) arising out of or in any way related to any breach of a covenant in this Lease to be performed by Tenant.</w:t>
      </w:r>
    </w:p>
    <w:p>
      <w:pPr>
        <w:spacing w:after="0" w:line="181" w:lineRule="exact"/>
        <w:rPr>
          <w:rFonts w:ascii="Arial" w:cs="Arial" w:eastAsia="Arial" w:hAnsi="Arial"/>
          <w:sz w:val="17"/>
          <w:szCs w:val="17"/>
          <w:color w:val="auto"/>
        </w:rPr>
      </w:pPr>
    </w:p>
    <w:p>
      <w:pPr>
        <w:ind w:right="20" w:firstLine="656"/>
        <w:spacing w:after="0" w:line="297" w:lineRule="auto"/>
        <w:tabs>
          <w:tab w:leader="none" w:pos="1304" w:val="left"/>
        </w:tabs>
        <w:numPr>
          <w:ilvl w:val="0"/>
          <w:numId w:val="73"/>
        </w:numPr>
        <w:rPr>
          <w:rFonts w:ascii="Arial" w:cs="Arial" w:eastAsia="Arial" w:hAnsi="Arial"/>
          <w:sz w:val="16"/>
          <w:szCs w:val="16"/>
          <w:color w:val="auto"/>
        </w:rPr>
      </w:pPr>
      <w:r>
        <w:rPr>
          <w:rFonts w:ascii="Arial" w:cs="Arial" w:eastAsia="Arial" w:hAnsi="Arial"/>
          <w:sz w:val="16"/>
          <w:szCs w:val="16"/>
          <w:color w:val="auto"/>
        </w:rPr>
        <w:t>Subject to Paragraphs 16(g) and 21, Landlord shall defend, indemnify and hold Tenant and its officers and directors, (collectively, the “Tenant Indemnitees”) harmless from and against any and all written demands, causes of action, judgments, costs, expenses, losses (excluding lost profits and lost revenues), damages (excluding special, indirect, punitive and consequential damages), claims, or liability for any damage to any property or injury, illness or death of any person (i) occurring in the Premises, Building or Property at any time during the Term to the extent such damage, injury, illness or death shall be caused in whole or in part by negligence or willful or criminal misconduct of Landlord or its agents, employees or contractors; (ii) arising out of claims for</w:t>
      </w:r>
    </w:p>
    <w:p>
      <w:pPr>
        <w:sectPr>
          <w:pgSz w:w="11900" w:h="16941" w:orient="portrait"/>
          <w:cols w:equalWidth="0" w:num="1">
            <w:col w:w="11420"/>
          </w:cols>
          <w:pgMar w:left="240" w:top="121" w:right="239" w:bottom="0" w:gutter="0" w:footer="0" w:header="0"/>
        </w:sectPr>
      </w:pPr>
    </w:p>
    <w:bookmarkStart w:id="60" w:name="page61"/>
    <w:bookmarkEnd w:id="60"/>
    <w:p>
      <w:pPr>
        <w:ind w:right="160"/>
        <w:spacing w:after="0" w:line="277" w:lineRule="auto"/>
        <w:rPr>
          <w:sz w:val="20"/>
          <w:szCs w:val="20"/>
          <w:color w:val="auto"/>
        </w:rPr>
      </w:pPr>
      <w:r>
        <w:rPr>
          <w:rFonts w:ascii="Arial" w:cs="Arial" w:eastAsia="Arial" w:hAnsi="Arial"/>
          <w:sz w:val="18"/>
          <w:szCs w:val="18"/>
          <w:color w:val="auto"/>
        </w:rPr>
        <w:t>labor performed or materials furnished to Landlord at its request or the performance of any work done by or at the request of Landlord; or (iii) arising out of any breach of a covenant of this Lease to be performed by Landlord.</w:t>
      </w:r>
    </w:p>
    <w:p>
      <w:pPr>
        <w:spacing w:after="0" w:line="170" w:lineRule="exact"/>
        <w:rPr>
          <w:sz w:val="20"/>
          <w:szCs w:val="20"/>
          <w:color w:val="auto"/>
        </w:rPr>
      </w:pPr>
    </w:p>
    <w:p>
      <w:pPr>
        <w:jc w:val="both"/>
        <w:ind w:right="60" w:firstLine="656"/>
        <w:spacing w:after="0" w:line="259" w:lineRule="auto"/>
        <w:tabs>
          <w:tab w:leader="none" w:pos="1307"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addition, subject to Paragraph 13(b) above and Paragraph 15(d) below, Tenant, at its expense, shall comply with all laws, regulations and governmental orders with respect to Tenant’s use or occupancy of and Alterations to, the Premises including, without limitation, any Environmental Laws (as hereinafter defined) applicable to Tenant. Landlord shall be responsible for any repairs, maintenance, alterations, improvements and other changes of or to the common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areas of the Property which are required to comply with Title III of the Americans with Disabilities Act of 1990 and all regulations promulgated thereunder, and all similar laws and regulations of the State of California (collectively, the “ADA”), and the cost thereof may be an Operating Expense in accordance with Paragraph 6, except as provided in the following sentence. If alterations to the common areas of the Property are required in order to comply with the ADA as a result of Tenant Alterations within the Premises or Tenant’s use of the Premises for other than the Permitted Use, the reasonable cost thereof shall be paid by Tenant within twenty (20) days after receipt of Landlord’s written demand therefor accompanied by invoices substantiating the costs demanded by Landlord. Landlord shall be responsible for the cost and expense of upgrading the Building (including the common areas) to comply with the ADA as in effect and applicable to the Building as of the date hereof and to maintaining the Building (including the common areas) in compliance with the ADA. Tenant shall maintain the Premises in compliance with the ADA at its cost and expense provided that such compliance is not necessitated by Landlord’s failure to comply with its obligations under this Paragraph.</w:t>
      </w:r>
    </w:p>
    <w:p>
      <w:pPr>
        <w:spacing w:after="0" w:line="182" w:lineRule="exact"/>
        <w:rPr>
          <w:sz w:val="20"/>
          <w:szCs w:val="20"/>
          <w:color w:val="auto"/>
        </w:rPr>
      </w:pPr>
    </w:p>
    <w:p>
      <w:pPr>
        <w:ind w:left="1320" w:hanging="664"/>
        <w:spacing w:after="0"/>
        <w:tabs>
          <w:tab w:leader="none" w:pos="1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used in this Lease, the following terms have the following meanings:</w:t>
      </w:r>
    </w:p>
    <w:p>
      <w:pPr>
        <w:spacing w:after="0" w:line="225" w:lineRule="exact"/>
        <w:rPr>
          <w:rFonts w:ascii="Arial" w:cs="Arial" w:eastAsia="Arial" w:hAnsi="Arial"/>
          <w:sz w:val="18"/>
          <w:szCs w:val="18"/>
          <w:color w:val="auto"/>
        </w:rPr>
      </w:pPr>
    </w:p>
    <w:p>
      <w:pPr>
        <w:ind w:right="100" w:firstLine="1305"/>
        <w:spacing w:after="0" w:line="297" w:lineRule="auto"/>
        <w:tabs>
          <w:tab w:leader="none" w:pos="1966" w:val="left"/>
        </w:tabs>
        <w:numPr>
          <w:ilvl w:val="1"/>
          <w:numId w:val="75"/>
        </w:numPr>
        <w:rPr>
          <w:rFonts w:ascii="Arial" w:cs="Arial" w:eastAsia="Arial" w:hAnsi="Arial"/>
          <w:sz w:val="16"/>
          <w:szCs w:val="16"/>
          <w:color w:val="auto"/>
        </w:rPr>
      </w:pPr>
      <w:r>
        <w:rPr>
          <w:rFonts w:ascii="Arial" w:cs="Arial" w:eastAsia="Arial" w:hAnsi="Arial"/>
          <w:sz w:val="16"/>
          <w:szCs w:val="16"/>
          <w:color w:val="auto"/>
        </w:rPr>
        <w:t>“Environmental Law” means any past, present or future federal, state or local statutory or common law, or any regulation, ordinance, code, governmental order or permit, grant, franchise, concession, restriction or agreement issued, entered, promulgated or approved thereunder, relating to (a) the environment, human health or safety, including, without limitation, emissions, discharges, releases or threatened releases of Hazardous Materials (as defined below) into the environment (including, without limitation, air, surface water, groundwater or land), or (b) the manufacture, generation, refining, processing, distribution, use, sale, treatment, receipt, storage, disposal, transport, arranging for transport, or handling of Hazardous Materials.</w:t>
      </w:r>
    </w:p>
    <w:p>
      <w:pPr>
        <w:spacing w:after="0" w:line="158" w:lineRule="exact"/>
        <w:rPr>
          <w:rFonts w:ascii="Arial" w:cs="Arial" w:eastAsia="Arial" w:hAnsi="Arial"/>
          <w:sz w:val="16"/>
          <w:szCs w:val="16"/>
          <w:color w:val="auto"/>
        </w:rPr>
      </w:pPr>
    </w:p>
    <w:p>
      <w:pPr>
        <w:jc w:val="both"/>
        <w:ind w:right="200" w:firstLine="1305"/>
        <w:spacing w:after="0" w:line="264" w:lineRule="auto"/>
        <w:tabs>
          <w:tab w:leader="none" w:pos="1976" w:val="left"/>
        </w:tabs>
        <w:numPr>
          <w:ilvl w:val="1"/>
          <w:numId w:val="75"/>
        </w:numPr>
        <w:rPr>
          <w:rFonts w:ascii="Arial" w:cs="Arial" w:eastAsia="Arial" w:hAnsi="Arial"/>
          <w:sz w:val="18"/>
          <w:szCs w:val="18"/>
          <w:color w:val="auto"/>
        </w:rPr>
      </w:pPr>
      <w:r>
        <w:rPr>
          <w:rFonts w:ascii="Arial" w:cs="Arial" w:eastAsia="Arial" w:hAnsi="Arial"/>
          <w:sz w:val="18"/>
          <w:szCs w:val="18"/>
          <w:color w:val="auto"/>
        </w:rPr>
        <w:t>“Environmental Permits” mean collectively, any and all permits, consents, licenses, approvals and registrations of any nature at any time required in order to comply with any Environmental Law including, but not limited to, any Spill Control Countermeasure Plan and any Hazardous Materials Management Plan, if applicable.</w:t>
      </w:r>
    </w:p>
    <w:p>
      <w:pPr>
        <w:spacing w:after="0" w:line="181" w:lineRule="exact"/>
        <w:rPr>
          <w:rFonts w:ascii="Arial" w:cs="Arial" w:eastAsia="Arial" w:hAnsi="Arial"/>
          <w:sz w:val="18"/>
          <w:szCs w:val="18"/>
          <w:color w:val="auto"/>
        </w:rPr>
      </w:pPr>
    </w:p>
    <w:p>
      <w:pPr>
        <w:ind w:right="220" w:firstLine="1305"/>
        <w:spacing w:after="0" w:line="279" w:lineRule="auto"/>
        <w:tabs>
          <w:tab w:leader="none" w:pos="1985" w:val="left"/>
        </w:tabs>
        <w:numPr>
          <w:ilvl w:val="1"/>
          <w:numId w:val="75"/>
        </w:numPr>
        <w:rPr>
          <w:rFonts w:ascii="Arial" w:cs="Arial" w:eastAsia="Arial" w:hAnsi="Arial"/>
          <w:sz w:val="17"/>
          <w:szCs w:val="17"/>
          <w:color w:val="auto"/>
        </w:rPr>
      </w:pPr>
      <w:r>
        <w:rPr>
          <w:rFonts w:ascii="Arial" w:cs="Arial" w:eastAsia="Arial" w:hAnsi="Arial"/>
          <w:sz w:val="17"/>
          <w:szCs w:val="17"/>
          <w:color w:val="auto"/>
        </w:rPr>
        <w:t>“Hazardous Materials” shall mean and include any hazardous or toxic materials, substances or wastes as now or hereafter designated or regulated under any Environmental Law, including, without limitation, methane, asbestos, petroleum, petroleum hydrocarbons and petroleum based products, urea formaldehyde foam insulation, polychlorinated biphenyls (“PCBs”), Freon and other chlorofluorocarbons, “biohazardous waste,” “medical waste,” “infectious agent”, “mixed waste” or other waste under California Health and Safety Code §§ 117600 et, seq.</w:t>
      </w:r>
    </w:p>
    <w:p>
      <w:pPr>
        <w:spacing w:after="0" w:line="171" w:lineRule="exact"/>
        <w:rPr>
          <w:rFonts w:ascii="Arial" w:cs="Arial" w:eastAsia="Arial" w:hAnsi="Arial"/>
          <w:sz w:val="17"/>
          <w:szCs w:val="17"/>
          <w:color w:val="auto"/>
        </w:rPr>
      </w:pPr>
    </w:p>
    <w:p>
      <w:pPr>
        <w:ind w:right="440" w:firstLine="1305"/>
        <w:spacing w:after="0" w:line="342" w:lineRule="auto"/>
        <w:tabs>
          <w:tab w:leader="none" w:pos="1961" w:val="left"/>
        </w:tabs>
        <w:numPr>
          <w:ilvl w:val="1"/>
          <w:numId w:val="75"/>
        </w:numPr>
        <w:rPr>
          <w:rFonts w:ascii="Arial" w:cs="Arial" w:eastAsia="Arial" w:hAnsi="Arial"/>
          <w:sz w:val="16"/>
          <w:szCs w:val="16"/>
          <w:color w:val="auto"/>
        </w:rPr>
      </w:pPr>
      <w:r>
        <w:rPr>
          <w:rFonts w:ascii="Arial" w:cs="Arial" w:eastAsia="Arial" w:hAnsi="Arial"/>
          <w:sz w:val="16"/>
          <w:szCs w:val="16"/>
          <w:color w:val="auto"/>
        </w:rPr>
        <w:t>“Release” shall mean with respect to any Hazardous Materials, any release, deposit, discharge, emission, leaking, pumping, leaching, spilling, seeping, migrating, injecting, pumping, pouring, emptying, escaping, dumping, disposing or other movement of Hazardous Materials.</w:t>
      </w:r>
    </w:p>
    <w:p>
      <w:pPr>
        <w:spacing w:after="0" w:line="123" w:lineRule="exact"/>
        <w:rPr>
          <w:rFonts w:ascii="Arial" w:cs="Arial" w:eastAsia="Arial" w:hAnsi="Arial"/>
          <w:sz w:val="16"/>
          <w:szCs w:val="16"/>
          <w:color w:val="auto"/>
        </w:rPr>
      </w:pPr>
    </w:p>
    <w:p>
      <w:pPr>
        <w:ind w:right="20" w:firstLine="656"/>
        <w:spacing w:after="0" w:line="308" w:lineRule="auto"/>
        <w:tabs>
          <w:tab w:leader="none" w:pos="1307" w:val="left"/>
        </w:tabs>
        <w:numPr>
          <w:ilvl w:val="0"/>
          <w:numId w:val="75"/>
        </w:numPr>
        <w:rPr>
          <w:rFonts w:ascii="Arial" w:cs="Arial" w:eastAsia="Arial" w:hAnsi="Arial"/>
          <w:sz w:val="17"/>
          <w:szCs w:val="17"/>
          <w:color w:val="auto"/>
        </w:rPr>
      </w:pPr>
      <w:r>
        <w:rPr>
          <w:rFonts w:ascii="Arial" w:cs="Arial" w:eastAsia="Arial" w:hAnsi="Arial"/>
          <w:sz w:val="17"/>
          <w:szCs w:val="17"/>
          <w:color w:val="auto"/>
        </w:rPr>
        <w:t>Tenant will during the Term (i) obtain and maintain in full force and effect all Environmental Permits, if any, that may be required of Tenant from time to time under any Environmental Laws applicable to Tenant and its business operations in the Premises, and (ii) be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and remain in compliance with all terms and conditions of all such Environmental Permits, if any. On or before the date Tenant commences business operations in the Premises and thereafter from time to time within twenty (20) days after receipt of Landlord’s written request (not to be requested more than twice per calendar year), Tenant shall provide to Landlord copies of all Environmental Permits, if any, applicable to Tenant and its business operations in the Premises.</w:t>
      </w:r>
    </w:p>
    <w:p>
      <w:pPr>
        <w:spacing w:after="0" w:line="187" w:lineRule="exact"/>
        <w:rPr>
          <w:sz w:val="20"/>
          <w:szCs w:val="20"/>
          <w:color w:val="auto"/>
        </w:rPr>
      </w:pPr>
    </w:p>
    <w:p>
      <w:pPr>
        <w:ind w:firstLine="656"/>
        <w:spacing w:after="0" w:line="285" w:lineRule="auto"/>
        <w:tabs>
          <w:tab w:leader="none" w:pos="1301" w:val="left"/>
        </w:tabs>
        <w:numPr>
          <w:ilvl w:val="0"/>
          <w:numId w:val="76"/>
        </w:numPr>
        <w:rPr>
          <w:rFonts w:ascii="Arial" w:cs="Arial" w:eastAsia="Arial" w:hAnsi="Arial"/>
          <w:sz w:val="16"/>
          <w:szCs w:val="16"/>
          <w:color w:val="auto"/>
        </w:rPr>
      </w:pPr>
      <w:r>
        <w:rPr>
          <w:rFonts w:ascii="Arial" w:cs="Arial" w:eastAsia="Arial" w:hAnsi="Arial"/>
          <w:sz w:val="16"/>
          <w:szCs w:val="16"/>
          <w:color w:val="auto"/>
        </w:rPr>
        <w:t>Tenant shall not during the Term cause or permit any Hazardous Materials to be brought upon, stored, used, handled, generated or disposed of on, in or under the Premises by Tenant, its agents, employees, subtenants or contractors (collectively, “Tenant’s Parties”) except in accordance with applicable Environmental Law. Landlord acknowledges that it is not the intent of this Paragraph 15(f) to prohibit Tenant from operating its business for the uses permitted hereunder. Tenant’s use of the Premises may involve Hazardous Materials so long as such Hazardous Materials are used, stored, generated and disposed of in accordance with applicable Environmental Law. Tenant agrees to deliver to Landlord, prior to the Commencement Date, Tenant’s Hazardous Materials Business Plan (EPCRA 312) for the Premises and a list identifying each approval or permit, if any, required in connection with Tenant’s use, storage and disposal of Hazardous Materials at the Premises (collectively, the “Hazardous Materials List”). Tenant shall deliver to Landlord an updated Hazardous Materials List on or prior to each annual anniversary of the Commencement Date. Tenant shall deliver to Landlord true and correct copies of the following documents (hereinafter referred to as the “Documents”) relating to the handling, storage, disposal and emission of Hazardous Materials prior to the Commencement Date or, if unavailable at that time, promptly after the receipt from or submission to any Governmental Authority: plans relating to the installation of any storage tanks to be installed in, on, under or about the Premises (provided that installation of storage tanks to contain Hazardous Materials shall only be permitted after Landlord has given Tenant its written consent to do so, which consent Landlord may withhold in its sole and absolute discretion except as to above ground storage tanks which are part of the Emergency Generator as to which Landlord shall not unreasonably withhold its consent); and all closure plans or any other documents required by any and all governmental authorities for any storage tanks installed in, on, under or about the Premises for the closure of any such storage tanks. Tenant shall not be required, however, to provide Landlord with any portion of the Documents containing information of a proprietary nature, which Documents, in and of themselves, do not contain a reference to any Hazardous Materials or activities related to Hazardous Materials. Upon the expiration or earlier termination of this Lease, Tenant agrees to promptly remove or remediate (as required by Environmental Law) from the Premises, the Building and the Property, at its sole cost and expense, any and all Hazardous Materials which were are installed, brought upon, stored, used, generated or disposed of (in violation of Environmental Law) in, under or about the Premises, the Building or any portion thereof by Tenant or any of Tenant’s Parties during the Term of this Lease (such Hazardous Materials being referred to herein as “Tenant Hazardous Materials”).</w:t>
      </w:r>
    </w:p>
    <w:p>
      <w:pPr>
        <w:sectPr>
          <w:pgSz w:w="11900" w:h="16838" w:orient="portrait"/>
          <w:cols w:equalWidth="0" w:num="1">
            <w:col w:w="11420"/>
          </w:cols>
          <w:pgMar w:left="240" w:top="125" w:right="239" w:bottom="0" w:gutter="0" w:footer="0" w:header="0"/>
        </w:sectPr>
      </w:pPr>
    </w:p>
    <w:bookmarkStart w:id="61" w:name="page62"/>
    <w:bookmarkEnd w:id="61"/>
    <w:p>
      <w:pPr>
        <w:spacing w:after="0" w:line="92" w:lineRule="exact"/>
        <w:rPr>
          <w:sz w:val="20"/>
          <w:szCs w:val="20"/>
          <w:color w:val="auto"/>
        </w:rPr>
      </w:pPr>
    </w:p>
    <w:p>
      <w:pPr>
        <w:ind w:right="80" w:firstLine="656"/>
        <w:spacing w:after="0" w:line="297" w:lineRule="auto"/>
        <w:tabs>
          <w:tab w:leader="none" w:pos="1317" w:val="left"/>
        </w:tabs>
        <w:numPr>
          <w:ilvl w:val="0"/>
          <w:numId w:val="77"/>
        </w:numPr>
        <w:rPr>
          <w:rFonts w:ascii="Arial" w:cs="Arial" w:eastAsia="Arial" w:hAnsi="Arial"/>
          <w:sz w:val="16"/>
          <w:szCs w:val="16"/>
          <w:color w:val="auto"/>
        </w:rPr>
      </w:pPr>
      <w:r>
        <w:rPr>
          <w:rFonts w:ascii="Arial" w:cs="Arial" w:eastAsia="Arial" w:hAnsi="Arial"/>
          <w:sz w:val="16"/>
          <w:szCs w:val="16"/>
          <w:color w:val="auto"/>
        </w:rPr>
        <w:t>At any time during the Lease Term, if Landlord reasonably believes that there has been a Release of Tenant Hazardous Materials in the Premises in violation of Environmental Law, Landlord shall have the right, at Landlord’s sole cost and expense (unless such Release was caused by Tenant in which event the cost of such assessment (including any “Phase I” and “Phase 2” assessment) shall be at Tenant’s sole cost and expense), to conduct an environmental assessment of the Premises (as well as any other areas in, on or about the Property that Landlord reasonably believes may have been affected adversely by the alleged Release (collectively, the “Affected Areas”) in order to confirm that the Premises and the Affected Areas do not contain any Tenant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Hazardous Materials in violation of applicable Environmental Laws or under conditions constituting or likely to constitute a Release of Tenant Hazardous Materials. Such environmental assessment shall be a so-called “Phase I” assessment or such other level of investigation which shall be the standard of diligence in the purchase or lease of similar property at the time, together with any additional investigation and report which would customarily follow any discovery contained in such initial Phase I assessment (including, but not limited to, any so-called “Phase II” report). Such right to conduct such environmental assessment shall not be exercised more than once per calendar year unless Tenant is in default under this Paragraph 15(g) (beyond the expiration of all applicable notice and cure periods pertaining to Tenant Hazardous Materials). Landlord shall conduct such environmental assessments at times and in manner that does not unreasonably interfere with Tenant’s operations in the Premises, including complying with Tenant’s commercially reasonable safety requirements while on the Premises.</w:t>
      </w:r>
    </w:p>
    <w:p>
      <w:pPr>
        <w:spacing w:after="0" w:line="179" w:lineRule="exact"/>
        <w:rPr>
          <w:sz w:val="20"/>
          <w:szCs w:val="20"/>
          <w:color w:val="auto"/>
        </w:rPr>
      </w:pPr>
    </w:p>
    <w:p>
      <w:pPr>
        <w:ind w:right="20" w:firstLine="656"/>
        <w:spacing w:after="0" w:line="284" w:lineRule="auto"/>
        <w:tabs>
          <w:tab w:leader="none" w:pos="1304"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the data from any environmental assessment authorized and undertaken by Landlord pursuant to Section (iv) indicates there has been a Release of Tenant Hazardous Materials in violation of Environmental Law resulting in contamination and such Release requires investigation and/or active response action pursuant to Environmental Law, including without limitation active or passive remediation and monitoring or any combination of these activities (“Corrective Action”), Tenant shall immediately undertake Corrective Action with respect to such contamination if, and to the extent, required by the governmental authority exercising jurisdiction over the matter. Any Corrective Action performed by Tenant will be performed with Landlord’s prior written approval (not to be unreasonably withheld, conditioned or delayed) and in accordance with applicable Environmental Laws, at no expense to Landlord and by an environmental consulting firm reasonably acceptable to Landlord. Tenant may perform the Corrective Action before or after the expiration or earlier termination of this Lease, to the extent permitted by governmental agencies with jurisdiction over the Premises, the Building and the Property (provided, however, that any Corrective Action performed after the expiration or earlier termination of this Lease shall be subject to the access fee provisions set forth below). If Tenant undertakes or continues Corrective Action after the expiration or earlier termination of the Term of this Lease, Landlord, upon being given forty-eight (48) hours’ advance notice, may, in Landlord’s sole discretion, elect (without limiting any of the Landlord’s other rights and remedies under this Lease, at law and/or in equity), to provide, at an “access fee” equal to one hundred fifty percent (150%) of the monthly Base Rent in effect for the last month immediately preceding the expiration or earlier termination of the Term of this Lease, access to the Premises, the Building and the Property as may be requested by Tenant and its consultants and contractors to accomplish the Corrective Action. The access fee shall be payable monthly on the same basis monthly Base Rent was previously paid. Tenant, its consultants and/or its contractors may install, inspect, maintain, replace and operate remediation equipment and conduct the Corrective Action as it considers necessary, subject to Landlord’s reasonable approval (not to be unreasonably withheld, conditioned or delayed). Tenant and Landlord shall, in good faith, cooperate with each other with respect to any Corrective Action after the expiration or earlier termination of the Term of this Lease so as not to interfere unreasonably with the conduct of Landlord’s or any third party’s business on the Premises, the Building and the Property. Landlord shall provide access until Tenant delivers evidence reasonably satisfactory to Landlord that Tenant’s Corrective Action activities on the Premises and the Affected Areas satisfy applicable Environmental Laws. It shall be reasonable for Landlord to require Tenant to deliver a “no further action” letter or substantially similar document from the applicable governmental agency. Landlord shall continue to provide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access and Tenant shall continue to pay the access fee until such time as such corrective action is completed Tenant notifies Landlord in writing that it no longer requires access to the Premises, Building or Property. Tenant agrees, to the extent applicable and reasonably practicable, to install, at Tenant’s sole cost and expense, screening around its remediation equipment so as to protect the aesthetic appeal of the Premises, the Building and the project. Tenant also agrees to use reasonable efforts to locate its remediation and/or monitoring equipment, if any (subject to the requirements of Tenant’s consultants and governmental agencies asserting jurisdiction over the Corrective Action) in a location or locations which will allow Landlord, to the extent reasonably practicable, the ability to lease the Premises and the Building to a subsequent user or users. However, Landlord acknowledges that the location of such equipment will be subject to the approval of the governmental agencies asserting jurisdiction over the Corrective Action.</w:t>
      </w:r>
    </w:p>
    <w:p>
      <w:pPr>
        <w:spacing w:after="0" w:line="167" w:lineRule="exact"/>
        <w:rPr>
          <w:sz w:val="20"/>
          <w:szCs w:val="20"/>
          <w:color w:val="auto"/>
        </w:rPr>
      </w:pPr>
    </w:p>
    <w:p>
      <w:pPr>
        <w:ind w:right="120" w:firstLine="656"/>
        <w:spacing w:after="0" w:line="259" w:lineRule="auto"/>
        <w:tabs>
          <w:tab w:leader="none" w:pos="13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Notwithstanding anything to the contrary herein, Landlord acknowledges and agrees that Tenant shall have no obligation to perform any Corrective Action or otherwise investigate, monitor, remediate, remove or respond to, or to indemnify, defend or hold harmless Landlord or Landlord Parties (as defined below) for or in connection with, any Hazardous Materials now or hereafter located on, in or under the Premises, Building or Property unless the Hazardous Materials consist of Tenant Hazardous Materials.</w:t>
      </w:r>
    </w:p>
    <w:p>
      <w:pPr>
        <w:spacing w:after="0" w:line="186" w:lineRule="exact"/>
        <w:rPr>
          <w:rFonts w:ascii="Arial" w:cs="Arial" w:eastAsia="Arial" w:hAnsi="Arial"/>
          <w:sz w:val="18"/>
          <w:szCs w:val="18"/>
          <w:color w:val="auto"/>
        </w:rPr>
      </w:pPr>
    </w:p>
    <w:p>
      <w:pPr>
        <w:ind w:firstLine="656"/>
        <w:spacing w:after="0" w:line="308" w:lineRule="auto"/>
        <w:tabs>
          <w:tab w:leader="none" w:pos="1304" w:val="left"/>
        </w:tabs>
        <w:numPr>
          <w:ilvl w:val="0"/>
          <w:numId w:val="79"/>
        </w:numPr>
        <w:rPr>
          <w:rFonts w:ascii="Arial" w:cs="Arial" w:eastAsia="Arial" w:hAnsi="Arial"/>
          <w:sz w:val="17"/>
          <w:szCs w:val="17"/>
          <w:color w:val="auto"/>
        </w:rPr>
      </w:pPr>
      <w:r>
        <w:rPr>
          <w:rFonts w:ascii="Arial" w:cs="Arial" w:eastAsia="Arial" w:hAnsi="Arial"/>
          <w:sz w:val="17"/>
          <w:szCs w:val="17"/>
          <w:color w:val="auto"/>
        </w:rPr>
        <w:t>Tenant agrees to promptly notify Landlord of any Release of Tenant Hazardous Materials in the Premises, the Building or Property of which Tenant becomes actually aware during the Term of this Lease provided such Release is in violation of applicable Environmental Laws.</w:t>
      </w:r>
    </w:p>
    <w:p>
      <w:pPr>
        <w:spacing w:after="0" w:line="146" w:lineRule="exact"/>
        <w:rPr>
          <w:rFonts w:ascii="Arial" w:cs="Arial" w:eastAsia="Arial" w:hAnsi="Arial"/>
          <w:sz w:val="17"/>
          <w:szCs w:val="17"/>
          <w:color w:val="auto"/>
        </w:rPr>
      </w:pPr>
    </w:p>
    <w:p>
      <w:pPr>
        <w:ind w:firstLine="656"/>
        <w:spacing w:after="0" w:line="286" w:lineRule="auto"/>
        <w:tabs>
          <w:tab w:leader="none" w:pos="1304"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the fullest extent permitted by law, Tenant agrees to promptly indemnify, protect, defend and hold harmless Landlord and its members, officers and directors (collectively, “Landlord Parties”) from and against any and all claims (including personal injury claims), damages, (excluding special, indirect, punitive and consequential damages), judgments, suits, causes of action, losses (excluding lost profits and revenues), liabilities, penalties, liens, fines, expenses and costs (including, without limitation, investigation, clean-up, removal, remediation and restoration costs, sums paid in settlement of claims with Tenant’s approval, reasonable attorneys’, consultant and expert fees, and court costs) which result from the use, treatment, storage, transportation, handling or presence of Tenant Hazardous Materials on, in, under or about the Premises, the Building or any other portion of the Property, including arising from or caused in whole or in part, directly or indirectly, by (i) any violations by Tenant or any of Tenant’s Parties of any Environmental Laws in connection with the use, treatment, storage, transportation, or handling of Tenant Hazardous Materials at the Premises and/or the Affected Areas, and (ii) the payment of any environmental liens, or the disposition, recording, or filing or threatened disposition, recording or filing of any environmental lien encumbering or otherwise affecting the Premises and/or the Affected Areas. Tenant’s obligations hereunder shall include, without limitation, and whether foreseeable or unforeseeable, all costs of any required or necessary repair, cleanup or detoxification or decontamination of the Premises, the Building, or the preparation and implementation of any closure, remedial action or other required plans in connection therewith. Landlord represents to Tenant that, to Landlord’s actual knowledge as of the date hereof, except as may be disclosed in the Environmental Report (as defined below), neither the Building nor the Property currently contains any Hazardous Materials in violation of any existing Environmental Laws. As used herein, the term “Environmental Report” shall mean that certain Phase I Environmental Site Assessment, prepared by Eckland Consultants Inc. dated September 6, 2006.</w:t>
      </w:r>
    </w:p>
    <w:p>
      <w:pPr>
        <w:sectPr>
          <w:pgSz w:w="11900" w:h="16931" w:orient="portrait"/>
          <w:cols w:equalWidth="0" w:num="1">
            <w:col w:w="11420"/>
          </w:cols>
          <w:pgMar w:left="240" w:top="125" w:right="239" w:bottom="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used herein, the phrase “actual knowledge” shall mean the actual knowledge of Wayne Wiebe, Landlord’s property manager for the Project, without investigation or inquiry or duty of investigation or inquiry. Landlord’s property manager for the Project is making such representation and warranty on behalf of Landlord and not in such persons’ individual capacity and, as a result, Landlord (and not such individual) shall be liable in the event of a breach of this representation.</w:t>
      </w:r>
    </w:p>
    <w:p>
      <w:pPr>
        <w:spacing w:after="0" w:line="187" w:lineRule="exact"/>
        <w:rPr>
          <w:sz w:val="20"/>
          <w:szCs w:val="20"/>
          <w:color w:val="auto"/>
        </w:rPr>
      </w:pPr>
    </w:p>
    <w:p>
      <w:pPr>
        <w:ind w:right="140" w:firstLine="656"/>
        <w:spacing w:after="0" w:line="269" w:lineRule="auto"/>
        <w:tabs>
          <w:tab w:leader="none" w:pos="1318" w:val="left"/>
        </w:tabs>
        <w:numPr>
          <w:ilvl w:val="0"/>
          <w:numId w:val="80"/>
        </w:numPr>
        <w:rPr>
          <w:rFonts w:ascii="Arial" w:cs="Arial" w:eastAsia="Arial" w:hAnsi="Arial"/>
          <w:sz w:val="17"/>
          <w:szCs w:val="17"/>
          <w:color w:val="auto"/>
        </w:rPr>
      </w:pPr>
      <w:r>
        <w:rPr>
          <w:rFonts w:ascii="Arial" w:cs="Arial" w:eastAsia="Arial" w:hAnsi="Arial"/>
          <w:sz w:val="17"/>
          <w:szCs w:val="17"/>
          <w:color w:val="auto"/>
        </w:rPr>
        <w:t>To the fullest extent permitted by law, Landlord agrees to promptly indemnify, protect, defend and hold harmless Tenant and Tenant’s Parties from and against any and all claims (including personal injury claims), damages (excluding special, indirect, punitive and consequential damages), judgments, suits, causes of action, losses (excluding lost profits and revenues), liabilities, penalties, liens, fines, expenses and costs (including, without limitation, investigation, clean-up, removal, remediation and restoration costs, sums paid in settlement of claims with Landlord’s approval, reasonable attorneys’, consultant and expert fees, and court costs) which result from (a) the presence, in violation of applicable Environmental Laws, of Hazardous Materials on, in or under the Premises or Building as of the date of this Lease and/or (b) any Hazardous Materials installed, brought upon, stored, used, generated or disposed of (in violation of Environmental Law) on, in or under the Premises, Building or Property by Landlord or any of its agents, employees or contractors during the Term. Landlord’s obligations hereunder shall include, without limitation, and whether foreseeable or unforeseeable, all costs of any repair, cleanup or detoxification or decontamination of the Premises or Building required by Environmental Laws, or the preparation and implementation of any closure, remedial action or other required plans in connection therewith. The provisions of this Paragraph 15(l) will survive the expiration or earlier termination of this Lease.</w:t>
      </w:r>
    </w:p>
    <w:p>
      <w:pPr>
        <w:spacing w:after="0" w:line="182" w:lineRule="exact"/>
        <w:rPr>
          <w:rFonts w:ascii="Arial" w:cs="Arial" w:eastAsia="Arial" w:hAnsi="Arial"/>
          <w:sz w:val="17"/>
          <w:szCs w:val="17"/>
          <w:color w:val="auto"/>
        </w:rPr>
      </w:pPr>
    </w:p>
    <w:p>
      <w:pPr>
        <w:ind w:right="1060" w:firstLine="656"/>
        <w:spacing w:after="0" w:line="342" w:lineRule="auto"/>
        <w:tabs>
          <w:tab w:leader="none" w:pos="13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Tenant acknowledges that Landlord would not enter into this Lease with Tenant unless Tenant assured Landlord that under no circumstances will the Premises be damaged by any exhaust from Tenant’s operations. Landlord and Tenant therefore agree as follows:</w:t>
      </w:r>
    </w:p>
    <w:p>
      <w:pPr>
        <w:spacing w:after="0" w:line="123" w:lineRule="exact"/>
        <w:rPr>
          <w:rFonts w:ascii="Arial" w:cs="Arial" w:eastAsia="Arial" w:hAnsi="Arial"/>
          <w:sz w:val="16"/>
          <w:szCs w:val="16"/>
          <w:color w:val="auto"/>
        </w:rPr>
      </w:pPr>
    </w:p>
    <w:p>
      <w:pPr>
        <w:ind w:right="620" w:firstLine="1305"/>
        <w:spacing w:after="0" w:line="277" w:lineRule="auto"/>
        <w:tabs>
          <w:tab w:leader="none" w:pos="1966" w:val="left"/>
        </w:tabs>
        <w:numPr>
          <w:ilvl w:val="1"/>
          <w:numId w:val="80"/>
        </w:numPr>
        <w:rPr>
          <w:rFonts w:ascii="Arial" w:cs="Arial" w:eastAsia="Arial" w:hAnsi="Arial"/>
          <w:sz w:val="18"/>
          <w:szCs w:val="18"/>
          <w:color w:val="auto"/>
        </w:rPr>
      </w:pPr>
      <w:r>
        <w:rPr>
          <w:rFonts w:ascii="Arial" w:cs="Arial" w:eastAsia="Arial" w:hAnsi="Arial"/>
          <w:sz w:val="18"/>
          <w:szCs w:val="18"/>
          <w:color w:val="auto"/>
        </w:rPr>
        <w:t>Tenant shall not cause or permit (or conduct any activities that would cause) any release of any odors or fumes of any kind emanating from the Premises except in compliance with, and subject to, the restrictions set forth in this Lease.</w:t>
      </w:r>
    </w:p>
    <w:p>
      <w:pPr>
        <w:spacing w:after="0" w:line="170" w:lineRule="exact"/>
        <w:rPr>
          <w:rFonts w:ascii="Arial" w:cs="Arial" w:eastAsia="Arial" w:hAnsi="Arial"/>
          <w:sz w:val="18"/>
          <w:szCs w:val="18"/>
          <w:color w:val="auto"/>
        </w:rPr>
      </w:pPr>
    </w:p>
    <w:p>
      <w:pPr>
        <w:ind w:firstLine="1305"/>
        <w:spacing w:after="0" w:line="254" w:lineRule="auto"/>
        <w:tabs>
          <w:tab w:leader="none" w:pos="1976" w:val="left"/>
        </w:tabs>
        <w:numPr>
          <w:ilvl w:val="1"/>
          <w:numId w:val="80"/>
        </w:numPr>
        <w:rPr>
          <w:rFonts w:ascii="Arial" w:cs="Arial" w:eastAsia="Arial" w:hAnsi="Arial"/>
          <w:sz w:val="18"/>
          <w:szCs w:val="18"/>
          <w:color w:val="auto"/>
        </w:rPr>
      </w:pPr>
      <w:r>
        <w:rPr>
          <w:rFonts w:ascii="Arial" w:cs="Arial" w:eastAsia="Arial" w:hAnsi="Arial"/>
          <w:sz w:val="18"/>
          <w:szCs w:val="18"/>
          <w:color w:val="auto"/>
        </w:rPr>
        <w:t>If the Building has a ventilation system that, in Landlord’s judgment, is adequate, suitable, and appropriate to vent the office portion of the Premises in a manner that does not release odors affecting any indoor or outdoor part of the office portion of the Premises, Tenant shall vent the Premises through such system. If Landlord at any time determines that any existing ventilation system is inadequate, or if no ventilation system exists, Tenant shall in compliance with applicable laws vent all fumes and odors from the office portion of the Premises (and remove odors from Tenant’s exhaust stream) as Landlord requires. The placement and configuration of all ventilation exhaust pipes, louvers and other equipment in any portion of the Premises shall be subject to Landlord’s approval. Tenant acknowledges Landlord’s legitimate desire to maintain the Premises (indoor and outdoor areas) in an odor-free manner, and if Tenant violates this subparagraph, Landlord may require Tenant to abate and remove all odors in a manner that goes beyond the requirements of Applicable Laws.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79" w:lineRule="auto"/>
        <w:tabs>
          <w:tab w:leader="none" w:pos="1985" w:val="left"/>
        </w:tabs>
        <w:numPr>
          <w:ilvl w:val="0"/>
          <w:numId w:val="81"/>
        </w:numPr>
        <w:rPr>
          <w:rFonts w:ascii="Arial" w:cs="Arial" w:eastAsia="Arial" w:hAnsi="Arial"/>
          <w:sz w:val="17"/>
          <w:szCs w:val="17"/>
          <w:color w:val="auto"/>
        </w:rPr>
      </w:pPr>
      <w:r>
        <w:rPr>
          <w:rFonts w:ascii="Arial" w:cs="Arial" w:eastAsia="Arial" w:hAnsi="Arial"/>
          <w:sz w:val="17"/>
          <w:szCs w:val="17"/>
          <w:color w:val="auto"/>
        </w:rPr>
        <w:t>With respect to the lab portion of the Premises and without limiting the generality of the foregoing, Tenant shall, at Tenant’s sole cost and expense, provide odor eliminators and other devices (such as filters, air cleaners, scrubbers and whatever other equipment may in Landlord’s judgment be necessary or appropriate from time to time) to completely remove, eliminate and abate any odors, fumes or other substances in Tenant’s exhaust stream that emanate from the Premises. Any work Tenant performs under this Section (l)(iii) shall constitute Alterations.</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Tenant’s responsibility to remove, eliminate and abate odors, fumes and exhaust shall continue throughout the Term.</w:t>
      </w:r>
    </w:p>
    <w:p>
      <w:pPr>
        <w:spacing w:after="0" w:line="225" w:lineRule="exact"/>
        <w:rPr>
          <w:rFonts w:ascii="Arial" w:cs="Arial" w:eastAsia="Arial" w:hAnsi="Arial"/>
          <w:sz w:val="18"/>
          <w:szCs w:val="18"/>
          <w:color w:val="auto"/>
        </w:rPr>
      </w:pPr>
    </w:p>
    <w:p>
      <w:pPr>
        <w:ind w:right="360" w:firstLine="1305"/>
        <w:spacing w:after="0" w:line="264" w:lineRule="auto"/>
        <w:tabs>
          <w:tab w:leader="none" w:pos="19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Tenant fails to install satisfactory odor control equipment as required under subparagraph (ii) above within ten (10) business days after Landlord’s demand made at any time, then Landlord may, without limiting Landlord’s other rights and remedies, require Tenant to cease and suspend any operations in the Premises that, in Landlord’s determination, cause odors, fumes or exhaust.</w:t>
      </w:r>
    </w:p>
    <w:p>
      <w:pPr>
        <w:spacing w:after="0" w:line="177"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16:</w:t>
      </w:r>
      <w:r>
        <w:rPr>
          <w:sz w:val="20"/>
          <w:szCs w:val="20"/>
          <w:color w:val="auto"/>
        </w:rPr>
        <w:tab/>
      </w:r>
      <w:r>
        <w:rPr>
          <w:rFonts w:ascii="Arial" w:cs="Arial" w:eastAsia="Arial" w:hAnsi="Arial"/>
          <w:sz w:val="17"/>
          <w:szCs w:val="17"/>
          <w:b w:val="1"/>
          <w:bCs w:val="1"/>
          <w:color w:val="auto"/>
        </w:rPr>
        <w:t>INSURANCE AND WAIVER OF SUBROGATION</w:t>
      </w:r>
      <w:r>
        <w:rPr>
          <w:rFonts w:ascii="Arial" w:cs="Arial" w:eastAsia="Arial" w:hAnsi="Arial"/>
          <w:sz w:val="17"/>
          <w:szCs w:val="17"/>
          <w:color w:val="auto"/>
        </w:rPr>
        <w:t>:</w:t>
      </w:r>
    </w:p>
    <w:p>
      <w:pPr>
        <w:spacing w:after="0" w:line="229" w:lineRule="exact"/>
        <w:rPr>
          <w:sz w:val="20"/>
          <w:szCs w:val="20"/>
          <w:color w:val="auto"/>
        </w:rPr>
      </w:pPr>
    </w:p>
    <w:p>
      <w:pPr>
        <w:ind w:right="360" w:firstLine="656"/>
        <w:spacing w:after="0" w:line="257" w:lineRule="auto"/>
        <w:tabs>
          <w:tab w:leader="none" w:pos="1294" w:val="left"/>
        </w:tabs>
        <w:numPr>
          <w:ilvl w:val="0"/>
          <w:numId w:val="82"/>
        </w:numPr>
        <w:rPr>
          <w:rFonts w:ascii="Arial" w:cs="Arial" w:eastAsia="Arial" w:hAnsi="Arial"/>
          <w:sz w:val="18"/>
          <w:szCs w:val="18"/>
          <w:color w:val="auto"/>
        </w:rPr>
      </w:pPr>
      <w:r>
        <w:rPr>
          <w:rFonts w:ascii="Arial" w:cs="Arial" w:eastAsia="Arial" w:hAnsi="Arial"/>
          <w:sz w:val="18"/>
          <w:szCs w:val="18"/>
          <w:color w:val="auto"/>
        </w:rPr>
        <w:t>Landlord agrees that throughout the Term it will insure the Building (excluding any property which Tenant is obligated to insure) in amounts customarily carried by prudent owners of comparable buildings, against loss due to fire and other casualties included in “special form” extended coverage property insurance. In addition, throughout the term, Landlord will maintain commercial general liability and such other insurance customarily carried by prudent owners of comparable building, including any insurance which may be required by any lender with a deed of trust encumbering the Property.</w:t>
      </w:r>
    </w:p>
    <w:p>
      <w:pPr>
        <w:spacing w:after="0" w:line="188" w:lineRule="exact"/>
        <w:rPr>
          <w:rFonts w:ascii="Arial" w:cs="Arial" w:eastAsia="Arial" w:hAnsi="Arial"/>
          <w:sz w:val="18"/>
          <w:szCs w:val="18"/>
          <w:color w:val="auto"/>
        </w:rPr>
      </w:pPr>
    </w:p>
    <w:p>
      <w:pPr>
        <w:ind w:right="80" w:firstLine="656"/>
        <w:spacing w:after="0" w:line="257" w:lineRule="auto"/>
        <w:tabs>
          <w:tab w:leader="none" w:pos="1304"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Commencing as of the date Tenant enters the Premises for the purpose of performing the Tenant Improvements and continuing throughout the Term, Tenant will, at its own expense, maintain commercial liability insurance (including personal injury liability, premises/operation, property damage, independent contractors and broad form contractual coverage in support of the indemnifications of Landlord by Tenant under this Lease) with respect to the Premises and Tenant’s activities in and about the Premises, Building and Property, providing bodily injury and property damage coverage, in amounts no less than:</w:t>
      </w:r>
    </w:p>
    <w:p>
      <w:pPr>
        <w:spacing w:after="0" w:line="188" w:lineRule="exact"/>
        <w:rPr>
          <w:rFonts w:ascii="Arial" w:cs="Arial" w:eastAsia="Arial" w:hAnsi="Arial"/>
          <w:sz w:val="18"/>
          <w:szCs w:val="18"/>
          <w:color w:val="auto"/>
        </w:rPr>
      </w:pPr>
    </w:p>
    <w:p>
      <w:pPr>
        <w:ind w:left="1980" w:hanging="675"/>
        <w:spacing w:after="0"/>
        <w:tabs>
          <w:tab w:leader="none" w:pos="1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$3,000,000 combined single limit with respect to bodily injury or death to any one person;</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$3,000,000 with respect to bodily injury or death arising out of any one occurrence;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$1,000,000 with respect to property damage or other loss arising out of any one occurrence;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business income insurance;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63" w:name="page64"/>
    <w:bookmarkEnd w:id="63"/>
    <w:p>
      <w:pPr>
        <w:ind w:right="120" w:firstLine="1305"/>
        <w:spacing w:after="0" w:line="277" w:lineRule="auto"/>
        <w:tabs>
          <w:tab w:leader="none" w:pos="1952" w:val="left"/>
        </w:tabs>
        <w:numPr>
          <w:ilvl w:val="1"/>
          <w:numId w:val="83"/>
        </w:numPr>
        <w:rPr>
          <w:rFonts w:ascii="Arial" w:cs="Arial" w:eastAsia="Arial" w:hAnsi="Arial"/>
          <w:sz w:val="18"/>
          <w:szCs w:val="18"/>
          <w:color w:val="auto"/>
        </w:rPr>
      </w:pPr>
      <w:r>
        <w:rPr>
          <w:rFonts w:ascii="Arial" w:cs="Arial" w:eastAsia="Arial" w:hAnsi="Arial"/>
          <w:sz w:val="18"/>
          <w:szCs w:val="18"/>
          <w:color w:val="auto"/>
        </w:rPr>
        <w:t>property insurance with respect to Tenant’s personal property and Tenant Alterations in excess of Building standard, to be written on a “Special Form” basis for full replacement cost;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workers compensation in statutory amounts and employer’s liability insurance with minimum coverages of $1,000,000;</w:t>
      </w:r>
    </w:p>
    <w:p>
      <w:pPr>
        <w:spacing w:after="0" w:line="225" w:lineRule="exact"/>
        <w:rPr>
          <w:rFonts w:ascii="Arial" w:cs="Arial" w:eastAsia="Arial" w:hAnsi="Arial"/>
          <w:sz w:val="18"/>
          <w:szCs w:val="18"/>
          <w:color w:val="auto"/>
        </w:rPr>
      </w:pPr>
    </w:p>
    <w:p>
      <w:pPr>
        <w:ind w:right="100" w:firstLine="1305"/>
        <w:spacing w:after="0" w:line="259" w:lineRule="auto"/>
        <w:tabs>
          <w:tab w:leader="none" w:pos="1971" w:val="left"/>
        </w:tabs>
        <w:numPr>
          <w:ilvl w:val="1"/>
          <w:numId w:val="83"/>
        </w:numPr>
        <w:rPr>
          <w:rFonts w:ascii="Arial" w:cs="Arial" w:eastAsia="Arial" w:hAnsi="Arial"/>
          <w:sz w:val="18"/>
          <w:szCs w:val="18"/>
          <w:color w:val="auto"/>
        </w:rPr>
      </w:pPr>
      <w:r>
        <w:rPr>
          <w:rFonts w:ascii="Arial" w:cs="Arial" w:eastAsia="Arial" w:hAnsi="Arial"/>
          <w:sz w:val="18"/>
          <w:szCs w:val="18"/>
          <w:color w:val="auto"/>
        </w:rPr>
        <w:t>Such additional insurance (other than earthquake, terrorism, environmental or flood insurance) in such amounts as Landlord shall reasonably require provided that the type of additional insurance and the amount of additional insurance are in all instances being generally required of tenants (with uses similar to Tenant’s hereunder) by landlords of comparable buildings located in South San Francisco, provided that Landlord shall not require any additional insurance during the first five (5) calendar years during the term.</w:t>
      </w:r>
    </w:p>
    <w:p>
      <w:pPr>
        <w:spacing w:after="0" w:line="186" w:lineRule="exact"/>
        <w:rPr>
          <w:rFonts w:ascii="Arial" w:cs="Arial" w:eastAsia="Arial" w:hAnsi="Arial"/>
          <w:sz w:val="18"/>
          <w:szCs w:val="18"/>
          <w:color w:val="auto"/>
        </w:rPr>
      </w:pPr>
    </w:p>
    <w:p>
      <w:pPr>
        <w:ind w:firstLine="656"/>
        <w:spacing w:after="0" w:line="288" w:lineRule="auto"/>
        <w:tabs>
          <w:tab w:leader="none" w:pos="1307" w:val="left"/>
        </w:tabs>
        <w:numPr>
          <w:ilvl w:val="0"/>
          <w:numId w:val="84"/>
        </w:numPr>
        <w:rPr>
          <w:rFonts w:ascii="Arial" w:cs="Arial" w:eastAsia="Arial" w:hAnsi="Arial"/>
          <w:sz w:val="16"/>
          <w:szCs w:val="16"/>
          <w:color w:val="auto"/>
        </w:rPr>
      </w:pPr>
      <w:r>
        <w:rPr>
          <w:rFonts w:ascii="Arial" w:cs="Arial" w:eastAsia="Arial" w:hAnsi="Arial"/>
          <w:sz w:val="16"/>
          <w:szCs w:val="16"/>
          <w:color w:val="auto"/>
        </w:rPr>
        <w:t>Said insurance is to be written by good and solvent insurance companies of recognized standing, admitted to do business in the State of California and which have an A.M. Best’s rating of at least A-, VII. Tenant shall pay all premiums and charges therefor and upon failure to do so Landlord may, but shall not be obligated to, make such payments, and in such latter event Tenant agrees to pay the amount thereof to Landlord on demand and said sum shall be deemed to be Additional Rent and in each instance collectible on the first day of any month following the date of notice to Tenant in the same manner as though it were rent originally reserved hereunder. Certificates of Tenant’s insurance required above shall be deposited with Landlord together with any renewals, replacements or endorsements to the end that said insurance shall be in full force and effect for the benefit of Landlord during the Term. In the event Tenant shall fail to procure and place such insurance, Landlord may, but shall not be obligated to, after not less than ten (10) days prior written notice to Tenant that Landlord intends to procure and place the same at Tenant’s expense, procure and place same, in which event the amount of the premium paid shall be refunded by Tenant to Landlord upon demand and shall in each instance be collectible on the first day of the month or any subsequent month following the date of payment by Landlord, in the same manner as though said sums were Additional Rent reserved hereunder.</w:t>
      </w:r>
    </w:p>
    <w:p>
      <w:pPr>
        <w:spacing w:after="0" w:line="169" w:lineRule="exact"/>
        <w:rPr>
          <w:rFonts w:ascii="Arial" w:cs="Arial" w:eastAsia="Arial" w:hAnsi="Arial"/>
          <w:sz w:val="16"/>
          <w:szCs w:val="16"/>
          <w:color w:val="auto"/>
        </w:rPr>
      </w:pPr>
    </w:p>
    <w:p>
      <w:pPr>
        <w:ind w:right="180" w:firstLine="656"/>
        <w:spacing w:after="0" w:line="257" w:lineRule="auto"/>
        <w:tabs>
          <w:tab w:leader="none" w:pos="1304"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Nothing in this Paragraph shall prevent Tenant from obtaining insurance of the kind and in the amount specified above under a blanket insurance policy covering other properties as well as the Premises provided that the per location coverage afforded to the Premises shall not be less than the required coverage specified herein. Tenant shall deliver certificates of all such policies prior to the Commencement Date and each anniversary date thereafter. Tenant agrees that Landlord will be an additional insured under Tenant’s commercial general liability insurance policies with respect to the Premises.</w:t>
      </w:r>
    </w:p>
    <w:p>
      <w:pPr>
        <w:spacing w:after="0" w:line="188" w:lineRule="exact"/>
        <w:rPr>
          <w:rFonts w:ascii="Arial" w:cs="Arial" w:eastAsia="Arial" w:hAnsi="Arial"/>
          <w:sz w:val="18"/>
          <w:szCs w:val="18"/>
          <w:color w:val="auto"/>
        </w:rPr>
      </w:pPr>
    </w:p>
    <w:p>
      <w:pPr>
        <w:ind w:right="200" w:firstLine="656"/>
        <w:spacing w:after="0" w:line="312" w:lineRule="auto"/>
        <w:tabs>
          <w:tab w:leader="none" w:pos="1307" w:val="left"/>
        </w:tabs>
        <w:numPr>
          <w:ilvl w:val="0"/>
          <w:numId w:val="84"/>
        </w:numPr>
        <w:rPr>
          <w:rFonts w:ascii="Arial" w:cs="Arial" w:eastAsia="Arial" w:hAnsi="Arial"/>
          <w:sz w:val="16"/>
          <w:szCs w:val="16"/>
          <w:color w:val="auto"/>
        </w:rPr>
      </w:pPr>
      <w:r>
        <w:rPr>
          <w:rFonts w:ascii="Arial" w:cs="Arial" w:eastAsia="Arial" w:hAnsi="Arial"/>
          <w:sz w:val="16"/>
          <w:szCs w:val="16"/>
          <w:color w:val="auto"/>
        </w:rPr>
        <w:t>Landlord will not carry insurance of any kind on Tenant’s fixtures, furnishings, equipment or other property or Tenant Alterations, and, except as provided by law or the terms of this Lease or by reason of its fault or its breach of any of its obligations hereunder, shall not be obligated to repair any damage thereto or replace the same. In addition, Landlord will not carry business interruption insurance for the benefit of Tenant.</w:t>
      </w:r>
    </w:p>
    <w:p>
      <w:pPr>
        <w:spacing w:after="0" w:line="146" w:lineRule="exact"/>
        <w:rPr>
          <w:rFonts w:ascii="Arial" w:cs="Arial" w:eastAsia="Arial" w:hAnsi="Arial"/>
          <w:sz w:val="16"/>
          <w:szCs w:val="16"/>
          <w:color w:val="auto"/>
        </w:rPr>
      </w:pPr>
    </w:p>
    <w:p>
      <w:pPr>
        <w:ind w:right="120" w:firstLine="656"/>
        <w:spacing w:after="0" w:line="277" w:lineRule="auto"/>
        <w:tabs>
          <w:tab w:leader="none" w:pos="130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Tenant shall not do or keep or permit anything to be kept in the Premises not permitted by the Permitted Use which would increase the fire or other casualty insurance rate 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Building or the property therein over the rate which would otherwise then be in effect or which would result in insurance companies of good standing refusing to insure the Building or any of such property in amounts and at normal rates reasonably satisfactory to Landlord. If Tenant violates the preceding sentence and such violation causes, the rate of fire insurance with extended coverage on the Building or equipment or other property of Landlord to be higher than it otherwise would be, Tenant shall reimburse Landlord, on demand, for that part of the premiums for fire insurance and extended coverage paid by Landlord because of such violation on the part of Tenant, which sum shall be deemed to be Additional Rent and collectible as such.</w:t>
      </w:r>
    </w:p>
    <w:p>
      <w:pPr>
        <w:spacing w:after="0" w:line="158" w:lineRule="exact"/>
        <w:rPr>
          <w:sz w:val="20"/>
          <w:szCs w:val="20"/>
          <w:color w:val="auto"/>
        </w:rPr>
      </w:pPr>
    </w:p>
    <w:p>
      <w:pPr>
        <w:ind w:right="60" w:firstLine="656"/>
        <w:spacing w:after="0" w:line="293" w:lineRule="auto"/>
        <w:tabs>
          <w:tab w:leader="none" w:pos="1317" w:val="left"/>
        </w:tabs>
        <w:numPr>
          <w:ilvl w:val="0"/>
          <w:numId w:val="85"/>
        </w:numPr>
        <w:rPr>
          <w:rFonts w:ascii="Arial" w:cs="Arial" w:eastAsia="Arial" w:hAnsi="Arial"/>
          <w:sz w:val="16"/>
          <w:szCs w:val="16"/>
          <w:color w:val="auto"/>
        </w:rPr>
      </w:pPr>
      <w:r>
        <w:rPr>
          <w:rFonts w:ascii="Arial" w:cs="Arial" w:eastAsia="Arial" w:hAnsi="Arial"/>
          <w:sz w:val="16"/>
          <w:szCs w:val="16"/>
          <w:color w:val="auto"/>
        </w:rPr>
        <w:t>Tenant and Landlord release each other and waive any right of recovery against each other for loss, damage or injury to the waiving party or its respective property (including, without limitation, the Premises, Building and Property, as the case may be) which occurs in or about the Premises, Building or Property, whether due to the negligence of either party, its agents, employees, officers, contractors, licensees, invitees or otherwise, to the extent that such loss or damage is insured against under the terms of a “special form” property insurance policy or would have been insured had the injured party carried the “special form” property insurance required of it hereunder. Tenant and Landlord agree that all policies of property insurance obtained by either of them in connection with the Premises and the Property, as the case may be, shall contain appropriate waiver of subrogation clauses by the insurer.</w:t>
      </w:r>
    </w:p>
    <w:p>
      <w:pPr>
        <w:spacing w:after="0" w:line="16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b w:val="1"/>
          <w:bCs w:val="1"/>
          <w:color w:val="auto"/>
        </w:rPr>
        <w:t>PARAGRAPH 17: REPAIRS</w:t>
      </w:r>
      <w:r>
        <w:rPr>
          <w:rFonts w:ascii="Arial" w:cs="Arial" w:eastAsia="Arial" w:hAnsi="Arial"/>
          <w:sz w:val="16"/>
          <w:szCs w:val="16"/>
          <w:color w:val="auto"/>
        </w:rPr>
        <w:t>: Except to the extent Landlord is expressly obligated under this Lease, and subject to Paragraphs 16(g) and 21,</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throughout the Term of this Lease, keep the interior, non-structural portions of the Premises, including all fixtures and furnishings therein, in good order, repair and condition at all times during the Lease Term, which repair obligations shall include, without limitation, the obligation to promptly and adequately repair all damage to the interior, non-structural portions of the Premises and replace or repair all damaged or broken fixtures, together with all portions of the HVAC, electrical, plumbing, and lab systems solely serving the Premises from the point that such systems solely serve the Premises and all portions of all fume hoods and other exhaust systems located within the Premises (all such systems collectively being referred to as the “Premises Systems”), in good condition and repair. Tenant’s obligations shall include restorations, replacements or renewals, including capital expenditures for restorations, replacements or renewals which will have an expected life beyond the Term, when necessary to keep the Premises and all improvements thereon or a part thereof and the Premises Systems in good order, condition and repair and in compliance with all applicable laws. Tenant’s maintenance of the Premises Systems shall comply with the manufacturers’ recommended operating and maintenance procedures. Tenant shall enter into and pay for industry standard maintenance contracts for the HVAC system installed by Tenant that solely serves the ground floor portion of the Premises (“Tenant’s Dedicated HVAC”) in accordance with the manufacturers’ recommended operating and maintenance procedures. Such maintenance contracts shall be with reputable contractors, reasonably satisfactory to Landlord. Tenant shall be solely responsible for the cost of all improvements or alterations to the Premises that are required by Tenant’s specific use of the Premises and/or triggered by reason of alterations or improvements to the Premises made by Tenant or the Premises Systems. Notwithstanding the foregoing, if Tenant fails to make such repairs and the same constitutes a Tenant’s Default under Paragraph 25(c), Landlord may, but need not, make such repairs, and Tenant shall pay Landlord the actual, documented out-of-pocket costs thereof. Subject to Paragraphs 16(g) and 21, including a percentage of the cost thereof (to be uniformly established for the Building) sufficient to reimburse Landlord for all overhead,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505" w:gutter="0" w:footer="0" w:header="0"/>
        </w:sectPr>
      </w:pPr>
    </w:p>
    <w:bookmarkStart w:id="64" w:name="page65"/>
    <w:bookmarkEnd w:id="64"/>
    <w:p>
      <w:pPr>
        <w:spacing w:after="0" w:line="13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general conditions, fees and other costs or expenses arising from Landlord’s involvement with such repairs and replacements forthwith upon being billed for same. Tenant shall also repair all damage to the Building and the Premises caused by the moving of Tenant’s fixtures, furniture and equipment. Subject to Paragraphs 16(g) and 21, Landlord shall maintain in good working order, condition and repair the exterior and the structural portions of the Building (including all foundations, floor and ceiling slabs, load bearing walls, roof and roof membrane), including the structural portions of the Premises, and the public portions (i.e., common areas) of the Building interior and the Land, the parking facilities serving the Building, and the Building plumbing, sewer, electrical, heating, air conditioning and ventilating systems serving the Premises. If Tenant acquires actual knowledge of any condition in the Premises which Tenant believes this Paragraph obligates Landlord to repair, Tenant will promptly give Landlord notice thereof. Except as otherwise provided in Paragraph 12, there shall be no allowance to Tenant for diminution of rental value and no liability on the part of Landlord by reason of inconvenience, annoyance or injury to business arising from Landlord making repairs, alterations, additions or improvements (collectively, the “Work”) in or to any portion of the Building or the Premises or in and to the fixtures, appurtenances or equipment thereof. It is specifically agreed that, except as specifically set forth in Paragraph 12 hereof, Tenant shall not be entitled to any setoff or reduction of Rent by reason of any failure of Landlord to comply with the covenants of this or any other article of this Lease.</w:t>
      </w:r>
    </w:p>
    <w:p>
      <w:pPr>
        <w:spacing w:after="0" w:line="176"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18:</w:t>
      </w:r>
      <w:r>
        <w:rPr>
          <w:sz w:val="20"/>
          <w:szCs w:val="20"/>
          <w:color w:val="auto"/>
        </w:rPr>
        <w:tab/>
      </w:r>
      <w:r>
        <w:rPr>
          <w:rFonts w:ascii="Arial" w:cs="Arial" w:eastAsia="Arial" w:hAnsi="Arial"/>
          <w:sz w:val="18"/>
          <w:szCs w:val="18"/>
          <w:b w:val="1"/>
          <w:bCs w:val="1"/>
          <w:color w:val="auto"/>
        </w:rPr>
        <w:t>ASSIGNMENT AND SUBLETTING</w:t>
      </w:r>
      <w:r>
        <w:rPr>
          <w:rFonts w:ascii="Arial" w:cs="Arial" w:eastAsia="Arial" w:hAnsi="Arial"/>
          <w:sz w:val="18"/>
          <w:szCs w:val="18"/>
          <w:color w:val="auto"/>
        </w:rPr>
        <w:t>:</w:t>
      </w:r>
    </w:p>
    <w:p>
      <w:pPr>
        <w:spacing w:after="0" w:line="229" w:lineRule="exact"/>
        <w:rPr>
          <w:sz w:val="20"/>
          <w:szCs w:val="20"/>
          <w:color w:val="auto"/>
        </w:rPr>
      </w:pPr>
    </w:p>
    <w:p>
      <w:pPr>
        <w:ind w:firstLine="656"/>
        <w:spacing w:after="0" w:line="255" w:lineRule="auto"/>
        <w:tabs>
          <w:tab w:leader="none" w:pos="1294"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Except as provided in subparagraph (g) below, Tenant shall not assign or sublet, in whole or in part, all or any part of the Premises, without the prior written consent of Landlord, not to be unreasonably withheld, conditioned or delayed. In addition, Tenant shall not mortgage or encumber this Lease without Landlord’s prior written consent. The transfer or issuance of 50% or more of the stock or the equity or ownership interests in Tenant, whether in a single transaction or a series of transactions shall be deemed an assignment of this Lease, excluding, however, the transfer or issuance of the outstanding capital stock or other equity interest of any corporate, limited liability company or partnership through any “over-the-counter market” or through any recognized stock exchange.</w:t>
      </w:r>
    </w:p>
    <w:p>
      <w:pPr>
        <w:spacing w:after="0" w:line="193" w:lineRule="exact"/>
        <w:rPr>
          <w:rFonts w:ascii="Arial" w:cs="Arial" w:eastAsia="Arial" w:hAnsi="Arial"/>
          <w:sz w:val="18"/>
          <w:szCs w:val="18"/>
          <w:color w:val="auto"/>
        </w:rPr>
      </w:pPr>
    </w:p>
    <w:p>
      <w:pPr>
        <w:ind w:right="40" w:firstLine="656"/>
        <w:spacing w:after="0" w:line="270" w:lineRule="auto"/>
        <w:tabs>
          <w:tab w:leader="none" w:pos="1304" w:val="left"/>
        </w:tabs>
        <w:numPr>
          <w:ilvl w:val="0"/>
          <w:numId w:val="86"/>
        </w:numPr>
        <w:rPr>
          <w:rFonts w:ascii="Arial" w:cs="Arial" w:eastAsia="Arial" w:hAnsi="Arial"/>
          <w:sz w:val="17"/>
          <w:szCs w:val="17"/>
          <w:color w:val="auto"/>
        </w:rPr>
      </w:pPr>
      <w:r>
        <w:rPr>
          <w:rFonts w:ascii="Arial" w:cs="Arial" w:eastAsia="Arial" w:hAnsi="Arial"/>
          <w:sz w:val="17"/>
          <w:szCs w:val="17"/>
          <w:color w:val="auto"/>
        </w:rPr>
        <w:t>Tenant shall, at the time Tenant requests consent of Landlord, deliver to Landlord such information respecting the proposed assignee or subtenant, the name, address, nature of business, ownership structure, and most recent financial statement (if any), and Landlord shall after receipt of all required information elect one of the following notice of such election shall be provided to Tenant within fifteen (15) days after Landlord’s receipt of such request: (i) consent to such proposed assignment or sublease, which consent shall not be unreasonably withheld or conditioned; (ii) reasonably refuse such consent; or (iii) in the case of an assignment that is not an assignment to a Permitted Transferee, elect to terminate this Lease, or, in the case of a partial sublease to a non-Permitted Transferee that is greater than fifty percent (50%) of the Premises (either in one (1) transaction or when aggregated with any existing sublease), terminate this Lease as to the portion of the Premises proposed to be sublet (such portion to be hereinafter referred to as the “Eliminated Space”). Upon a termination of this Lease as to the entire Premises pursuant to the provisions of clause (iii) above, Tenant’s obligations hereunder shall cease as of the date of termination, provided that Tenant shall not be relieved of any obligations that have accrued prior to the date of termination. Upon a termination of this Lease as to less than the entire Premises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pursuant to the provisions of clause (iii) above, the Base Rent hereunder shall be reduced as of the effective date of such termination (i) Tenant’s obligations with respect to the Eliminated Space shall cease as of the date of surrender of the Eliminated Space, provided that Tenant shall not be relieved of any obligations that have accrued prior to the date of surrender, (ii) Base Rent shall be reduced as of the Transfer Date by an amount equal to the product of</w:t>
      </w:r>
    </w:p>
    <w:p>
      <w:pPr>
        <w:ind w:right="240" w:firstLine="8"/>
        <w:spacing w:after="0" w:line="273" w:lineRule="auto"/>
        <w:tabs>
          <w:tab w:leader="none" w:pos="345"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Base Rent, and (yy) a fraction, the numerator of which is the number of rentable square feet proposed to be sublet and the denominator of which is Tenant’s Rentable Square Footage, and (iii) the Tenant’s Share shall be proportionately reduced as of the effective date of such termination to reflect the deletion of the Eliminated Space from the Premises. If Landlord causes a surrender of the Eliminated Space, Landlord, at Landlord’s expense, may make such alterations as Landlord deems necessary to physically separate the Eliminated Space from the balance of the Premises.</w:t>
      </w:r>
    </w:p>
    <w:p>
      <w:pPr>
        <w:spacing w:after="0" w:line="176" w:lineRule="exact"/>
        <w:rPr>
          <w:rFonts w:ascii="Arial" w:cs="Arial" w:eastAsia="Arial" w:hAnsi="Arial"/>
          <w:sz w:val="17"/>
          <w:szCs w:val="17"/>
          <w:color w:val="auto"/>
        </w:rPr>
      </w:pPr>
    </w:p>
    <w:p>
      <w:pPr>
        <w:ind w:right="280" w:firstLine="656"/>
        <w:spacing w:after="0" w:line="259" w:lineRule="auto"/>
        <w:tabs>
          <w:tab w:leader="none" w:pos="1307" w:val="left"/>
        </w:tabs>
        <w:numPr>
          <w:ilvl w:val="1"/>
          <w:numId w:val="87"/>
        </w:numPr>
        <w:rPr>
          <w:rFonts w:ascii="Arial" w:cs="Arial" w:eastAsia="Arial" w:hAnsi="Arial"/>
          <w:sz w:val="18"/>
          <w:szCs w:val="18"/>
          <w:color w:val="auto"/>
        </w:rPr>
      </w:pPr>
      <w:r>
        <w:rPr>
          <w:rFonts w:ascii="Arial" w:cs="Arial" w:eastAsia="Arial" w:hAnsi="Arial"/>
          <w:sz w:val="18"/>
          <w:szCs w:val="18"/>
          <w:color w:val="auto"/>
        </w:rPr>
        <w:t>No subletting or assignment by Tenant shall relieve Tenant of any obligation under this Lease, including Tenant’s obligation to pay Base Rent, the Operating Payment or any other Additional Rent. Any purported assignment or subletting in violation of this Paragraph 18 shall be void at Landlord’s sole option. The consent by Landlord to any assignment or subletting shall not constitute a waiver of the necessity for such consent to any subsequent assignment or subletting.</w:t>
      </w:r>
    </w:p>
    <w:p>
      <w:pPr>
        <w:spacing w:after="0" w:line="186" w:lineRule="exact"/>
        <w:rPr>
          <w:rFonts w:ascii="Arial" w:cs="Arial" w:eastAsia="Arial" w:hAnsi="Arial"/>
          <w:sz w:val="18"/>
          <w:szCs w:val="18"/>
          <w:color w:val="auto"/>
        </w:rPr>
      </w:pPr>
    </w:p>
    <w:p>
      <w:pPr>
        <w:ind w:firstLine="656"/>
        <w:spacing w:after="0" w:line="276" w:lineRule="auto"/>
        <w:tabs>
          <w:tab w:leader="none" w:pos="1304" w:val="left"/>
        </w:tabs>
        <w:numPr>
          <w:ilvl w:val="1"/>
          <w:numId w:val="87"/>
        </w:numPr>
        <w:rPr>
          <w:rFonts w:ascii="Arial" w:cs="Arial" w:eastAsia="Arial" w:hAnsi="Arial"/>
          <w:sz w:val="17"/>
          <w:szCs w:val="17"/>
          <w:color w:val="auto"/>
        </w:rPr>
      </w:pPr>
      <w:r>
        <w:rPr>
          <w:rFonts w:ascii="Arial" w:cs="Arial" w:eastAsia="Arial" w:hAnsi="Arial"/>
          <w:sz w:val="17"/>
          <w:szCs w:val="17"/>
          <w:color w:val="auto"/>
        </w:rPr>
        <w:t>If for any assignment or sublease, the rent received by Tenant, less Tenant’s costs for (i) brokerage commissions then customary in the market; (ii) reasonable marketing expenses and attorneys’ fees; (iii) any alterations or improvements made by Tenant for the benefit of the assignee or subtenant; (iv) any improvement or furniture allowances paid to the assignee or subtenant; and (v) any free rent given to the assignee or subtenant, is in excess of the Rent payable by Tenant hereunder (if a portion of the Premises is subleased, fairly allocable to such portion), Tenant shall pay to Landlord, as Additional Rent, fifty percent (50%) of such excess within twenty (20) business days after Tenant’s receipt of each such payment.</w:t>
      </w:r>
    </w:p>
    <w:p>
      <w:pPr>
        <w:spacing w:after="0" w:line="172" w:lineRule="exact"/>
        <w:rPr>
          <w:rFonts w:ascii="Arial" w:cs="Arial" w:eastAsia="Arial" w:hAnsi="Arial"/>
          <w:sz w:val="17"/>
          <w:szCs w:val="17"/>
          <w:color w:val="auto"/>
        </w:rPr>
      </w:pPr>
    </w:p>
    <w:p>
      <w:pPr>
        <w:ind w:right="760" w:firstLine="656"/>
        <w:spacing w:after="0" w:line="308" w:lineRule="auto"/>
        <w:tabs>
          <w:tab w:leader="none" w:pos="1307" w:val="left"/>
        </w:tabs>
        <w:numPr>
          <w:ilvl w:val="1"/>
          <w:numId w:val="87"/>
        </w:numPr>
        <w:rPr>
          <w:rFonts w:ascii="Arial" w:cs="Arial" w:eastAsia="Arial" w:hAnsi="Arial"/>
          <w:sz w:val="17"/>
          <w:szCs w:val="17"/>
          <w:color w:val="auto"/>
        </w:rPr>
      </w:pPr>
      <w:r>
        <w:rPr>
          <w:rFonts w:ascii="Arial" w:cs="Arial" w:eastAsia="Arial" w:hAnsi="Arial"/>
          <w:sz w:val="17"/>
          <w:szCs w:val="17"/>
          <w:color w:val="auto"/>
        </w:rPr>
        <w:t>Tenant shall pay all out-of-pocket costs of Landlord in reviewing and/or approving any sublease or assignment, including without limitation, reasonable attorneys’ fees, provided that such costs do not exceed $2,500 in any one sublease or assignment transaction.</w:t>
      </w:r>
    </w:p>
    <w:p>
      <w:pPr>
        <w:spacing w:after="0" w:line="146" w:lineRule="exact"/>
        <w:rPr>
          <w:rFonts w:ascii="Arial" w:cs="Arial" w:eastAsia="Arial" w:hAnsi="Arial"/>
          <w:sz w:val="17"/>
          <w:szCs w:val="17"/>
          <w:color w:val="auto"/>
        </w:rPr>
      </w:pPr>
    </w:p>
    <w:p>
      <w:pPr>
        <w:ind w:right="40" w:firstLine="656"/>
        <w:spacing w:after="0" w:line="270" w:lineRule="auto"/>
        <w:tabs>
          <w:tab w:leader="none" w:pos="1301" w:val="left"/>
        </w:tabs>
        <w:numPr>
          <w:ilvl w:val="1"/>
          <w:numId w:val="87"/>
        </w:numPr>
        <w:rPr>
          <w:rFonts w:ascii="Arial" w:cs="Arial" w:eastAsia="Arial" w:hAnsi="Arial"/>
          <w:sz w:val="17"/>
          <w:szCs w:val="17"/>
          <w:color w:val="auto"/>
        </w:rPr>
      </w:pPr>
      <w:r>
        <w:rPr>
          <w:rFonts w:ascii="Arial" w:cs="Arial" w:eastAsia="Arial" w:hAnsi="Arial"/>
          <w:sz w:val="17"/>
          <w:szCs w:val="17"/>
          <w:color w:val="auto"/>
        </w:rPr>
        <w:t>So long as Tenant is not entering into the Permitted Transfer (as defined below) for the purpose of avoiding or otherwise circumventing the remaining terms of this Paragraph 18, Tenant may assign its entire interest in this Lease or sublet all or any part of the Premises, without the consent of Landlord, to (a) an affiliate, subsidiary, or parent of Tenant, or a corporation, partnership or other legal entity wholly owned by Tenant (collectively, an “Affiliated Party”), or (b) a successor to Tenant by purchase, merger, consolidation or reorganization, provided that all of the following conditions are satisfied (each such transfer a “Permitted Transfer” and any such assignee or sublessee of a Permitted Transfer, a “Permitted Transferee”): (i) Tenant is not in Default beyond any applicable notice and cure periods under this Lease; (ii) the Permitted Use does not change; (iii) Tenant shall give Landlord written notice at least thirty (30) days prior to the effective date of the proposed Permitted Transfer (provided that, if prohibited by confidentiality in connection with a proposed purchase, merger, consolidation or reorganization, then Tenant shall give Landlord written notice within ten (10) days after the effective date of the proposed purchase, merger, consolidation or reorganization); (iv) with respect to a purchase, merger, consolidation or reorganization or any Permitted Transfer which results in Tenant ceasing to exist as a separate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legal entity, (A) Tenant’s successor shall own all or substantially all of the assets of Tenant, and (B) Tenant’s successor shall have a financial strength and wherewithal (evidenced by tangible net worth) which is at least equal to the greater of Tenant’s financial strength and wherewithal (evidenced by tangible net</w:t>
      </w:r>
    </w:p>
    <w:p>
      <w:pPr>
        <w:sectPr>
          <w:pgSz w:w="11900" w:h="16975" w:orient="portrait"/>
          <w:cols w:equalWidth="0" w:num="1">
            <w:col w:w="11420"/>
          </w:cols>
          <w:pgMar w:left="240" w:top="125" w:right="239" w:bottom="0" w:gutter="0" w:footer="0" w:header="0"/>
        </w:sectPr>
      </w:pPr>
    </w:p>
    <w:bookmarkStart w:id="65" w:name="page66"/>
    <w:bookmarkEnd w:id="65"/>
    <w:p>
      <w:pPr>
        <w:spacing w:after="0" w:line="10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worth) at the date of this Lease or Tenant’s financial strength and wherewithal (evidenced by tangible net worth) as of the day prior to the proposed purchase, merger, consolidation or reorganization. Tenant’s notice to Landlord shall include information and documentation showing that each of the above conditions has been satisfied. As used herein, (1) “parent” shall mean a company which owns a majority of Tenant’s voting equity; (2) “subsidiary” shall mean an entity wholly owned by Tenant or at least fifty-one percent (51%) of whose voting equity is owned by Tenant; and (3) “affiliate” shall mean an entity controlled, controlling or under common control with Tenant. An assignee of Original Tenant’s entire interest in this Lease may be referred to herein as an “Affiliate Assignee.” In no event shall a Permitted Transfer release Tenant from its obligations under this Lease.</w:t>
      </w:r>
    </w:p>
    <w:p>
      <w:pPr>
        <w:spacing w:after="0" w:line="174"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PARAGRAPH 19: ADDITIONAL RIGHTS RESERVED TO LANDLORD: </w:t>
      </w:r>
      <w:r>
        <w:rPr>
          <w:rFonts w:ascii="Arial" w:cs="Arial" w:eastAsia="Arial" w:hAnsi="Arial"/>
          <w:sz w:val="16"/>
          <w:szCs w:val="16"/>
          <w:color w:val="auto"/>
        </w:rPr>
        <w:t>Without notice (unless otherwise indicated below) and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to Tenant or without effecting an eviction or disturbance of Tenant’s use or possession, Landlord shall have the right to (a) grant utility easements or other easements in, or replat, subdivide or make other changes in the legal status of the land underlying the Building or the Property as Landlord shall deem appropriate in its sole discretion, provided such changes do not materially interfere with Tenant’s use or occupancy of the Premises or with Tenant’s use of the parking facilities or common areas of or serving the Building; (b) subject to the terms and conditions of the following paragraphs, enter the Premises to inspect, alter or repair the Premises or the Building or perform any acts related to the safety, protection, reletting, sale, mortgaging, or improvement of the Premises or the Building, or to enter the office portion of the Premises to perform janitorial services; (c) change the name or street address of the Building;</w:t>
      </w:r>
    </w:p>
    <w:p>
      <w:pPr>
        <w:spacing w:after="0" w:line="2" w:lineRule="exact"/>
        <w:rPr>
          <w:sz w:val="20"/>
          <w:szCs w:val="20"/>
          <w:color w:val="auto"/>
        </w:rPr>
      </w:pPr>
    </w:p>
    <w:p>
      <w:pPr>
        <w:ind w:firstLine="8"/>
        <w:spacing w:after="0" w:line="292" w:lineRule="auto"/>
        <w:tabs>
          <w:tab w:leader="none" w:pos="255"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install and maintain in compliance with law signs on and in the Building, excluding the Premises; and (e) make such reasonable and non-discriminatory rules and regulations as, in the sole reasonable judgment of Landlord, may be needed from time to time for the safety of the tenants, the care and cleanliness of the Premises, the Building and the preservation of good order therein, subject to the terms of this Lease, and provided that such rules and regulations do not materially interfere with the Permitted Use or conflict with the terms of this Lease. Further, Tenant agrees that Landlord and its agents may inspect the Premises at any reasonable time for the purpose of serving, posting or keeping posted thereon notices provided for hereunder.</w:t>
      </w:r>
    </w:p>
    <w:p>
      <w:pPr>
        <w:spacing w:after="0" w:line="162" w:lineRule="exact"/>
        <w:rPr>
          <w:rFonts w:ascii="Arial" w:cs="Arial" w:eastAsia="Arial" w:hAnsi="Arial"/>
          <w:sz w:val="16"/>
          <w:szCs w:val="16"/>
          <w:color w:val="auto"/>
        </w:rPr>
      </w:pPr>
    </w:p>
    <w:p>
      <w:pPr>
        <w:ind w:right="240" w:firstLine="656"/>
        <w:spacing w:after="0" w:line="277" w:lineRule="auto"/>
        <w:tabs>
          <w:tab w:leader="none" w:pos="1294"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entry of Landlord and its agents, representatives, employees and contractors (collectively, “Landlord’s Personnel”) into the Premises pursuant to clause (b) of the preceding paragraph shall be governed by the following paragraphs:</w:t>
      </w:r>
    </w:p>
    <w:p>
      <w:pPr>
        <w:spacing w:after="0" w:line="170" w:lineRule="exact"/>
        <w:rPr>
          <w:rFonts w:ascii="Arial" w:cs="Arial" w:eastAsia="Arial" w:hAnsi="Arial"/>
          <w:sz w:val="18"/>
          <w:szCs w:val="18"/>
          <w:color w:val="auto"/>
        </w:rPr>
      </w:pPr>
    </w:p>
    <w:p>
      <w:pPr>
        <w:ind w:right="20" w:firstLine="656"/>
        <w:spacing w:after="0" w:line="297" w:lineRule="auto"/>
        <w:tabs>
          <w:tab w:leader="none" w:pos="1304" w:val="left"/>
        </w:tabs>
        <w:numPr>
          <w:ilvl w:val="1"/>
          <w:numId w:val="88"/>
        </w:numPr>
        <w:rPr>
          <w:rFonts w:ascii="Arial" w:cs="Arial" w:eastAsia="Arial" w:hAnsi="Arial"/>
          <w:sz w:val="16"/>
          <w:szCs w:val="16"/>
          <w:color w:val="auto"/>
        </w:rPr>
      </w:pPr>
      <w:r>
        <w:rPr>
          <w:rFonts w:ascii="Arial" w:cs="Arial" w:eastAsia="Arial" w:hAnsi="Arial"/>
          <w:sz w:val="16"/>
          <w:szCs w:val="16"/>
          <w:color w:val="auto"/>
        </w:rPr>
        <w:t>Subject to the last sentence of this paragraph, Landlord and Landlord’s Personnel may enter the Premises to perform the activities described in clause (b) above at any reasonable time or time during the Term, but upon not less than two (2) business days advance written notice to Tenant (describing in reasonable detail the purpose of Landlord’s proposed entry and those portions of the Premises that will be affected by such entry), except in cases of emergency, where less notice may be given or no notice if circumstances do not permit. Landlord acknowledges the confidential nature of Tenant’s business and shall, notwithstanding anything to the contrary herein, comply with all commercially reasonable security requirements of Tenant (except in cases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emergency) and keep and maintain any knowledge gained through inspection of or access to the Premises by Landlord or Landlord’s Personnel confidential.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Landlord’s Personnel may not enter the Premises to show the Premises to prospective tenants until the last nine (9) months of the Term.</w:t>
      </w:r>
    </w:p>
    <w:p>
      <w:pPr>
        <w:spacing w:after="0" w:line="211" w:lineRule="exact"/>
        <w:rPr>
          <w:sz w:val="20"/>
          <w:szCs w:val="20"/>
          <w:color w:val="auto"/>
        </w:rPr>
      </w:pPr>
    </w:p>
    <w:p>
      <w:pPr>
        <w:ind w:right="220" w:firstLine="656"/>
        <w:spacing w:after="0" w:line="288" w:lineRule="auto"/>
        <w:tabs>
          <w:tab w:leader="none" w:pos="1307" w:val="left"/>
        </w:tabs>
        <w:numPr>
          <w:ilvl w:val="1"/>
          <w:numId w:val="89"/>
        </w:numPr>
        <w:rPr>
          <w:rFonts w:ascii="Arial" w:cs="Arial" w:eastAsia="Arial" w:hAnsi="Arial"/>
          <w:sz w:val="16"/>
          <w:szCs w:val="16"/>
          <w:color w:val="auto"/>
        </w:rPr>
      </w:pPr>
      <w:r>
        <w:rPr>
          <w:rFonts w:ascii="Arial" w:cs="Arial" w:eastAsia="Arial" w:hAnsi="Arial"/>
          <w:sz w:val="16"/>
          <w:szCs w:val="16"/>
          <w:color w:val="auto"/>
        </w:rPr>
        <w:t>As a condition to entry into the Premises (except in cases of emergency), Tenant shall have the right to require that any Landlord Party entering the Premises: (i) sign in and out, (ii) wear a visitor’s badge, (iii) be accompanied by security or other personnel of Tenant at all times while on the Premises, so long as such escort is available at the time of Landlord’s intended entry; (iv) sign a commercially reasonable confidentiality agreement; and</w:t>
      </w:r>
    </w:p>
    <w:p>
      <w:pPr>
        <w:ind w:right="580" w:firstLine="8"/>
        <w:spacing w:after="0" w:line="261" w:lineRule="auto"/>
        <w:tabs>
          <w:tab w:leader="none" w:pos="2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comply with Tenant’s other reasonable safety, gowning and training requirements to protect the integrity of any Tenant’s business operations at the Premises.</w:t>
      </w:r>
    </w:p>
    <w:p>
      <w:pPr>
        <w:spacing w:after="0" w:line="183" w:lineRule="exact"/>
        <w:rPr>
          <w:rFonts w:ascii="Arial" w:cs="Arial" w:eastAsia="Arial" w:hAnsi="Arial"/>
          <w:sz w:val="18"/>
          <w:szCs w:val="18"/>
          <w:color w:val="auto"/>
        </w:rPr>
      </w:pPr>
    </w:p>
    <w:p>
      <w:pPr>
        <w:jc w:val="both"/>
        <w:ind w:right="100" w:firstLine="656"/>
        <w:spacing w:after="0" w:line="312" w:lineRule="auto"/>
        <w:tabs>
          <w:tab w:leader="none" w:pos="1304" w:val="left"/>
        </w:tabs>
        <w:numPr>
          <w:ilvl w:val="1"/>
          <w:numId w:val="90"/>
        </w:numPr>
        <w:rPr>
          <w:rFonts w:ascii="Arial" w:cs="Arial" w:eastAsia="Arial" w:hAnsi="Arial"/>
          <w:sz w:val="16"/>
          <w:szCs w:val="16"/>
          <w:color w:val="auto"/>
        </w:rPr>
      </w:pPr>
      <w:r>
        <w:rPr>
          <w:rFonts w:ascii="Arial" w:cs="Arial" w:eastAsia="Arial" w:hAnsi="Arial"/>
          <w:sz w:val="16"/>
          <w:szCs w:val="16"/>
          <w:color w:val="auto"/>
        </w:rPr>
        <w:t>Landlord shall use reasonable efforts to schedule the activities described in clause (b) above at times other than during normal office hours (except in cases of emergency), shall not undertake or authorize any activity that will cause Tenant to violate any laws, and shall otherwise use commercially reasonable efforts to ensure that any entry or work shall not interfere in any material respect with Tenant’s use or occupancy of the Premises.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any other provisions of this Lease, if because of the entry of Landlord or Landlord’s Personnel into the Premises or any repairs, alterations, work or other activities performed by Landlord or Landlord’s Personnel Tenant is not reasonably able to conduct its business in all or a portion of the Premises and Tenant actually ceases to conduct its business in all or a portion of the Premises (each, an “Entry Abatement Condition”), then Tenant shall have the same rights as provided in Paragraph 12 above.</w:t>
      </w:r>
    </w:p>
    <w:p>
      <w:pPr>
        <w:spacing w:after="0" w:line="183" w:lineRule="exact"/>
        <w:rPr>
          <w:sz w:val="20"/>
          <w:szCs w:val="20"/>
          <w:color w:val="auto"/>
        </w:rPr>
      </w:pPr>
    </w:p>
    <w:p>
      <w:pPr>
        <w:jc w:val="both"/>
        <w:ind w:right="100"/>
        <w:spacing w:after="0" w:line="314" w:lineRule="auto"/>
        <w:rPr>
          <w:sz w:val="20"/>
          <w:szCs w:val="20"/>
          <w:color w:val="auto"/>
        </w:rPr>
      </w:pPr>
      <w:r>
        <w:rPr>
          <w:rFonts w:ascii="Arial" w:cs="Arial" w:eastAsia="Arial" w:hAnsi="Arial"/>
          <w:sz w:val="16"/>
          <w:szCs w:val="16"/>
          <w:b w:val="1"/>
          <w:bCs w:val="1"/>
          <w:color w:val="auto"/>
        </w:rPr>
        <w:t>PARAGRAPH 20: AS-IS</w:t>
      </w:r>
      <w:r>
        <w:rPr>
          <w:rFonts w:ascii="Arial" w:cs="Arial" w:eastAsia="Arial" w:hAnsi="Arial"/>
          <w:sz w:val="16"/>
          <w:szCs w:val="16"/>
          <w:color w:val="auto"/>
        </w:rPr>
        <w:t>: Except as otherwise provided herein, and without limitation of Landlord’s obligations under this Lease, Tenant agrees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accept possession of the Premises in its then “AS-IS” physical condition on the Commencement Date, it being understood and agreed that Landlord shall not be obligated to make any improvements, alterations or repairs to the Premises, except as expressly provided in this Lease including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142"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21:</w:t>
      </w:r>
      <w:r>
        <w:rPr>
          <w:sz w:val="20"/>
          <w:szCs w:val="20"/>
          <w:color w:val="auto"/>
        </w:rPr>
        <w:tab/>
      </w:r>
      <w:r>
        <w:rPr>
          <w:rFonts w:ascii="Arial" w:cs="Arial" w:eastAsia="Arial" w:hAnsi="Arial"/>
          <w:sz w:val="18"/>
          <w:szCs w:val="18"/>
          <w:b w:val="1"/>
          <w:bCs w:val="1"/>
          <w:color w:val="auto"/>
        </w:rPr>
        <w:t>CASUALTY, CONDEMNATION AND UNTENANTABILITY</w:t>
      </w:r>
      <w:r>
        <w:rPr>
          <w:rFonts w:ascii="Arial" w:cs="Arial" w:eastAsia="Arial" w:hAnsi="Arial"/>
          <w:sz w:val="18"/>
          <w:szCs w:val="18"/>
          <w:color w:val="auto"/>
        </w:rPr>
        <w:t>:</w:t>
      </w:r>
    </w:p>
    <w:p>
      <w:pPr>
        <w:spacing w:after="0" w:line="229" w:lineRule="exact"/>
        <w:rPr>
          <w:sz w:val="20"/>
          <w:szCs w:val="20"/>
          <w:color w:val="auto"/>
        </w:rPr>
      </w:pPr>
    </w:p>
    <w:p>
      <w:pPr>
        <w:ind w:right="120" w:firstLine="656"/>
        <w:spacing w:after="0" w:line="297" w:lineRule="auto"/>
        <w:tabs>
          <w:tab w:leader="none" w:pos="1294"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the Building or the Premises shall be partially or totally damaged or destroyed by fire or other cause or taken in a condemnation proceeding, then, whether or not the damage or destruction shall have resulted from the fault or neglect of Tenant, or its employees, agents or visitors (and if this Lease shall not have been terminated as in this Paragraph as hereinafter provided), but subject to the provisions set forth in Paragraph 21(c) below, Landlord shall repair the damage and restore and rebuild the Building and/or the Premises, at its expense, after notice to it of the damage or destruction or condemnation; provided, however, that Landlord shall not be required to repair or replace any of Tenant’s property nor to restore any of Tenant Alteration.</w:t>
      </w:r>
    </w:p>
    <w:p>
      <w:pPr>
        <w:spacing w:after="0" w:line="158" w:lineRule="exact"/>
        <w:rPr>
          <w:rFonts w:ascii="Arial" w:cs="Arial" w:eastAsia="Arial" w:hAnsi="Arial"/>
          <w:sz w:val="16"/>
          <w:szCs w:val="16"/>
          <w:color w:val="auto"/>
        </w:rPr>
      </w:pPr>
    </w:p>
    <w:p>
      <w:pPr>
        <w:ind w:right="200" w:firstLine="656"/>
        <w:spacing w:after="0" w:line="259" w:lineRule="auto"/>
        <w:tabs>
          <w:tab w:leader="none" w:pos="1304"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(i) the Building or the Premises shall be partially damaged or partially destroyed by fire or other cause or taken in a condemnation proceeding, the Rent payable hereunder shall be abated in proportion to the portion of the Premises that shall have been rendered untenantable (which shall include, without limitation, inability to access the Premises) and for the period from the date of such damage or destruction or condemnation to the date the damage shall be repaired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or restored; or (ii) the Premises or a major part thereof shall be totally (which shall be deemed to include substantially totally) partially damaged or partially destroyed by fire or other cause or taken in a condemnation proceeding, the Rent payable hereunder shall be abated by Landlord in an equitable manner to the extent that the Premises or such portion thereof is unfit for occupancy and is not occupied by Tenant and for the period from the date of such damage or destruction or condemnation to that date the damage shall be repaired or restored; in each case, only to the extent of the insurance proceeds actually paid to</w:t>
      </w:r>
    </w:p>
    <w:p>
      <w:pPr>
        <w:sectPr>
          <w:pgSz w:w="11900" w:h="16945" w:orient="portrait"/>
          <w:cols w:equalWidth="0" w:num="1">
            <w:col w:w="11400"/>
          </w:cols>
          <w:pgMar w:left="240" w:top="125" w:right="259" w:bottom="0" w:gutter="0" w:footer="0" w:header="0"/>
        </w:sectPr>
      </w:pPr>
    </w:p>
    <w:bookmarkStart w:id="66" w:name="page67"/>
    <w:bookmarkEnd w:id="66"/>
    <w:p>
      <w:pPr>
        <w:spacing w:after="0" w:line="7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Landlord, provided, however, that should Tenant reoccupy a portion of the Premises during the period the restoration work is taking place and prior to the date that the same are made completely tenantable, Rent allocable to such portion shall be payable by Tenant from the date of such occupancy.</w:t>
      </w:r>
    </w:p>
    <w:p>
      <w:pPr>
        <w:spacing w:after="0" w:line="124" w:lineRule="exact"/>
        <w:rPr>
          <w:sz w:val="20"/>
          <w:szCs w:val="20"/>
          <w:color w:val="auto"/>
        </w:rPr>
      </w:pPr>
    </w:p>
    <w:p>
      <w:pPr>
        <w:ind w:left="1320" w:hanging="664"/>
        <w:spacing w:after="0"/>
        <w:tabs>
          <w:tab w:leader="none" w:pos="13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If (i) the Building shall be damaged or destroyed by fire or other cause (whether or not the Premises are damaged or destroyed) as to require</w:t>
      </w:r>
    </w:p>
    <w:p>
      <w:pPr>
        <w:spacing w:after="0" w:line="46" w:lineRule="exact"/>
        <w:rPr>
          <w:rFonts w:ascii="Arial" w:cs="Arial" w:eastAsia="Arial" w:hAnsi="Arial"/>
          <w:sz w:val="16"/>
          <w:szCs w:val="16"/>
          <w:color w:val="auto"/>
        </w:rPr>
      </w:pPr>
    </w:p>
    <w:p>
      <w:pPr>
        <w:ind w:right="200" w:firstLine="8"/>
        <w:spacing w:after="0" w:line="281" w:lineRule="auto"/>
        <w:tabs>
          <w:tab w:leader="none" w:pos="295"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reasonably estimated expenditure of more than 40% of the full replacement cost of the Building immediately prior to the casualty or (B) a period of more than nine (9) months will be required for Landlord to complete any repairs or replacements, as such period(s) is/are reasonably estimated by Landlord (“Landlord’s Estimate”) , then in either such case Landlord may terminate this Lease by giving Tenant notice to such effect within ninety (90) days after the date of the casualty. In case of any damage or destruction or condemnation mentioned in this Paragraph, if (a) Landlord’s Estimate is more than nine</w:t>
      </w:r>
    </w:p>
    <w:p>
      <w:pPr>
        <w:spacing w:after="0" w:line="2" w:lineRule="exact"/>
        <w:rPr>
          <w:rFonts w:ascii="Arial" w:cs="Arial" w:eastAsia="Arial" w:hAnsi="Arial"/>
          <w:sz w:val="16"/>
          <w:szCs w:val="16"/>
          <w:color w:val="auto"/>
        </w:rPr>
      </w:pPr>
    </w:p>
    <w:p>
      <w:pPr>
        <w:ind w:right="200"/>
        <w:spacing w:after="0" w:line="281" w:lineRule="auto"/>
        <w:rPr>
          <w:rFonts w:ascii="Arial" w:cs="Arial" w:eastAsia="Arial" w:hAnsi="Arial"/>
          <w:sz w:val="16"/>
          <w:szCs w:val="16"/>
          <w:color w:val="auto"/>
        </w:rPr>
      </w:pPr>
      <w:r>
        <w:rPr>
          <w:rFonts w:ascii="Arial" w:cs="Arial" w:eastAsia="Arial" w:hAnsi="Arial"/>
          <w:sz w:val="16"/>
          <w:szCs w:val="16"/>
          <w:color w:val="auto"/>
        </w:rPr>
        <w:t>(9) months or (b) Landlord has not theretofore terminated this Lease and if Landlord has not completed the required repairs and restored and rebuilt the Building and the Premises within twelve (12) months from the date of such damage or destruction, or within such period after such date (not exceeding two</w:t>
      </w:r>
    </w:p>
    <w:p>
      <w:pPr>
        <w:spacing w:after="0" w:line="1"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(2) months) as shall equal the aggregate period Landlord may have been delayed in doing so by adjustment of insurance, labor trouble, governmental controls, act of God, or any other cause beyond Landlord’s reasonable control, Tenant may terminate this Lease, by notice given to Landlord thereafter but in the case of (b) only prior to the completion of such required repairs.</w:t>
      </w:r>
    </w:p>
    <w:p>
      <w:pPr>
        <w:spacing w:after="0" w:line="190" w:lineRule="exact"/>
        <w:rPr>
          <w:rFonts w:ascii="Arial" w:cs="Arial" w:eastAsia="Arial" w:hAnsi="Arial"/>
          <w:sz w:val="16"/>
          <w:szCs w:val="16"/>
          <w:color w:val="auto"/>
        </w:rPr>
      </w:pPr>
    </w:p>
    <w:p>
      <w:pPr>
        <w:ind w:right="80" w:firstLine="656"/>
        <w:spacing w:after="0" w:line="264" w:lineRule="auto"/>
        <w:tabs>
          <w:tab w:leader="none" w:pos="1304" w:val="left"/>
        </w:tabs>
        <w:numPr>
          <w:ilvl w:val="1"/>
          <w:numId w:val="93"/>
        </w:numPr>
        <w:rPr>
          <w:rFonts w:ascii="Arial" w:cs="Arial" w:eastAsia="Arial" w:hAnsi="Arial"/>
          <w:sz w:val="18"/>
          <w:szCs w:val="18"/>
          <w:color w:val="auto"/>
        </w:rPr>
      </w:pPr>
      <w:r>
        <w:rPr>
          <w:rFonts w:ascii="Arial" w:cs="Arial" w:eastAsia="Arial" w:hAnsi="Arial"/>
          <w:sz w:val="18"/>
          <w:szCs w:val="18"/>
          <w:color w:val="auto"/>
        </w:rPr>
        <w:t>No damages, compensation or claim shall be payable by Landlord for inconvenience, loss of business or annoyance arising from any repair or restoration of any portion of the Premises or of the Building pursuant to this Paragraph. Landlord shall use reasonable efforts to effect such repair or restoration promptly and in such manner as to not unreasonably interfere with Tenant’s use and occupancy.</w:t>
      </w:r>
    </w:p>
    <w:p>
      <w:pPr>
        <w:spacing w:after="0" w:line="181" w:lineRule="exact"/>
        <w:rPr>
          <w:rFonts w:ascii="Arial" w:cs="Arial" w:eastAsia="Arial" w:hAnsi="Arial"/>
          <w:sz w:val="18"/>
          <w:szCs w:val="18"/>
          <w:color w:val="auto"/>
        </w:rPr>
      </w:pPr>
    </w:p>
    <w:p>
      <w:pPr>
        <w:ind w:right="40" w:firstLine="656"/>
        <w:spacing w:after="0" w:line="297" w:lineRule="auto"/>
        <w:tabs>
          <w:tab w:leader="none" w:pos="1307" w:val="left"/>
        </w:tabs>
        <w:numPr>
          <w:ilvl w:val="1"/>
          <w:numId w:val="93"/>
        </w:numPr>
        <w:rPr>
          <w:rFonts w:ascii="Arial" w:cs="Arial" w:eastAsia="Arial" w:hAnsi="Arial"/>
          <w:sz w:val="16"/>
          <w:szCs w:val="16"/>
          <w:color w:val="auto"/>
        </w:rPr>
      </w:pPr>
      <w:r>
        <w:rPr>
          <w:rFonts w:ascii="Arial" w:cs="Arial" w:eastAsia="Arial" w:hAnsi="Arial"/>
          <w:sz w:val="16"/>
          <w:szCs w:val="16"/>
          <w:color w:val="auto"/>
        </w:rPr>
        <w:t>Notwithstanding anything to the foregoing provisions of this Paragraph, if Landlord or the lessor of any superior lease or the holder of any superior mortgage shall be unable to collect all of the insurance proceeds (including rent insurance proceeds) applicable to damage or destruction of the Premises or the Building by fire or other cause, by reason of some action or inaction on the part of Tenant or any of its employees, agents or contractors, then, without prejudice to any other remedies which may be available against Tenant, there shall be no abatement of Rent hereunder, but the total amount of such Rent not abated (which would otherwise have been abated) shall not exceed the amount of the uncollected insurance proceeds.</w:t>
      </w:r>
    </w:p>
    <w:p>
      <w:pPr>
        <w:spacing w:after="0" w:line="158" w:lineRule="exact"/>
        <w:rPr>
          <w:rFonts w:ascii="Arial" w:cs="Arial" w:eastAsia="Arial" w:hAnsi="Arial"/>
          <w:sz w:val="16"/>
          <w:szCs w:val="16"/>
          <w:color w:val="auto"/>
        </w:rPr>
      </w:pPr>
    </w:p>
    <w:p>
      <w:pPr>
        <w:ind w:right="100" w:firstLine="656"/>
        <w:spacing w:after="0" w:line="264" w:lineRule="auto"/>
        <w:tabs>
          <w:tab w:leader="none" w:pos="1301"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provisions of this Paragraph are Tenant’s sole and exclusive rights and remedies in the event of a Taking. To the extent permitted by applicable law, Tenant waives the benefits of any law including, including, but not limited to, Section 1265.130 of the California Civil Code or any successor statutes or laws, that provides Tenant any abatement or termination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rights or any right to receive any payment or award (by virtue of a Taking) not specifically described in this Paragraph.</w:t>
      </w:r>
    </w:p>
    <w:p>
      <w:pPr>
        <w:spacing w:after="0" w:line="221"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PARAGRAPH 22: PARKING: </w:t>
      </w:r>
      <w:r>
        <w:rPr>
          <w:rFonts w:ascii="Arial" w:cs="Arial" w:eastAsia="Arial" w:hAnsi="Arial"/>
          <w:sz w:val="17"/>
          <w:szCs w:val="17"/>
          <w:color w:val="auto"/>
        </w:rPr>
        <w:t>In the event Tenant notifies Landlord by written notice sent no later than ten (10) days after the Commencement</w:t>
      </w:r>
      <w:r>
        <w:rPr>
          <w:rFonts w:ascii="Arial" w:cs="Arial" w:eastAsia="Arial" w:hAnsi="Arial"/>
          <w:sz w:val="17"/>
          <w:szCs w:val="17"/>
          <w:b w:val="1"/>
          <w:bCs w:val="1"/>
          <w:color w:val="auto"/>
        </w:rPr>
        <w:t xml:space="preserve"> </w:t>
      </w:r>
      <w:r>
        <w:rPr>
          <w:rFonts w:ascii="Arial" w:cs="Arial" w:eastAsia="Arial" w:hAnsi="Arial"/>
          <w:sz w:val="17"/>
          <w:szCs w:val="17"/>
          <w:color w:val="auto"/>
        </w:rPr>
        <w:t>Date, Landlord shall, at Tenant’s sole cost and expense, provide at least five (5) electric or hybrid vehicle charging stations within the parking facilities for the Property, which five (5) spaces taken up by the charging stations shall be deducted from Tenant’s parking allotment. At all times during the Term (i.e., twenty-four (24) hours per day, seven (7) days per week), Tenant, its employees and invitees shall be entitled to utilize the Authorized Parking Spaces located within the parking facilities for the Property, on an unreserved, first-come, first-serve basis in common with other tenants and occupants, subject to Landlord’s reasonable control. Landlord may change or reconfigure the parking facilities and designate the parking spaces therein, construct or repair any portion thereof, and do such other acts within such areas as Landlord deems reasonably necessary to maintain the parking facilities in good working order so long as the foregoing are permitted by applicable codes, regulations and laws including, without limitation, the ADA, and Tenant, its employees and invitees continue to have the right to utilize all of the Authorized Parking Spaces twenty-four (24) hours per day, seven (7) days per week during the Term. Landlord shall not be liable for any damage to, or any theft of, vehicles, or contents thereof, within the parking facility. Landlord, in compliance with all applicable laws, reserves the right in its absolute discretion to reconfigure the parking area and modify the existing ingress to and egress from the parking area as Landlord shall deem appropriate so long as Tenant is provided with use of its parking allocation in this Lease.</w:t>
      </w:r>
    </w:p>
    <w:p>
      <w:pPr>
        <w:spacing w:after="0" w:line="180"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23:</w:t>
      </w:r>
      <w:r>
        <w:rPr>
          <w:sz w:val="20"/>
          <w:szCs w:val="20"/>
          <w:color w:val="auto"/>
        </w:rPr>
        <w:tab/>
      </w: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24:</w:t>
      </w:r>
      <w:r>
        <w:rPr>
          <w:sz w:val="20"/>
          <w:szCs w:val="20"/>
          <w:color w:val="auto"/>
        </w:rPr>
        <w:tab/>
      </w:r>
      <w:r>
        <w:rPr>
          <w:rFonts w:ascii="Arial" w:cs="Arial" w:eastAsia="Arial" w:hAnsi="Arial"/>
          <w:sz w:val="18"/>
          <w:szCs w:val="18"/>
          <w:b w:val="1"/>
          <w:bCs w:val="1"/>
          <w:color w:val="auto"/>
        </w:rPr>
        <w:t>LIMITATION OF LANDLORD’S LIABILITY</w:t>
      </w:r>
      <w:r>
        <w:rPr>
          <w:rFonts w:ascii="Arial" w:cs="Arial" w:eastAsia="Arial" w:hAnsi="Arial"/>
          <w:sz w:val="18"/>
          <w:szCs w:val="18"/>
          <w:color w:val="auto"/>
        </w:rPr>
        <w:t>:</w:t>
      </w:r>
    </w:p>
    <w:p>
      <w:pPr>
        <w:spacing w:after="0" w:line="229" w:lineRule="exact"/>
        <w:rPr>
          <w:sz w:val="20"/>
          <w:szCs w:val="20"/>
          <w:color w:val="auto"/>
        </w:rPr>
      </w:pPr>
    </w:p>
    <w:p>
      <w:pPr>
        <w:ind w:right="80" w:firstLine="656"/>
        <w:spacing w:after="0" w:line="272" w:lineRule="auto"/>
        <w:tabs>
          <w:tab w:leader="none" w:pos="1294"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term “Landlord” as used herein shall mean only the owner of the Property or the tenant of the entire Property under an underlying lease. Upon Landlord’s transfer and conveyance of fee title to the Property or assignment of its entire interest in an underlying lease of the entire Property (if applicable), the transferor/assignor Landlord shall be relieved of all covenants and obligations of Landlord hereunder accruing after the effective date of the transfer or assignment if the transferee or assignee Landlord assumes in writing all such covenants and obligations of Landlord hereunder accruing after the effective date of the transfer or assignment, and as to such covenants and obligations Tenant shall look solely to the successor in interest of the transferor/assignor as Landlord hereunder. Tenant agrees to attorn to the transferee or assignee if such transferee or assignee recognizes this Lease and Tenant’s rights hereunder, such attornment to be self-operative.</w:t>
      </w:r>
    </w:p>
    <w:p>
      <w:pPr>
        <w:spacing w:after="0" w:line="177" w:lineRule="exact"/>
        <w:rPr>
          <w:rFonts w:ascii="Arial" w:cs="Arial" w:eastAsia="Arial" w:hAnsi="Arial"/>
          <w:sz w:val="17"/>
          <w:szCs w:val="17"/>
          <w:color w:val="auto"/>
        </w:rPr>
      </w:pPr>
    </w:p>
    <w:p>
      <w:pPr>
        <w:ind w:right="40" w:firstLine="656"/>
        <w:spacing w:after="0" w:line="257" w:lineRule="auto"/>
        <w:tabs>
          <w:tab w:leader="none" w:pos="1304"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NO EVENT SHALL LANDLORD BE LIABLE TO TENANT FOR ANY FAILURE OF OTHER TENANTS IN THE PROPERTY TO OPERATE THEIR BUSINESSES, OR FOR ANY LOSS OR DAMAGE CAUSED BY THE ACTS OR OMISSIONS OF OTHER TENANTS; PROVIDED, HOWEVER, THAT WITH RESPECT TO OTHER TENANTS, LANDLORD AGREES TO USE COMMERCIALLY REASONABLE EFFORTS TO ENFORCE THE TERMS AND PROVISIONS OF SUCH OTHER TENANTS’ LEASES. NOTWITHSTANDING ANYTHING TO THE CONTRARY CONTAINED HEREIN, NEITHER LANDLORD, NOR ANY LIMITED PARTNER OR MEMBER IN OR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LANDLORD, WHETHER DIRECT OR INDIRECT, NOR ANY DIRECT OR INDIRECT PARTNERS IN SUCH LIMITED PARTNERS, NOR ANY DISCLOSED OR UNDISCLOSED OFFICERS, SHAREHOLDERS, PRINCIPALS, DIRECTORS, MANAGERS, MEMBERS, EMPLOYEES OR PARTNERS OF LANDLORD, NOR ANY OF THE FOREGOING NOR ANY INVESTMENT ADVISER OR OTHER HOLDER OF ANY EQUITY INTEREST IN LANDLORD, THEIR SUCCESSORS, ASSIGNS, AGENTS, OR ANY MORTGAGEE IN POSSESSION SHALL HAVE ANY PERSONAL LIABILITY WITH RESPECT TO ANY PROVISIONS OF THIS LEASE AND, IF LANDLORD IS IN BREACH WITH RESPECT TO ITS OBLIGATIONS, TENANT SHALL LOOK SOLELY TO LANDLORD’S INTEREST IN THE PROPERTY AND THE RENTS, ISSUES, PROFITS AND PROCEEDS THEREOF FOR SATISFACTION OF TENANT’S REMEDIES.</w:t>
      </w:r>
    </w:p>
    <w:p>
      <w:pPr>
        <w:sectPr>
          <w:pgSz w:w="11900" w:h="16910" w:orient="portrait"/>
          <w:cols w:equalWidth="0" w:num="1">
            <w:col w:w="11420"/>
          </w:cols>
          <w:pgMar w:left="240" w:top="125" w:right="239" w:bottom="0" w:gutter="0" w:footer="0" w:header="0"/>
        </w:sectPr>
      </w:pPr>
    </w:p>
    <w:bookmarkStart w:id="67" w:name="page68"/>
    <w:bookmarkEnd w:id="67"/>
    <w:p>
      <w:pPr>
        <w:ind w:right="40"/>
        <w:spacing w:after="0" w:line="269" w:lineRule="auto"/>
        <w:rPr>
          <w:sz w:val="20"/>
          <w:szCs w:val="20"/>
          <w:color w:val="auto"/>
        </w:rPr>
      </w:pPr>
      <w:r>
        <w:rPr>
          <w:rFonts w:ascii="Arial" w:cs="Arial" w:eastAsia="Arial" w:hAnsi="Arial"/>
          <w:sz w:val="17"/>
          <w:szCs w:val="17"/>
          <w:b w:val="1"/>
          <w:bCs w:val="1"/>
          <w:color w:val="auto"/>
        </w:rPr>
        <w:t>PARAGRAPH 25: TENANT’S DEFAULT</w:t>
      </w:r>
      <w:r>
        <w:rPr>
          <w:rFonts w:ascii="Arial" w:cs="Arial" w:eastAsia="Arial" w:hAnsi="Arial"/>
          <w:sz w:val="17"/>
          <w:szCs w:val="17"/>
          <w:color w:val="auto"/>
        </w:rPr>
        <w:t>: It shall be a “Tenant’s Default” if (a) Tenant shall fail to pay any monthly installment of Base Rent or</w:t>
      </w:r>
      <w:r>
        <w:rPr>
          <w:rFonts w:ascii="Arial" w:cs="Arial" w:eastAsia="Arial" w:hAnsi="Arial"/>
          <w:sz w:val="17"/>
          <w:szCs w:val="17"/>
          <w:b w:val="1"/>
          <w:bCs w:val="1"/>
          <w:color w:val="auto"/>
        </w:rPr>
        <w:t xml:space="preserve"> </w:t>
      </w:r>
      <w:r>
        <w:rPr>
          <w:rFonts w:ascii="Arial" w:cs="Arial" w:eastAsia="Arial" w:hAnsi="Arial"/>
          <w:sz w:val="17"/>
          <w:szCs w:val="17"/>
          <w:color w:val="auto"/>
        </w:rPr>
        <w:t>the Operating Payment within five (5) business days after written notice form Landlord that such Rent or Payment is past due; (b) Tenant shall fail to pay any Additional Rent or any other sum due hereunder within five (5) business days after written notice has been given to Tenant by Landlord that such Rent or other sum is past due; (c) violate or fail to perform any of the other covenants or agreements herein made by Tenant, and such violation or failure shall continue for thirty (30) days after written notice thereof to Tenant by Landlord, except that if such default cannot be cured with such thirty (30) day period despite Tenant’s diligent efforts and within such thirty (30) day period Tenant commences and thereafter proceeds diligently to remedy the violation or failure in full, such event shall not be a Tenant’s Default hereunder; (d) Tenant or any guarantor of Tenant’s obligations hereunder (“Guarantor”) files a voluntary petition in bankruptcy or is adjudicated a bankrupt or becomes insolvent within the meaning of the United States Bankruptcy Code, as amended, or files any petition or answer seeking reorganization or similar relief under any bankruptcy or other applicable law, or seeks or consents to the appointment of a receiver or other custodian for any substantial part of Tenant’s properties or any part of the Premises; (4) any Guarantor of this Lease shall default beyond any applicable notice and/or grace period under such guaranty; or (5) the Premises shall be abandoned by Tenant for a period of ten (10) days; or (6) a mechanic’s or any other lien is filed against the Premises or the Property arising out of any work performed by or on behalf of Tenant and Tenant fails to discharge such lien within thirty (30) days after the filing and notice thereof.</w:t>
      </w:r>
    </w:p>
    <w:p>
      <w:pPr>
        <w:spacing w:after="0" w:line="17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PARAGRAPH 26: REMEDIES OF LANDLORD</w:t>
      </w:r>
      <w:r>
        <w:rPr>
          <w:rFonts w:ascii="Arial" w:cs="Arial" w:eastAsia="Arial" w:hAnsi="Arial"/>
          <w:sz w:val="18"/>
          <w:szCs w:val="18"/>
          <w:color w:val="auto"/>
        </w:rPr>
        <w:t>: If a “Tenant’s Default” occurs and continues beyond applicable cure periods, if any,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may, at its option:</w:t>
      </w:r>
    </w:p>
    <w:p>
      <w:pPr>
        <w:spacing w:after="0" w:line="166" w:lineRule="exact"/>
        <w:rPr>
          <w:sz w:val="20"/>
          <w:szCs w:val="20"/>
          <w:color w:val="auto"/>
        </w:rPr>
      </w:pPr>
    </w:p>
    <w:p>
      <w:pPr>
        <w:jc w:val="both"/>
        <w:ind w:right="100" w:firstLine="656"/>
        <w:spacing w:after="0" w:line="264" w:lineRule="auto"/>
        <w:tabs>
          <w:tab w:leader="none" w:pos="1294" w:val="left"/>
        </w:tabs>
        <w:numPr>
          <w:ilvl w:val="0"/>
          <w:numId w:val="95"/>
        </w:numPr>
        <w:rPr>
          <w:rFonts w:ascii="Arial" w:cs="Arial" w:eastAsia="Arial" w:hAnsi="Arial"/>
          <w:sz w:val="18"/>
          <w:szCs w:val="18"/>
          <w:color w:val="auto"/>
        </w:rPr>
      </w:pPr>
      <w:r>
        <w:rPr>
          <w:rFonts w:ascii="Arial" w:cs="Arial" w:eastAsia="Arial" w:hAnsi="Arial"/>
          <w:sz w:val="18"/>
          <w:szCs w:val="18"/>
          <w:color w:val="auto"/>
        </w:rPr>
        <w:t>Cure for the account of Tenant any such Tenant’s Default and immediately recover as expenses any reasonable expenditures made to effect such cure plus interest (at the Interest Rate) on such expenditures from the date thereof until such expenditures are reimbursed to Landlord. The payment of interest on such amount shall not excuse or cure any Tenant’s Default under this Lease;</w:t>
      </w:r>
    </w:p>
    <w:p>
      <w:pPr>
        <w:spacing w:after="0" w:line="181" w:lineRule="exact"/>
        <w:rPr>
          <w:rFonts w:ascii="Arial" w:cs="Arial" w:eastAsia="Arial" w:hAnsi="Arial"/>
          <w:sz w:val="18"/>
          <w:szCs w:val="18"/>
          <w:color w:val="auto"/>
        </w:rPr>
      </w:pPr>
    </w:p>
    <w:p>
      <w:pPr>
        <w:ind w:right="140" w:firstLine="656"/>
        <w:spacing w:after="0" w:line="264" w:lineRule="auto"/>
        <w:tabs>
          <w:tab w:leader="none" w:pos="1304" w:val="left"/>
        </w:tabs>
        <w:numPr>
          <w:ilvl w:val="0"/>
          <w:numId w:val="95"/>
        </w:numPr>
        <w:rPr>
          <w:rFonts w:ascii="Arial" w:cs="Arial" w:eastAsia="Arial" w:hAnsi="Arial"/>
          <w:sz w:val="18"/>
          <w:szCs w:val="18"/>
          <w:color w:val="auto"/>
        </w:rPr>
      </w:pPr>
      <w:r>
        <w:rPr>
          <w:rFonts w:ascii="Arial" w:cs="Arial" w:eastAsia="Arial" w:hAnsi="Arial"/>
          <w:sz w:val="18"/>
          <w:szCs w:val="18"/>
          <w:color w:val="auto"/>
        </w:rPr>
        <w:t>Terminate this Lease, in which event Tenant shall immediately surrender the Premises to Landlord, and if Tenant fails to do so, Landlord may, without prejudice to any other remedy which it may have for possession or arrearages in Rent, after due process of law, enter upon and take possession of the Premises and expel or remove Tenant and any other person who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may be occupying the Premises or any part thereof, without being liable for prosecution or any claim for damages therefor; and Landlord may recover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Tenant the following:</w:t>
      </w:r>
    </w:p>
    <w:p>
      <w:pPr>
        <w:spacing w:after="0" w:line="211" w:lineRule="exact"/>
        <w:rPr>
          <w:sz w:val="20"/>
          <w:szCs w:val="20"/>
          <w:color w:val="auto"/>
        </w:rPr>
      </w:pPr>
    </w:p>
    <w:p>
      <w:pPr>
        <w:ind w:left="1980" w:hanging="675"/>
        <w:spacing w:after="0"/>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worth at the time of award of any unpaid rent which has been earned at the time of such termination; plus</w:t>
      </w:r>
    </w:p>
    <w:p>
      <w:pPr>
        <w:spacing w:after="0" w:line="225" w:lineRule="exact"/>
        <w:rPr>
          <w:rFonts w:ascii="Arial" w:cs="Arial" w:eastAsia="Arial" w:hAnsi="Arial"/>
          <w:sz w:val="18"/>
          <w:szCs w:val="18"/>
          <w:color w:val="auto"/>
        </w:rPr>
      </w:pPr>
    </w:p>
    <w:p>
      <w:pPr>
        <w:ind w:right="140" w:firstLine="1305"/>
        <w:spacing w:after="0" w:line="277" w:lineRule="auto"/>
        <w:tabs>
          <w:tab w:leader="none" w:pos="197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70" w:lineRule="exact"/>
        <w:rPr>
          <w:rFonts w:ascii="Arial" w:cs="Arial" w:eastAsia="Arial" w:hAnsi="Arial"/>
          <w:sz w:val="18"/>
          <w:szCs w:val="18"/>
          <w:color w:val="auto"/>
        </w:rPr>
      </w:pPr>
    </w:p>
    <w:p>
      <w:pPr>
        <w:ind w:firstLine="1305"/>
        <w:spacing w:after="0" w:line="277" w:lineRule="auto"/>
        <w:tabs>
          <w:tab w:leader="none" w:pos="198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Term after the time of award exceeds the amount of such rental loss that Tenant proves could have been reasonably avoided; plus</w:t>
      </w:r>
    </w:p>
    <w:p>
      <w:pPr>
        <w:spacing w:after="0" w:line="170" w:lineRule="exact"/>
        <w:rPr>
          <w:rFonts w:ascii="Arial" w:cs="Arial" w:eastAsia="Arial" w:hAnsi="Arial"/>
          <w:sz w:val="18"/>
          <w:szCs w:val="18"/>
          <w:color w:val="auto"/>
        </w:rPr>
      </w:pPr>
    </w:p>
    <w:p>
      <w:pPr>
        <w:ind w:right="100" w:firstLine="1305"/>
        <w:spacing w:after="0" w:line="279" w:lineRule="auto"/>
        <w:tabs>
          <w:tab w:leader="none" w:pos="1961"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but in no event including consequential damages.</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used in Paragraphs 26(c)(i) and (ii), above, the “worth at the time of award” shall be computed by allowing interest at the Interest Rate. As used in Paragraph 26(c)(iii) above, the “worth at the time of award” shall be computed by discounting such amount at the discount rate of the Federal Reserve Bank of San Francisco at the time of award plus one percent (1%);</w:t>
      </w:r>
    </w:p>
    <w:p>
      <w:pPr>
        <w:spacing w:after="0" w:line="181" w:lineRule="exact"/>
        <w:rPr>
          <w:sz w:val="20"/>
          <w:szCs w:val="20"/>
          <w:color w:val="auto"/>
        </w:rPr>
      </w:pPr>
    </w:p>
    <w:p>
      <w:pPr>
        <w:ind w:right="60" w:firstLine="656"/>
        <w:spacing w:after="0" w:line="342" w:lineRule="auto"/>
        <w:tabs>
          <w:tab w:leader="none" w:pos="1307"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 addition, Landlord shall also have the remedy described in California Civil Code Section 1951.4 (Landlord may continue Lease in effect after Tenant’s breach and abandonment and recover Rent as it becomes due, if Tenant has right to sublet or assign, subject only to reasonable limitations);</w:t>
      </w:r>
    </w:p>
    <w:p>
      <w:pPr>
        <w:spacing w:after="0" w:line="123" w:lineRule="exact"/>
        <w:rPr>
          <w:rFonts w:ascii="Arial" w:cs="Arial" w:eastAsia="Arial" w:hAnsi="Arial"/>
          <w:sz w:val="16"/>
          <w:szCs w:val="16"/>
          <w:color w:val="auto"/>
        </w:rPr>
      </w:pPr>
    </w:p>
    <w:p>
      <w:pPr>
        <w:ind w:right="40" w:firstLine="656"/>
        <w:spacing w:after="0" w:line="259" w:lineRule="auto"/>
        <w:tabs>
          <w:tab w:leader="none" w:pos="1304"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Seek an injunction, in the event of a breach or threatened breach by Tenant of any of the agreements, conditions, covenants or terms hereof, to restrain the same and the right to invoke any remedy allowed by law or in equity, whether or not other remedies, indemnity of reimbursements are herein provided. The rights and remedies given to Landlord in this Lease are distinct, separate and cumulative remedies; and no one of them, whether or not exercised by Landlord, shall be deemed to be in exclusion of any of the others; and</w:t>
      </w:r>
    </w:p>
    <w:p>
      <w:pPr>
        <w:spacing w:after="0" w:line="186" w:lineRule="exact"/>
        <w:rPr>
          <w:rFonts w:ascii="Arial" w:cs="Arial" w:eastAsia="Arial" w:hAnsi="Arial"/>
          <w:sz w:val="18"/>
          <w:szCs w:val="18"/>
          <w:color w:val="auto"/>
        </w:rPr>
      </w:pPr>
    </w:p>
    <w:p>
      <w:pPr>
        <w:ind w:right="160" w:firstLine="656"/>
        <w:spacing w:after="0" w:line="297" w:lineRule="auto"/>
        <w:tabs>
          <w:tab w:leader="none" w:pos="1307" w:val="left"/>
        </w:tabs>
        <w:numPr>
          <w:ilvl w:val="0"/>
          <w:numId w:val="97"/>
        </w:numPr>
        <w:rPr>
          <w:rFonts w:ascii="Arial" w:cs="Arial" w:eastAsia="Arial" w:hAnsi="Arial"/>
          <w:sz w:val="16"/>
          <w:szCs w:val="16"/>
          <w:color w:val="auto"/>
        </w:rPr>
      </w:pPr>
      <w:r>
        <w:rPr>
          <w:rFonts w:ascii="Arial" w:cs="Arial" w:eastAsia="Arial" w:hAnsi="Arial"/>
          <w:sz w:val="16"/>
          <w:szCs w:val="16"/>
          <w:color w:val="auto"/>
        </w:rPr>
        <w:t>Tenant, on its own behalf and on behalf of all persons claiming through Tenant, including all creditors, further waives any rights which Tenant and all such persons might otherwise have under any law to redeem the Premises, or to re-enter or repossess the Premises, or to restore the operation of this Lease, after (i) Tenant shall have been dispossessed by a judgment or by warrant of any court or judge, or (ii) any re-entry by Landlord, or (iii) any expiration or termination of this Lease and the Term, whether such dispossess, re-entry, expiration or termination shall be by operation of law or pursuant to the provisions of this Lease. The words “re-enter,” “re-entry” and “re-entered” as used herein shall not be restricted to their technical legal meanings.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Landlord and Tenant agree that the City of South San Francisco, San Mateo County, California shall be the venue of any action arising in any way out of this Lease.</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rights and remedies of Landlord and Tenant under this Lease shall be nonexclusive and each right or remedy shall be in addition to and cumulative of all other rights and remedies available to such party under this Lease, at law or in equity. Pursuit of any right or remedy shall not preclude pursuit of any other rights or remedies provided in this Lease or at law or in equity, nor shall Landlord’s pursuit of any right or remedy constitute a forfeiture or waiver of any Rent due to Landlord or of any damages accruing to Landlord by reason of the violation of any of the terms of this Lease.</w:t>
      </w:r>
    </w:p>
    <w:p>
      <w:pPr>
        <w:sectPr>
          <w:pgSz w:w="11900" w:h="16838" w:orient="portrait"/>
          <w:cols w:equalWidth="0" w:num="1">
            <w:col w:w="11400"/>
          </w:cols>
          <w:pgMar w:left="240" w:top="337" w:right="259" w:bottom="0" w:gutter="0" w:footer="0" w:header="0"/>
        </w:sectPr>
      </w:pPr>
    </w:p>
    <w:bookmarkStart w:id="68" w:name="page69"/>
    <w:bookmarkEnd w:id="68"/>
    <w:p>
      <w:pPr>
        <w:spacing w:after="0" w:line="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PARAGRAPH 27: LANDLORD’S DEFAULT</w:t>
      </w:r>
      <w:r>
        <w:rPr>
          <w:rFonts w:ascii="Arial" w:cs="Arial" w:eastAsia="Arial" w:hAnsi="Arial"/>
          <w:sz w:val="17"/>
          <w:szCs w:val="17"/>
          <w:color w:val="auto"/>
        </w:rPr>
        <w:t>: It shall be a “Landlord’s Default” if Landlord violates or fails to perform any of the covenants,</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or agreements herein made by Landlord, and such violation or failure shall continue for thirty (30) days after written notice thereof to Landlord by Tenant (or three (3) business days in case of an emergency where death, bodily injury or property damage is imminent and Landlord fails to commence such emergency cure within such period of time and to thereafter diligently prosecute such emergency cure to completion), except that if such non-emergency default cannot be cured within such thirty (30) day period despite Landlord’s diligent efforts and within such thirty (30) day period Landlord commences and thereafter proceeds diligently to remedy the violation or failure within a reasonable period, then such event shall not be a Landlord’s Default hereunder. In no event shall Landlord be liable to Tenant for any consequential, incidental or special damages. Tenant hereby waives any and releases its right to make any repairs at the Landlord’s expense under California Civil Code Section 1941-1942.</w:t>
      </w:r>
    </w:p>
    <w:p>
      <w:pPr>
        <w:spacing w:after="0" w:line="17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PARAGRAPH 28: SURRENDER OF PREMISES</w:t>
      </w:r>
      <w:r>
        <w:rPr>
          <w:rFonts w:ascii="Arial" w:cs="Arial" w:eastAsia="Arial" w:hAnsi="Arial"/>
          <w:sz w:val="16"/>
          <w:szCs w:val="16"/>
          <w:color w:val="auto"/>
        </w:rPr>
        <w:t>: Upon the expiration or sooner termination of this Lease, Tenant shall surrender the Premises to</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in as good condition, normal wear and tear, damage by fire or other casualty, damage by condemnation, and damage resulting from Landlord’s failure to perform its obligations under this Lease excepted. Tenant shall arrange to meet Landlord for two (2) joint inspections of the Premises, the first to occur at least thirty (30) days (but no more than sixty (60) days) before the last day of the Term, and the second to occur not later than forty-eight (48) hours after Tenant has vacated the Premises. After such inspections, Landlord shall provide Tenant with an inspection report (the “Inspection Report”) which shall describe in reasonable detail, any failure(s) (if any), in Landlord’s opinion of Tenant to surrender the Premises in the condition required by this Paragraph 28 (“Surrender Defaults”), which Inspection Report shall not limit Tenant’s obligations to perform Corrective Action under this Lease nor constitute a waiver of Landlord’s right to require the repair of items unknown to Landlord at the time of such inspection(s) if such items could not have reasonably been discovered pursuant to a visual inspection of the premises (“Latent Repair Items”). In the event Tenant does not attempt to arrange such joint inspections and/or attempt to participate in either such inspection, provided Landlord has given Tenant not less than two (2) business days prior written notice of Landlord’s inspection, Landlord’s inspection at or after Tenant’s vacating the Premises shall be conclusively deemed correct for purposes of determining Tenant’s responsibility for repairs and restoration necessitated by Tenant’s failure to surrender the Premises in the condition required by this Paragraph 28. If the Inspection Report does not indicate any Surrender Defaults or Tenant cures any Surrender Defaults indicated in the Inspection Report, except as to any Corrective Action that Tenant may be required to perform under this Lease and excluding the repair of Latent Repair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Items discovered with in twelve (12) months after the expiration or sooner termination of this Lease, Tenant shall be deemed to have surrendered the Premises in the condition specified in this Paragraph 28. Tenant shall have no obligation to remove any Tenant Alterations or personal property or fixtures of Tenant except as expressly set forth in Paragraph 9 above. If upon the expiration or sooner termination of this Lease Paragraph 9 above requires Tenant to remove any Tenant Alterations or its personal property or fixtures, Tenant shall remove the same and repair all damage to the Premises or Building caused by such removal. The provisions of this Paragraph shall survive the expiration or sooner termination of this Lease. Subject to the limitations in California Civil Code Section 1980-1991 and California Code of Civil Procedure Section 1174, title to any Tenant property remaining on the Premises following the vacating thereof upon the expiration or sooner termination of this Lease shall, at Landlord’s option, exercisable upon written notice at any time thereafter to Tenant, transfer to and vest title thereto in Landlord or its designee.</w:t>
      </w:r>
    </w:p>
    <w:p>
      <w:pPr>
        <w:spacing w:after="0" w:line="17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PARAGRAPH 29: SEVERABILITY</w:t>
      </w:r>
      <w:r>
        <w:rPr>
          <w:rFonts w:ascii="Arial" w:cs="Arial" w:eastAsia="Arial" w:hAnsi="Arial"/>
          <w:sz w:val="18"/>
          <w:szCs w:val="18"/>
          <w:color w:val="auto"/>
        </w:rPr>
        <w:t>: The parties intend this Lease to be legally valid and enforceable in accordance with all of its terms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fullest extent permitted by law. If any term hereof shall be invalid or unenforceable, the parties agree that such term shall be stricken from this Lease to the extent unenforceable, the same as if it never had been contained herein. Such invalidity or unenforceability shall not extend to any other term of this Lease, and the remaining terms hereof shall continue in effect to the fullest extent permitted by law.</w:t>
      </w:r>
    </w:p>
    <w:p>
      <w:pPr>
        <w:spacing w:after="0" w:line="180"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b w:val="1"/>
          <w:bCs w:val="1"/>
          <w:color w:val="auto"/>
        </w:rPr>
        <w:t>PARAGRAPH 30: WAIVER</w:t>
      </w:r>
      <w:r>
        <w:rPr>
          <w:rFonts w:ascii="Arial" w:cs="Arial" w:eastAsia="Arial" w:hAnsi="Arial"/>
          <w:sz w:val="16"/>
          <w:szCs w:val="16"/>
          <w:color w:val="auto"/>
        </w:rPr>
        <w:t>: The waiver of either party hereto of any breach of any term, covenant or condition herein contained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be a waiver of any subsequent breach of the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rental so accepted, regardless of Landlord’s knowledge of such preceding breach at the time of acceptance of such rent. The subsequent payment of Rent hereunder by Tenant shall not be deemed to be a waiver of any preceding breach by Landlord of any term, covenant or condition of this Lease, regardless of Tenant’s knowledge of such preceding breach at the time of payment of such Rent. No covenant, term or condition of this Lease shall be deemed to have been waived by either party, unless such waiver is acknowledged in writing by such party.</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PARAGRAPH 31: ESTOPPEL CERTIFICATE: </w:t>
      </w:r>
      <w:r>
        <w:rPr>
          <w:rFonts w:ascii="Arial" w:cs="Arial" w:eastAsia="Arial" w:hAnsi="Arial"/>
          <w:sz w:val="18"/>
          <w:szCs w:val="18"/>
          <w:color w:val="auto"/>
        </w:rPr>
        <w:t>Tenant shall deliver within, fifteen (15) days after Landlord’s written request therefor, an estoppel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certificate to an existing or prospective mortgagee or purchaser of the Property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or such other commercially reasonable form as may be requested by Landlord or its mortgagee and that is reasonably acceptable to Tenant, certifying that this Lease is unmodified and in full force and effect (or stating any modifications then in effect), that there are no defenses or offsets thereto actually known to Tenant (or stating those claimed by Tenant), the dates to which Base Rent and Additional Rent have been paid, to Tenant’s actual knowledge, whether or not Landlord is in default hereunder and, if so, specifying the nature of the default, and such other factual matters concerning this Lease as may be requested reasonably requested by Landlord.</w:t>
      </w:r>
    </w:p>
    <w:p>
      <w:pPr>
        <w:spacing w:after="0" w:line="189"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PARAGRAPH 32: SUBORDINATION AND ATTORNMENT</w:t>
      </w:r>
      <w:r>
        <w:rPr>
          <w:rFonts w:ascii="Arial" w:cs="Arial" w:eastAsia="Arial" w:hAnsi="Arial"/>
          <w:sz w:val="18"/>
          <w:szCs w:val="18"/>
          <w:color w:val="auto"/>
        </w:rPr>
        <w:t>: Subject to the next sentence, this Lease is subject and subordinate to all ground or</w:t>
      </w:r>
      <w:r>
        <w:rPr>
          <w:rFonts w:ascii="Arial" w:cs="Arial" w:eastAsia="Arial" w:hAnsi="Arial"/>
          <w:sz w:val="18"/>
          <w:szCs w:val="18"/>
          <w:b w:val="1"/>
          <w:bCs w:val="1"/>
          <w:color w:val="auto"/>
        </w:rPr>
        <w:t xml:space="preserve"> </w:t>
      </w:r>
      <w:r>
        <w:rPr>
          <w:rFonts w:ascii="Arial" w:cs="Arial" w:eastAsia="Arial" w:hAnsi="Arial"/>
          <w:sz w:val="18"/>
          <w:szCs w:val="18"/>
          <w:color w:val="auto"/>
        </w:rPr>
        <w:t>underlying leases, any mortgage, deed of trust or deed to secure debt (each, a “Mortgage”); and to any renewals, modifications, extensions, replacements, and substitutions of any of the foregoing, now or hereafter affecting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Premises, Building and/or the Property; provided, however, as to any future Mortgage, Tenant’s subordination is conditioned upon receipt from Landlord and the holder of the Mortgage (“Mortgagee”) of a commercially reasonable subordination, non-disturbance and attornment agreement. Landlord represents and warrants to Tenant that there is no Mortgage encumbering the Premises, Building and/or Property as of the date of this Lease. Furthermore, Landlord may assign the rents and its interest in this Lease to the holder of any Mortgage. In such event, provided Landlord has given Tenant written notice of such holder’s name and street address, Tenant shall give such holder a copy of any default notice delivered to Landlord, and, if Landlord fails to cure such default, Tenant shall give such holder a reasonable period to cure such default, commencing on the last day on which Landlord could cure such default.</w:t>
      </w:r>
    </w:p>
    <w:p>
      <w:pPr>
        <w:spacing w:after="0" w:line="16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PARAGRAPH 33: QUIET ENJOYMENT</w:t>
      </w:r>
      <w:r>
        <w:rPr>
          <w:rFonts w:ascii="Arial" w:cs="Arial" w:eastAsia="Arial" w:hAnsi="Arial"/>
          <w:sz w:val="18"/>
          <w:szCs w:val="18"/>
          <w:color w:val="auto"/>
        </w:rPr>
        <w:t>: Landlord covenants and agrees that, while no Tenant’s Default exists hereunder, Tenant shall peaceably</w:t>
      </w:r>
      <w:r>
        <w:rPr>
          <w:rFonts w:ascii="Arial" w:cs="Arial" w:eastAsia="Arial" w:hAnsi="Arial"/>
          <w:sz w:val="18"/>
          <w:szCs w:val="18"/>
          <w:b w:val="1"/>
          <w:bCs w:val="1"/>
          <w:color w:val="auto"/>
        </w:rPr>
        <w:t xml:space="preserve"> </w:t>
      </w:r>
      <w:r>
        <w:rPr>
          <w:rFonts w:ascii="Arial" w:cs="Arial" w:eastAsia="Arial" w:hAnsi="Arial"/>
          <w:sz w:val="18"/>
          <w:szCs w:val="18"/>
          <w:color w:val="auto"/>
        </w:rPr>
        <w:t>and quietly have, hold and enjoy the Premises without hindrance or interference from Landlord or anyone claiming by, through or under Landlord, subject and subordinate to the terms, covenants and conditions of this Lease and all matters of record.</w:t>
      </w:r>
    </w:p>
    <w:p>
      <w:pPr>
        <w:sectPr>
          <w:pgSz w:w="11900" w:h="16919" w:orient="portrait"/>
          <w:cols w:equalWidth="0" w:num="1">
            <w:col w:w="11400"/>
          </w:cols>
          <w:pgMar w:left="240" w:top="121" w:right="259" w:bottom="0" w:gutter="0" w:footer="0" w:header="0"/>
        </w:sectPr>
      </w:pPr>
    </w:p>
    <w:bookmarkStart w:id="69" w:name="page70"/>
    <w:bookmarkEnd w:id="69"/>
    <w:p>
      <w:pPr>
        <w:spacing w:after="0" w:line="10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PARAGRAPH 34: ATTORNEYS’ FEES / VENUE</w:t>
      </w:r>
      <w:r>
        <w:rPr>
          <w:rFonts w:ascii="Arial" w:cs="Arial" w:eastAsia="Arial" w:hAnsi="Arial"/>
          <w:sz w:val="18"/>
          <w:szCs w:val="18"/>
          <w:color w:val="auto"/>
        </w:rPr>
        <w:t>: In the event a court action relating to this Lease is brought by either party against the other, the</w:t>
      </w:r>
      <w:r>
        <w:rPr>
          <w:rFonts w:ascii="Arial" w:cs="Arial" w:eastAsia="Arial" w:hAnsi="Arial"/>
          <w:sz w:val="18"/>
          <w:szCs w:val="18"/>
          <w:b w:val="1"/>
          <w:bCs w:val="1"/>
          <w:color w:val="auto"/>
        </w:rPr>
        <w:t xml:space="preserve"> </w:t>
      </w:r>
      <w:r>
        <w:rPr>
          <w:rFonts w:ascii="Arial" w:cs="Arial" w:eastAsia="Arial" w:hAnsi="Arial"/>
          <w:sz w:val="18"/>
          <w:szCs w:val="18"/>
          <w:color w:val="auto"/>
        </w:rPr>
        <w:t>prevailing party shall be entitled to recover from the non-prevailing party reasonable attorneys’ fees and costs incurred in such action, the amount thereof to be fixed by the court.</w:t>
      </w:r>
    </w:p>
    <w:p>
      <w:pPr>
        <w:spacing w:after="0" w:line="17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PARAGRAPH 35: FORCE MAJEURE</w:t>
      </w:r>
      <w:r>
        <w:rPr>
          <w:rFonts w:ascii="Arial" w:cs="Arial" w:eastAsia="Arial" w:hAnsi="Arial"/>
          <w:sz w:val="16"/>
          <w:szCs w:val="16"/>
          <w:color w:val="auto"/>
        </w:rPr>
        <w:t>: Any obligation of Landlord or Tenant (other than the payment of money) which is delayed or not</w:t>
      </w:r>
      <w:r>
        <w:rPr>
          <w:rFonts w:ascii="Arial" w:cs="Arial" w:eastAsia="Arial" w:hAnsi="Arial"/>
          <w:sz w:val="16"/>
          <w:szCs w:val="16"/>
          <w:b w:val="1"/>
          <w:bCs w:val="1"/>
          <w:color w:val="auto"/>
        </w:rPr>
        <w:t xml:space="preserve"> </w:t>
      </w:r>
      <w:r>
        <w:rPr>
          <w:rFonts w:ascii="Arial" w:cs="Arial" w:eastAsia="Arial" w:hAnsi="Arial"/>
          <w:sz w:val="16"/>
          <w:szCs w:val="16"/>
          <w:color w:val="auto"/>
        </w:rPr>
        <w:t>performed due to acts of God, strike, riot, shortages of labor or materials, war, acts of terrorism, governmental laws or action, or lack thereof, adverse weather beyond climatic norms for the region, inaction by any governmental authority with respect to the issuance of any licenses or permits necessary to perform an act of Landlord or Tenant (as applicable) hereunder or any other causes of any kind whatsoever which are beyond Landlord’s or Tenant’s reasonable control, shall not constitute a default hereunder and shall be performed within a reasonable time after the end of such cause for delay or nonperformance.</w:t>
      </w:r>
    </w:p>
    <w:p>
      <w:pPr>
        <w:spacing w:after="0" w:line="154"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36:</w:t>
      </w:r>
      <w:r>
        <w:rPr>
          <w:sz w:val="20"/>
          <w:szCs w:val="20"/>
          <w:color w:val="auto"/>
        </w:rPr>
        <w:tab/>
      </w:r>
      <w:r>
        <w:rPr>
          <w:rFonts w:ascii="Arial" w:cs="Arial" w:eastAsia="Arial" w:hAnsi="Arial"/>
          <w:sz w:val="16"/>
          <w:szCs w:val="16"/>
          <w:b w:val="1"/>
          <w:bCs w:val="1"/>
          <w:color w:val="auto"/>
        </w:rPr>
        <w:t>APPLICABLE LAW</w:t>
      </w:r>
      <w:r>
        <w:rPr>
          <w:rFonts w:ascii="Arial" w:cs="Arial" w:eastAsia="Arial" w:hAnsi="Arial"/>
          <w:sz w:val="16"/>
          <w:szCs w:val="16"/>
          <w:color w:val="auto"/>
        </w:rPr>
        <w:t>: This Lease shall be construed according to the laws of the State of California.</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PARAGRAPH 37: BINDING EFFECT; GENDER</w:t>
      </w:r>
      <w:r>
        <w:rPr>
          <w:rFonts w:ascii="Arial" w:cs="Arial" w:eastAsia="Arial" w:hAnsi="Arial"/>
          <w:sz w:val="18"/>
          <w:szCs w:val="18"/>
          <w:color w:val="auto"/>
        </w:rPr>
        <w:t>: This Lease shall be binding upon and inure to the benefit of the parties and their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It is understood and agreed that the terms “Landlord” and “Tenant” and verbs and pronouns in the singular number are uniformly used throughout this Lease regardless of gender, number or fact of incorporation of the parties hereto.</w:t>
      </w:r>
    </w:p>
    <w:p>
      <w:pPr>
        <w:spacing w:after="0" w:line="176"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38:</w:t>
      </w:r>
      <w:r>
        <w:rPr>
          <w:sz w:val="20"/>
          <w:szCs w:val="20"/>
          <w:color w:val="auto"/>
        </w:rPr>
        <w:tab/>
      </w:r>
      <w:r>
        <w:rPr>
          <w:rFonts w:ascii="Arial" w:cs="Arial" w:eastAsia="Arial" w:hAnsi="Arial"/>
          <w:sz w:val="16"/>
          <w:szCs w:val="16"/>
          <w:b w:val="1"/>
          <w:bCs w:val="1"/>
          <w:color w:val="auto"/>
        </w:rPr>
        <w:t>TIME</w:t>
      </w:r>
      <w:r>
        <w:rPr>
          <w:rFonts w:ascii="Arial" w:cs="Arial" w:eastAsia="Arial" w:hAnsi="Arial"/>
          <w:sz w:val="16"/>
          <w:szCs w:val="16"/>
          <w:color w:val="auto"/>
        </w:rPr>
        <w:t>: Time is of the essence of this Lease.</w:t>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PARAGRAPH 39: WAIVER OF JURY TRIAL</w:t>
      </w:r>
      <w:r>
        <w:rPr>
          <w:rFonts w:ascii="Arial" w:cs="Arial" w:eastAsia="Arial" w:hAnsi="Arial"/>
          <w:sz w:val="18"/>
          <w:szCs w:val="18"/>
          <w:color w:val="auto"/>
        </w:rPr>
        <w:t>: LANDLORD AND TENANT HEREBY WAIVE TRIAL BY JURY IN ANY ACTION,</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OR COUNTERCLAIM BROUGHT BY EITHER OF THE PARTIES HERETO AGAINST THE OTHER OR THEIR SUCCESSORS IN RESPECT OF ANY MATTER ARISING IN CONNECTION WITH THIS LEASE, THE RELATIONSHIP OF LANDLORD AND TENANT, TENANT’S USE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OCCUPANCY OF THE PREMISES, AND/OR ANY CLAIM FOR INJURY OR DAMAGE, OR ANY EMERGENCY OR STATUTORY REMEDY. IF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167"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PARAGRAPH 40: HEADINGS; INTERPRETATION</w:t>
      </w:r>
      <w:r>
        <w:rPr>
          <w:rFonts w:ascii="Arial" w:cs="Arial" w:eastAsia="Arial" w:hAnsi="Arial"/>
          <w:sz w:val="18"/>
          <w:szCs w:val="18"/>
          <w:color w:val="auto"/>
        </w:rPr>
        <w:t>: The headings in this Lease are included for convenience only and shall not be taken into</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in any construction or interpretation of this Lease or any of its provisions. Whenever the phrase “at all times during the Term” or words of similar import are used in this Lease, it/they shall mean at all times during the Term, 24/7.</w:t>
      </w:r>
    </w:p>
    <w:p>
      <w:pPr>
        <w:spacing w:after="0" w:line="176"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b w:val="1"/>
          <w:bCs w:val="1"/>
          <w:color w:val="auto"/>
        </w:rPr>
        <w:t>PARAGRAPH 41: BROKER</w:t>
      </w:r>
      <w:r>
        <w:rPr>
          <w:rFonts w:ascii="Arial" w:cs="Arial" w:eastAsia="Arial" w:hAnsi="Arial"/>
          <w:sz w:val="16"/>
          <w:szCs w:val="16"/>
          <w:color w:val="auto"/>
        </w:rPr>
        <w:t>: Landlord and Tenant each represent to the other that each has not had any dealing with any broker, agent or finder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this Lease other than Broker. The compensation for Broker shall be paid by Landlord pursuant to a separate agreement between Landlord and Broker, and Landlord agrees to hold Tenant harmless from and indemnify Tenant against any cost, expense, or liability for any compensation, commission, fee charge or damages, including reasonable attorneys’ fees, as a result of any claim of Broker. Landlord and Tenant each agrees to hold the other harmless from and indemnify the other against any cost, expense, or liability for any compensation, commission, fee charge or damages, including reasonable attorneys’ fees, as a result of any claim of any other broker, agent or finder claiming under or through the indemnifying party with respect to this Lease or the negotiation of this Lease. The provisions of this Paragraph shall survive the Expiration Date or sooner termination of this Lease.</w:t>
      </w:r>
    </w:p>
    <w:p>
      <w:pPr>
        <w:spacing w:after="0" w:line="1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PARAGRAPH 42: ENTIRE AGREEMENT</w:t>
      </w:r>
      <w:r>
        <w:rPr>
          <w:rFonts w:ascii="Arial" w:cs="Arial" w:eastAsia="Arial" w:hAnsi="Arial"/>
          <w:sz w:val="17"/>
          <w:szCs w:val="17"/>
          <w:color w:val="auto"/>
        </w:rPr>
        <w:t>: Each Party acknowledges that it has not relied on any representations or agreements except those</w:t>
      </w:r>
      <w:r>
        <w:rPr>
          <w:rFonts w:ascii="Arial" w:cs="Arial" w:eastAsia="Arial" w:hAnsi="Arial"/>
          <w:sz w:val="17"/>
          <w:szCs w:val="17"/>
          <w:b w:val="1"/>
          <w:bCs w:val="1"/>
          <w:color w:val="auto"/>
        </w:rPr>
        <w:t xml:space="preserve"> </w:t>
      </w:r>
      <w:r>
        <w:rPr>
          <w:rFonts w:ascii="Arial" w:cs="Arial" w:eastAsia="Arial" w:hAnsi="Arial"/>
          <w:sz w:val="17"/>
          <w:szCs w:val="17"/>
          <w:color w:val="auto"/>
        </w:rPr>
        <w:t>expressly set forth herein, and that this Lease contains the entire agreement of the parties concerning the subject matter hereof. This Lease and the exhibits and addenda attached set forth all the covenants, promises, agreements, representations, conditions, statements and understandings between Landlord and Tenant concerning the Premises and the Building and the Property. This Lease shall not be amended or modified except in writing signed by both parties. Failure by a party to exercise any right in one or more instances shall not be construed as a waiver of the right to strict performance or as an amendment to this Lease. Except as otherwise specifically provided herein, the terms, covenants and conditions contained in this Lease shall bind and inure to the benefit of the respective heirs, successors, executors, administrators and assigns of each of the parties hereto.</w:t>
      </w:r>
    </w:p>
    <w:p>
      <w:pPr>
        <w:spacing w:after="0" w:line="17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PARAGRAPH 43: NOTICES</w:t>
      </w:r>
      <w:r>
        <w:rPr>
          <w:rFonts w:ascii="Arial" w:cs="Arial" w:eastAsia="Arial" w:hAnsi="Arial"/>
          <w:sz w:val="18"/>
          <w:szCs w:val="18"/>
          <w:color w:val="auto"/>
        </w:rPr>
        <w:t>: Any notice or demand provided for or given pursuant to this Lease shall be in writing and served on the parties at</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Landlord’s Notice Address or Tenant’s Notice Address, as applicable. Any notice shall be either (a) personally delivered to the addressed set forth above, in which case it shall be deemed delivered on the date of actual delivery to the addressee (as evidenced by a receipt or other proof of delivery) or the date of the addressee’s refusal to accept delivery; or (b) sent by prepaid, registered or certified U.S. Mail, return receipt requested, in which case it shall be deemed delivered three (3) business days after deposited in the U.S. Mail; (c) sent by a nationally recognized overnight courier, in which case it shall be deemed delivered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one (1) business day after deposit with such courier; or (d) sent by telecommunication (“Facsimile”) in which case it shall be deemed one (1) business day after the day on which same is successfully transmitted by Facsimile to the addressee’s Facsimile number listed in Paragraph 1, provided an original is received by the addressee by a nationally recognized overnight courier within two (2) business days after the Facsimile. The addresses and Facsimile numbers listed in Paragraph 1 may be changed by written notice to the other parties, provided, however, that no notice of a change of address or Facsimile number shall be effective until date of delivery of such notice.</w:t>
      </w:r>
    </w:p>
    <w:p>
      <w:pPr>
        <w:spacing w:after="0" w:line="184"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44:</w:t>
      </w:r>
      <w:r>
        <w:rPr>
          <w:sz w:val="20"/>
          <w:szCs w:val="20"/>
          <w:color w:val="auto"/>
        </w:rPr>
        <w:tab/>
      </w:r>
      <w:r>
        <w:rPr>
          <w:rFonts w:ascii="Arial" w:cs="Arial" w:eastAsia="Arial" w:hAnsi="Arial"/>
          <w:sz w:val="16"/>
          <w:szCs w:val="16"/>
          <w:b w:val="1"/>
          <w:bCs w:val="1"/>
          <w:color w:val="auto"/>
        </w:rPr>
        <w:t>RECORDATION</w:t>
      </w:r>
      <w:r>
        <w:rPr>
          <w:rFonts w:ascii="Arial" w:cs="Arial" w:eastAsia="Arial" w:hAnsi="Arial"/>
          <w:sz w:val="16"/>
          <w:szCs w:val="16"/>
          <w:color w:val="auto"/>
        </w:rPr>
        <w:t>: Tenant shall not record this Lease or memorandum thereof without the written consent of Landlord.</w:t>
      </w:r>
    </w:p>
    <w:p>
      <w:pPr>
        <w:spacing w:after="0" w:line="225"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PARAGRAPH 45: LETTER OF CREDIT</w:t>
      </w:r>
      <w:r>
        <w:rPr>
          <w:rFonts w:ascii="Arial" w:cs="Arial" w:eastAsia="Arial" w:hAnsi="Arial"/>
          <w:sz w:val="16"/>
          <w:szCs w:val="16"/>
          <w:color w:val="auto"/>
        </w:rPr>
        <w:t>: Concurrently upon Tenant’s execution of this Lease, Tenant shall deliver to Landlord, as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protection for Landlord to assure the full and faithful performance by Tenant of all of its obligations under this Lease and for all losses and damages Landlord may suffer as a result of any default by Tenant under this Lease, an irrevocable and unconditional negotiable letter or letters of credit (collectively, the “Letter of Credit”), in the form attached hereto as Exhibit H and containing the terms required herein, running in favor of Landlord issued by Silicon Valley Bank</w:t>
      </w:r>
    </w:p>
    <w:p>
      <w:pPr>
        <w:sectPr>
          <w:pgSz w:w="11900" w:h="16944" w:orient="portrait"/>
          <w:cols w:equalWidth="0" w:num="1">
            <w:col w:w="11420"/>
          </w:cols>
          <w:pgMar w:left="240" w:top="337" w:right="239" w:bottom="0" w:gutter="0" w:footer="0" w:header="0"/>
        </w:sectPr>
      </w:pPr>
    </w:p>
    <w:bookmarkStart w:id="70" w:name="page71"/>
    <w:bookmarkEnd w:id="70"/>
    <w:p>
      <w:pPr>
        <w:spacing w:after="0" w:line="29"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color w:val="auto"/>
        </w:rPr>
        <w:t>(“Bank”) or such other bank reasonably approved by Landlord with a long term rating of BBB or higher (as rated by Moody’s Investors Service or Standard &amp; Poor’s), and under the supervision of the Superintendent of Banks of the State of California, in the initial amount, in the aggregate, of Six Hundred Three Thousand Two Hundred Fifty-One and 25/100 Dollars ($603,251.25) (“Stated Amount”); provided, however, that, except as hereinafter provided, upon the date specified below (“Adjustment Date”), the Stated Amount may be reduced to the following amount:</w:t>
      </w:r>
    </w:p>
    <w:p>
      <w:pPr>
        <w:spacing w:after="0" w:line="163" w:lineRule="exact"/>
        <w:rPr>
          <w:sz w:val="20"/>
          <w:szCs w:val="20"/>
          <w:color w:val="auto"/>
        </w:rPr>
      </w:pPr>
    </w:p>
    <w:tbl>
      <w:tblPr>
        <w:tblLayout w:type="fixed"/>
        <w:tblInd w:w="2280" w:type="dxa"/>
        <w:tblCellMar>
          <w:top w:w="0" w:type="dxa"/>
          <w:left w:w="0" w:type="dxa"/>
          <w:bottom w:w="0" w:type="dxa"/>
          <w:right w:w="0" w:type="dxa"/>
        </w:tblCellMar>
      </w:tblPr>
      <w:tr>
        <w:trPr>
          <w:trHeight w:val="171"/>
        </w:trPr>
        <w:tc>
          <w:tcPr>
            <w:tcW w:w="404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Stated Amount</w:t>
            </w:r>
          </w:p>
        </w:tc>
      </w:tr>
      <w:tr>
        <w:trPr>
          <w:trHeight w:val="210"/>
        </w:trPr>
        <w:tc>
          <w:tcPr>
            <w:tcW w:w="4040" w:type="dxa"/>
            <w:vAlign w:val="bottom"/>
            <w:tcBorders>
              <w:top w:val="single" w:sz="8" w:color="auto"/>
            </w:tcBorders>
            <w:shd w:val="clear" w:color="auto" w:fill="CCEEFF"/>
          </w:tcPr>
          <w:p>
            <w:pPr>
              <w:ind w:left="1560"/>
              <w:spacing w:after="0"/>
              <w:rPr>
                <w:sz w:val="20"/>
                <w:szCs w:val="20"/>
                <w:color w:val="auto"/>
              </w:rPr>
            </w:pPr>
            <w:r>
              <w:rPr>
                <w:rFonts w:ascii="Arial" w:cs="Arial" w:eastAsia="Arial" w:hAnsi="Arial"/>
                <w:sz w:val="18"/>
                <w:szCs w:val="18"/>
                <w:color w:val="auto"/>
              </w:rPr>
              <w:t>June 1, 2018</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301,625.62</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However, if (i) a default by Tenant occurs under this Lease, or (ii) circumstances exist that would, with notice or lapse of time, or both, constitute a default by Tenant, and Tenant has failed to cure such default within the time period permitted by Paragraph 25 or such lesser time as may remain before the Adjustment Date as provided above, the Stated Amount shall not thereafter be reduced unless and until such default shall have been fully cured pursuant to the terms of this Lease, at which time the Stated Amount may be reduced as hereinabove described. The Letter of Credit shall be (i) “callable” at sight, irrevocable and unconditional, (ii) subject to the terms of this Paragraph 45, maintained in effect, whether through renewal or extension, for the entire period from the date of execution of this Lease and continuing until the date (the “LC Expiration Date”) which is one hundred twenty (120) days after the expiration of the initial Lease Term, and Tenant shall deliver a new Letter of Credit or certificate of renewal or extension to Landlord at least thirty (30) days prior to the expiration of the Letter of Credit then held by Landlord, without any action whatsoever on the part of Landlord, (iii) subject to the International Standby Practices 1998, International Chamber of Commerce Publication No. 590, (iv) fully assignable by Landlord, and (v) permit partial draws. In addition to the foregoing, the form and terms of the Letter of Credit shall be acceptable to Landlord, in Landlord’s sole discretion, and shall provide, among other things, in effect that: (A) Landlord, or its then managing agent, shall have the right to draw down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an amount up to the face amount of the Letter of Credit upon the presentation to the Bank of Landlord’s (or Landlord’s then managing agent’s) written statements that (1) such amount is due to Landlord under the terms and conditions of this Lease, (2) Tenant has filed a voluntary petition under the Federal Bankruptcy Code or (3) an involuntary petition has been filed against Tenant under the Federal Bankruptcy Code, it being understood that if Landlord or its managing agent is a limited liability company, corporation, partnership or other entity, then such statement shall be signed by an officer (if a corporation), a general partner (if a partnership), or any authorized party (if another entity); and (B) the Letter of Credit will be honored by the Bank without inquiry as to the accuracy thereof and regardless of whether the Tenant disputes the content of such statement.</w:t>
      </w:r>
    </w:p>
    <w:p>
      <w:pPr>
        <w:spacing w:after="0" w:line="178" w:lineRule="exact"/>
        <w:rPr>
          <w:sz w:val="20"/>
          <w:szCs w:val="20"/>
          <w:color w:val="auto"/>
        </w:rPr>
      </w:pPr>
    </w:p>
    <w:p>
      <w:pPr>
        <w:ind w:firstLine="656"/>
        <w:spacing w:after="0" w:line="290" w:lineRule="auto"/>
        <w:tabs>
          <w:tab w:leader="none" w:pos="1294"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Transfer of Letter of Credit</w:t>
      </w:r>
      <w:r>
        <w:rPr>
          <w:rFonts w:ascii="Arial" w:cs="Arial" w:eastAsia="Arial" w:hAnsi="Arial"/>
          <w:sz w:val="16"/>
          <w:szCs w:val="16"/>
          <w:color w:val="auto"/>
        </w:rPr>
        <w:t>. The Letter of Credit shall also provide that Landlord may, at any time and without notice to Tenant and without first obtaining Tenant’s consent thereto, transfer all or any portion of its interest in and to the Letter of Credit to another party, person or entity, regardless of whether or not such transfer is separate from or as a part of the assignment by Landlord of its rights and interests in and to this Lease. In the event of a transfer of Landlord’s interest in the Building, Landlord shall transfer the Letter of Credit, in whole or in part to the transferee and thereupon Landlord shall, without any further agreement between the parties, be released by Tenant from all liability therefor, and it is agreed that the provisions hereof shall apply to every transfer or assignment of the whole or any portion of said Letter of Credit to a new landlord. In connection with any such transfer of the Letter of Credit by Landlord, Tenant shall, at Tenant’s sole cost and expense, execute and submit to the Bank such applications, documents and instruments as may be necessary to effectuate such transfer and Tenant shall be responsible for paying the Bank’s transfer and processing fees in connection therewith.</w:t>
      </w:r>
    </w:p>
    <w:p>
      <w:pPr>
        <w:spacing w:after="0" w:line="166" w:lineRule="exact"/>
        <w:rPr>
          <w:rFonts w:ascii="Arial" w:cs="Arial" w:eastAsia="Arial" w:hAnsi="Arial"/>
          <w:sz w:val="16"/>
          <w:szCs w:val="16"/>
          <w:color w:val="auto"/>
        </w:rPr>
      </w:pPr>
    </w:p>
    <w:p>
      <w:pPr>
        <w:ind w:right="20" w:firstLine="656"/>
        <w:spacing w:after="0" w:line="268" w:lineRule="auto"/>
        <w:tabs>
          <w:tab w:leader="none" w:pos="1304"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Application of Letter of Credit</w:t>
      </w:r>
      <w:r>
        <w:rPr>
          <w:rFonts w:ascii="Arial" w:cs="Arial" w:eastAsia="Arial" w:hAnsi="Arial"/>
          <w:sz w:val="17"/>
          <w:szCs w:val="17"/>
          <w:color w:val="auto"/>
        </w:rPr>
        <w:t>. If, as result of any application or use by Landlord of all or any part of the Letter of Credit, the amount of the Letter of Credit shall be less than the Stated Amount, Tenant shall, within five (5) days thereafter, provide Landlord with additional letter(s) of credit in an amount equal to the deficiency and any such additional letter of credit shall comply with all of the provisions of this Paragraph 45, and if Tenant fails to comply with the foregoing, the same shall constitute an uncurable default by Tenant. Tenant further covenants and warrants that it will neither assign nor encumber the Letter of Credit or any part thereof, and that neither Landlord nor its successors or assigns will be bound by any such assignment, encumbrance, attempted assignment or attempted encumbrance. Without limiting the generality of the foregoing, if any such Letter of Credit expires earlier than the LC Expiration Date, Landlord will accept a renewal thereof (such renewal letter of credit to be in effect and delivered to Landlord, as applicable, not later than thirty (30) days prior to the expiration of the Letter of Credit), which shall be irrevocable and automatically renewable as above provided through the LC Expiration Date upon the same terms as the expiring Letter of Credit or such other terms as may be acceptable to Landlord in its sole discretion. However, if any such Letter of Credit is not timely renewed, or if Tenant fails to maintain any such Letter of Credit in the amount and in accordance with the terms set forth in this Paragraph 45, Landlord shall have the right to present the Letter of Credit to the Bank in accordance with the terms of this Paragraph 45 and the proceeds of the Letter of Credit may be applied by Landlord against any Rent payable by Tenant under this Lease that is not paid when due and/or to pay for all losses and damages that Landlord has suffered or that Landlord reasonably estimates that it will suffer as a result of any default by Tenant under this Lease. Any unused proceeds shall constitute the property of Landlord and need not be segregated from Landlord’s other assets. Landlord agrees to pay to Tenant within thirty (30) days after the LC</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Expiration Date the amount of any proceeds of the Letter of Credit received by Landlord and not applied against any Rent payable by Tenant under this Lease that was not paid when due or used to pay for any losses and/or damages suffered by Landlord (or reasonably estimated by Landlord that it will suffer) as a result of any default by Tenant under this Lease; provided, however, that if prior to the LC Expiration Date a voluntary petition is filed by Tenant, or an involuntary petition is filed against Tenant by any of Tenant’s creditors, under the Federal Bankruptcy Code, then Landlord shall not be obligated to make such payment in the amount of the unused Letter of Credit proceeds until either all preference issues relating to payments under this Lease have been resolved in such bankruptcy or reorganization case or such bankruptcy or reorganization case has been dismissed. Tenant hereby acknowledges and agrees that Landlord is entering into this Lease in material reliance upon the ability of Landlord to draw upon the Letter of Credit upon the occurrence of any default on the part of Tenant under this Lease. If there shall occur a default under this Lease as set forth in Paragraph 25 of this Lease, Landlord may, but without obligation to do so, draw upon the Letter of Credit in part or in whole, to cure any default of Tenant and/or to compensate Landlord for any and all damages of any kind or nature sustained or which Landlord reasonably estimates that it will sustain resulting from Tenant’s default. Tenant agrees not to interfere in any way with payment to Landlord of the proceeds of the Letter of Credit, either prior to or following a “draw” by Landlord of any portion of the Letter of Credit, regardless of whether any dispute exists between Tenant and Landlord as to Landlord’s right to draw from the Letter of Credit. No condition or term of this Lease shall be deemed to render the Letter of Credit conditional to justify the issuer of the Letter of Credit in failing to honor a drawing upon such Letter of Credit in a timely manner. Tenant agrees and acknowledges that Tenant has no property interest whatsoever in the Letter of Credit or the proceeds thereof and that, in the event Tenant becomes a debtor under any chapter of the Federal Bankruptcy Code, neither Tenant, any trustee, nor Tenant’s bankruptcy estate shall have any right to restrict or limit Landlord’s claim and/or rights to the Letter of Credit and/or the proceeds thereof by application of</w:t>
      </w:r>
    </w:p>
    <w:p>
      <w:pPr>
        <w:sectPr>
          <w:pgSz w:w="11900" w:h="16867" w:orient="portrait"/>
          <w:cols w:equalWidth="0" w:num="1">
            <w:col w:w="11420"/>
          </w:cols>
          <w:pgMar w:left="240" w:top="125" w:right="239" w:bottom="0" w:gutter="0" w:footer="0" w:header="0"/>
        </w:sectPr>
      </w:pPr>
    </w:p>
    <w:bookmarkStart w:id="71" w:name="page72"/>
    <w:bookmarkEnd w:id="71"/>
    <w:p>
      <w:pPr>
        <w:spacing w:after="0" w:line="1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Section 502(b)(6) of the Federal Bankruptcy Code. Landlord and Tenant acknowledge and agree that in no event or circumstance shall the Letter of Credit or any renewal thereof or any proceeds thereof be (i) deemed to be or treated as a “security deposit” within the meaning of California Civil Code Section 1950.7,</w:t>
      </w:r>
    </w:p>
    <w:p>
      <w:pPr>
        <w:ind w:firstLine="8"/>
        <w:spacing w:after="0" w:line="273" w:lineRule="auto"/>
        <w:tabs>
          <w:tab w:leader="none" w:pos="265" w:val="left"/>
        </w:tabs>
        <w:numPr>
          <w:ilvl w:val="0"/>
          <w:numId w:val="99"/>
        </w:numPr>
        <w:rPr>
          <w:rFonts w:ascii="Arial" w:cs="Arial" w:eastAsia="Arial" w:hAnsi="Arial"/>
          <w:sz w:val="17"/>
          <w:szCs w:val="17"/>
          <w:color w:val="auto"/>
        </w:rPr>
      </w:pPr>
      <w:r>
        <w:rPr>
          <w:rFonts w:ascii="Arial" w:cs="Arial" w:eastAsia="Arial" w:hAnsi="Arial"/>
          <w:sz w:val="17"/>
          <w:szCs w:val="17"/>
          <w:color w:val="auto"/>
        </w:rPr>
        <w:t>subject to the terms of such Section 1950.7, or (iii) intended to serve as a “security deposit” within the meaning of such Section 1950.7. The parties hereto (A) recite that the Letter of Credit is not intended to serve as a security deposit and such Section 1950.7 and any and all other laws, rules and regulations applicable to security deposits in the commercial context (“Security Deposit Laws”) shall have no applicability or relevancy thereto and (B) waive any and all rights, duties and obligations either party may now or, in the future, will have relating to or arising from the Security Deposit Laws.</w:t>
      </w:r>
    </w:p>
    <w:p>
      <w:pPr>
        <w:spacing w:after="0" w:line="17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color w:val="auto"/>
        </w:rPr>
        <w:t>PARAGRAPH 46: FITNESS CENTER</w:t>
      </w:r>
      <w:r>
        <w:rPr>
          <w:rFonts w:ascii="Arial" w:cs="Arial" w:eastAsia="Arial" w:hAnsi="Arial"/>
          <w:sz w:val="18"/>
          <w:szCs w:val="18"/>
          <w:color w:val="auto"/>
        </w:rPr>
        <w:t>: Tenant acknowledges that, as of the date hereof, the Building contains a fitness center that,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Landlord’s rules and regulations, may be utilized only by Tenant’s employees and sublessees who have card-key access to the Premises (the “Fitness Center Users”), but not by any invitees, guests or family members of the Fitness Center Users. Landlord will activate access cards for the Fitness Center Users that will allow access to the fitness center only after each applicable Fitness Center User signs a waiver utilized by Landlord for all users of the Fitness Center from time to time. The fitness center shall be made available for use by Fitness Center Users 24/7. Additionally, Landlord shall be entitled to implement rules and regulations at the time, and from time to time, governing the use of the fitness center, and if any employee fails to abide by such rules and regulations, and if such failure continues after Landlord’s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first warning to such employee of such violation, then Landlord may terminate such Fitness Center User’s access to the fitness center. Subject to Paragraphs 16(g) and 21, Tenant shall indemnify, defend and hold Landlord harmless from and against any cost, loss, expense, claim or liability that is incurred by Landlord due to a Fitness Center User’s negligent actions or willful misconduct while using the Fitness Center. Prior to the completion of the Tenant Improvements, Landlord agrees to upgrade the finishes and equipment in the fitness center (with mutually acceptable upgrades), provided that Landlord and Tenant shall equally share the cost of such upgrades, provided, further, however, that Landlord’s share shall not exceed Forty Thousand Dollars ($40,000) and all costs in excess of such Forty Thousand Dollar ($40,000) cap shall be Tenant’s responsibility at Tenant’s sole cost and expense and payable by Tenant within thirty (30) days of Landlord’s written request.</w:t>
      </w:r>
    </w:p>
    <w:p>
      <w:pPr>
        <w:spacing w:after="0" w:line="185"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PARAGRAPH 47: TENANT’S EARLY TERMINATION RIGHT. </w:t>
      </w:r>
      <w:r>
        <w:rPr>
          <w:rFonts w:ascii="Arial" w:cs="Arial" w:eastAsia="Arial" w:hAnsi="Arial"/>
          <w:sz w:val="16"/>
          <w:szCs w:val="16"/>
          <w:color w:val="auto"/>
        </w:rPr>
        <w:t>Tenant shall have the one (1) time right to terminate and cancel this Lease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as of March 31, 2023, subject, however, to extension by one (1) day for each day of Landlord Delay (if any) which extended the Commencement Date (“Termination Date”), which right is contingent upon Tenant paying to Landlord the Termination Consideration (as defined below) in a timely manner in accordance with the following provisions of this Paragraph 47. To exercise such termination right, Tenant must deliver to Landlord, on or before August 31, 2022, written notice of Tenant’s exercise of such termination right (the “Termination Notice”), along with the Termination Consideration. As used herein, the “Termination Consideration” shall mean an amount equal to the sum of: (A) Nine Hundred Ninety-Five Thousand Eight Hundred Ninety-Eight and 14/100 Dollars ($995,898.14) plus (B) the unamortized portion of the brokerage commissions paid or incurred by Landlord in connection with any Expansion Space and First Offer Space leased to Tenant pursuant to Paragraphs 53 and 54 below; plus (C) the unamortized portion of the costs of the tenant improvements and tenant improvement allowance, if any, paid or provided by Landlord for any Expansion Space and First Offer Space leased by Tenant pursuant to Paragraphs 53 and 54 below and (D) the unamortized portion of any free rent provided by Landlord to Tenant in connection with any Expansion Space and First Offer Space leased by Tenant pursuant to Paragraphs 53 and 54 below. The unamortized portion of the costs of any brokerage commissions, free rent and tenant improvement costs/allowance, if any, paid for or provided by Landlord to Tenant for any Expansion Space and First Offer Space leased by Tenant pursuant to Paragraphs 53 and 54 shall be amortized on a straight-line basis over the scheduled initial term of the lease of the Expansion Space and First Offer Space, together with interest at the rate of eight percent (8%) per annum, and the unamortized portion thereof shall be determined based upon the unexpired portion of such initial lease term for such Expansion Space and First Offer Space as of the Termination Date. If Tenant properly and timely exercises its termination option in this Paragraph 47 in strict accordance with the terms hereof, the Lease shall expire at midnight on the Termination Date, and Tenant shall be required to surrender the Premises to Landlord on or prior to the Termination Date in accordance with Paragraph 28 above. The termination right set forth in this Paragraph 47 is personal to the Original Tenant and any Permitted Assignee and may only be executed by the Original Tenant and any Permitted Assignee (and not any other assignee, sublessee or other transferee of Original Tenant’s interest (or Permitted Assignee’s interest).</w:t>
      </w:r>
    </w:p>
    <w:p>
      <w:pPr>
        <w:spacing w:after="0" w:line="17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PARAGRAPH 48: NO SETOFF; CONSEQUENTIAL DAMAGES</w:t>
      </w:r>
      <w:r>
        <w:rPr>
          <w:rFonts w:ascii="Arial" w:cs="Arial" w:eastAsia="Arial" w:hAnsi="Arial"/>
          <w:sz w:val="18"/>
          <w:szCs w:val="18"/>
          <w:color w:val="auto"/>
        </w:rPr>
        <w:t>: Except as expressly set forth in this Lease, Tenant shall not be entitled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setoff, offset or abatement of any Rent due Landlord hereunder if Landlord fails to perform its obligations hereunder. In no event shall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Landlord or any holder of a Mortgage be responsible for any indirect, special, punitive or consequential damages incurred by Tenant resulting from a default by Landlord. Except as provided in Paragraph 8, in no event shall Tenant be responsible for any indirect, special, punitive or consequential damages incurred by Landlord resulting from a default by Tenant.</w:t>
      </w:r>
    </w:p>
    <w:p>
      <w:pPr>
        <w:spacing w:after="0" w:line="177"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49:</w:t>
      </w:r>
      <w:r>
        <w:rPr>
          <w:sz w:val="20"/>
          <w:szCs w:val="20"/>
          <w:color w:val="auto"/>
        </w:rPr>
        <w:tab/>
      </w:r>
      <w:r>
        <w:rPr>
          <w:rFonts w:ascii="Arial" w:cs="Arial" w:eastAsia="Arial" w:hAnsi="Arial"/>
          <w:sz w:val="18"/>
          <w:szCs w:val="18"/>
          <w:b w:val="1"/>
          <w:bCs w:val="1"/>
          <w:color w:val="auto"/>
        </w:rPr>
        <w:t>OPTIONS TO EXTEND</w:t>
      </w:r>
      <w:r>
        <w:rPr>
          <w:rFonts w:ascii="Arial" w:cs="Arial" w:eastAsia="Arial" w:hAnsi="Arial"/>
          <w:sz w:val="18"/>
          <w:szCs w:val="18"/>
          <w:color w:val="auto"/>
        </w:rPr>
        <w:t>:</w:t>
      </w:r>
    </w:p>
    <w:p>
      <w:pPr>
        <w:spacing w:after="0" w:line="229" w:lineRule="exact"/>
        <w:rPr>
          <w:sz w:val="20"/>
          <w:szCs w:val="20"/>
          <w:color w:val="auto"/>
        </w:rPr>
      </w:pPr>
    </w:p>
    <w:p>
      <w:pPr>
        <w:ind w:right="40" w:firstLine="656"/>
        <w:spacing w:after="0" w:line="287" w:lineRule="auto"/>
        <w:tabs>
          <w:tab w:leader="none" w:pos="129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Landlord hereby grants the Original Tenant and any Permitted Assignee two (2) options to extend the Term, for additional consecutive periods of three (3) years each (each, an “Option Term”), which would commence on the Expiration Date or expiration of the prior Option Term, if applicable. The Option Terms shall be upon the same terms and conditions as are provided in the Lease, except that the Base Rent during the applicable Option Term would be as specified below in Paragraph 49(c). The Option Term shall be exercised by Tenant giving notice to Landlord (“Extension Notice”), not earlier than twelve (12) months and not later than nine (9) months prior to the Expiration Date of the then current Term, as such may be extended as provided herein (the “Option Exercise Date”). If Tenant fails to provide such notice to Landlord on or before such date, Tenant’s rights under this Paragraph 49 shall be null and void (and such option and any succeeding option, shall be null and void). Additionally, Tenant’s rights to extend the Term for the Option Term shall be automatically null and void immediately if any of the following conditions occurs prior to the commencement of the applicable Option Term or the exercise by Tenant of the applicable Option Term: (a) there shall be a Tenant’s Default under this Lease, or the occurrence of any matter which with notice and the passage of time would become a Tenant’s Default, and such Tenant’s Default has not been cured within the cure period provided in this Lease or otherwise waived by Landlord, (b) Tenant shall have assigned the Lease or sublet all or any portion of the Premises to anyone other than a Permitted Transferee, or (c) Tenant shall be in occupancy of less than fifty percent (50%) of the Premises.</w:t>
      </w:r>
    </w:p>
    <w:p>
      <w:pPr>
        <w:spacing w:after="0" w:line="168" w:lineRule="exact"/>
        <w:rPr>
          <w:rFonts w:ascii="Arial" w:cs="Arial" w:eastAsia="Arial" w:hAnsi="Arial"/>
          <w:sz w:val="16"/>
          <w:szCs w:val="16"/>
          <w:color w:val="auto"/>
        </w:rPr>
      </w:pPr>
    </w:p>
    <w:p>
      <w:pPr>
        <w:jc w:val="both"/>
        <w:ind w:right="60" w:firstLine="656"/>
        <w:spacing w:after="0" w:line="312" w:lineRule="auto"/>
        <w:tabs>
          <w:tab w:leader="none" w:pos="130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leasing of the Premises by Landlord to Tenant for the applicable Option Term shall be upon and subject to all of the terms, provisions and conditions of the Lease, except that (i) once the applicable Option Term is exercised by Tenant, the renewal rights granted by this Paragraph 49 shall not be reapplied to such Option Term, so that in no event shall Tenant have the right to renew and extend this Lease beyond each applicable Option Term; (ii) the</w:t>
      </w:r>
    </w:p>
    <w:p>
      <w:pPr>
        <w:sectPr>
          <w:pgSz w:w="11900" w:h="16952" w:orient="portrait"/>
          <w:cols w:equalWidth="0" w:num="1">
            <w:col w:w="11400"/>
          </w:cols>
          <w:pgMar w:left="240" w:top="125" w:right="259" w:bottom="0" w:gutter="0" w:footer="0" w:header="0"/>
        </w:sectPr>
      </w:pPr>
    </w:p>
    <w:bookmarkStart w:id="72" w:name="page73"/>
    <w:bookmarkEnd w:id="72"/>
    <w:p>
      <w:pPr>
        <w:spacing w:after="0" w:line="13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Base Rent payable during the applicable Option Term shall be as determined in accordance with Paragraph 49(c) below; (iii) Tenant shall accept the Premises in their then “AS IS” condition, and Landlord shall not be required to perform any tenant finish or other work to the Premises or to provide Tenant any tenant finish allowance or other allowance or inducement with respect to the Premises, except as otherwise mutually agreed to in writing by the parties; and (iv) the defined term “Term” shall be deemed to include the applicable Option Term when and if it becomes effective. Once Tenant shall exercise the applicable Option Term in accordance with the terms and conditions of this Paragraph 49, provided that Landlord and Tenant mutually agree to the new Base Rent to be payable during the applicable Option Term as provided in Paragraph 49(c), then Landlord and Tenant shall promptly execute an amendment to this Lease in form and substance reasonably acceptable to both of them, reflecting the leasing of the Premises for the applicable Option Term (the “Lease Renewal Amendment”). There shall be no renewal rights except as set forth in this Paragraph 49.</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85" w:lineRule="auto"/>
        <w:tabs>
          <w:tab w:leader="none" w:pos="130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 Rent payable during the applicable Option Term shall be at ninety-five percent (95%) of the prevailing market rate for rent, inclusive of all concessions, for the leasing of comparable space in comparable office buildings of similar quality, age and condition in the Brisbane/South San Francisco, California market area for space comparable to the Premises or the expansion space, as applicable, taking into account factors offered by third party tenants for comparable space and comparable terms, including, without limitation, the size of the leased premises, the value of the tenant improvements paid for by Landlord already in place at the Premises at the commencement of the renewal or expansion period, as applicable, rent concessions, tenant improvement allowances, lease commissions saved or incurred, moving allowances, credit history and financial condition of the Tenant (collectively the “Prevailing Market Rate”). Within thirty (30) days following Tenant’s delivery of the notice exercising the applicable Option Term, Landlord shall advise Tenant of Landlord’s determination of the Prevailing Market Rate on a rentable square foot basis as of the beginning of the applicable Option Term and any escalations during the applicable Option Term. Within thirty (30) days of receipt of Landlord’s notice and determination, Tenant shall advise Landlord, in writing, whether or not Tenant accepts or rejects the Landlord’s determination of the Prevailing Market Rate and concessions proposed by Landlord. Tenant’s failure to accept or reject in writing Landlord’s determination of the Prevailing Market Rate and concessions proposed by Landlord within such thirty (30) day period shall be deemed rejection by Tenant, and the Prevailing Market Rate shall be determined in the manner provided below. If Tenant accepts such rate and concessions in writing, then the monthly Base Rent during the applicable Option Term shall be ninety-five percent (95%) of said Prevailing Market Rate as reflected in the Lease Renewal Amendment. If Tenant rejects the Landlord’s determination of the Prevailing Market Rate and concessions whether by giving Landlord notice or failing to give Landlord notice, then Landlord and Tenant shall negotiate in good faith for a period of thirty (30) days after the date of Tenant’s rejection notice to resolve the Prevailing Market Rate and concessions. If Landlord and Tenant have not agreed upon the Prevailing Market Rate and concessions on or before the expiration of such 30-day period, Tenant’s exercise of the applicable Option Term shall be null and void, unless Tenant, within ten (10) days after the expiration of such 30-day period, delivers written notice to Landlord electing to submit the determination of Prevailing Market Rate and concessions to arbitration (the “Arbitration Notice”) in which case the Prevailing Market Rate shall be determined as set forth in Paragraph 49(d).</w:t>
      </w:r>
    </w:p>
    <w:p>
      <w:pPr>
        <w:spacing w:after="0" w:line="170" w:lineRule="exact"/>
        <w:rPr>
          <w:rFonts w:ascii="Arial" w:cs="Arial" w:eastAsia="Arial" w:hAnsi="Arial"/>
          <w:sz w:val="16"/>
          <w:szCs w:val="16"/>
          <w:color w:val="auto"/>
        </w:rPr>
      </w:pPr>
    </w:p>
    <w:p>
      <w:pPr>
        <w:ind w:right="100" w:firstLine="656"/>
        <w:spacing w:after="0" w:line="264" w:lineRule="auto"/>
        <w:tabs>
          <w:tab w:leader="none" w:pos="130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Tenant delivers the Arbitration Notice on or before the period set forth above, such arbitration shall be conducted and determined in South San Francisco, California, in accordance with the then-prevailing rules of JAMS or its successor for arbitration of real estate valuation disputes, except that the procedures mandated by such rules shall be modified as follows:</w:t>
      </w:r>
    </w:p>
    <w:p>
      <w:pPr>
        <w:spacing w:after="0" w:line="181" w:lineRule="exact"/>
        <w:rPr>
          <w:rFonts w:ascii="Arial" w:cs="Arial" w:eastAsia="Arial" w:hAnsi="Arial"/>
          <w:sz w:val="18"/>
          <w:szCs w:val="18"/>
          <w:color w:val="auto"/>
        </w:rPr>
      </w:pPr>
    </w:p>
    <w:p>
      <w:pPr>
        <w:ind w:right="20" w:firstLine="1305"/>
        <w:spacing w:after="0" w:line="297" w:lineRule="auto"/>
        <w:tabs>
          <w:tab w:leader="none" w:pos="1966"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In the Arbitration Notice, Tenant shall provide the name and address of the person to act as the arbitrator on Tenant’s behalf. The arbitrator designated by Tenant in Tenant’s Arbitration Notice shall be a real estate appraiser with at least ten (10) years full-time commercial real estate experience who is familiar with rental rates for office space in South San Francisco, California. Within ten (10) business days after the service on Landlord of Tenant’s Arbitration Notice, Landlord shall give written notice to Tenant specifying the name and address of the person designated by Landlord to act as arbitrator on Landlord’s behalf, which arbitrator shall be subject to the same qualification requirements as apply to the arbitrator selected by Tenant.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80" w:hanging="675"/>
        <w:spacing w:after="0"/>
        <w:tabs>
          <w:tab w:leader="none" w:pos="1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two arbitrators are chosen pursuant to subparagraph (d)(i) above, the two arbitrators so chosen shall meet within ten</w:t>
      </w:r>
    </w:p>
    <w:p>
      <w:pPr>
        <w:spacing w:after="0" w:line="23" w:lineRule="exact"/>
        <w:rPr>
          <w:rFonts w:ascii="Arial" w:cs="Arial" w:eastAsia="Arial" w:hAnsi="Arial"/>
          <w:sz w:val="18"/>
          <w:szCs w:val="18"/>
          <w:color w:val="auto"/>
        </w:rPr>
      </w:pPr>
    </w:p>
    <w:p>
      <w:pPr>
        <w:ind w:firstLine="8"/>
        <w:spacing w:after="0" w:line="270" w:lineRule="auto"/>
        <w:tabs>
          <w:tab w:leader="none" w:pos="34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business days after the second arbitrator is appointed and together shall appoint a third arbitrator, who shall be a competent and impartial person who satisfies the same qualification requirements as apply to the arbitrators selected by Tenant and Landlord above. If the first two arbitrators are unable to agree upon such appointment of the third arbitrator within five (5) business days after the expiration of such ten (10) business day period, the third arbitrator shall be selected by the parties themselves and if the parties cannot so agree, then either party, on behalf of both, may request appointment of such a qualified person by the then president of the San Francisco Association of Realtors. The three arbitrators shall decide the dispute, if it has not been previously resolved, by following the procedures set forth in subparagraph (d)(iii) below.</w:t>
      </w:r>
    </w:p>
    <w:p>
      <w:pPr>
        <w:spacing w:after="0" w:line="178" w:lineRule="exact"/>
        <w:rPr>
          <w:rFonts w:ascii="Arial" w:cs="Arial" w:eastAsia="Arial" w:hAnsi="Arial"/>
          <w:sz w:val="17"/>
          <w:szCs w:val="17"/>
          <w:color w:val="auto"/>
        </w:rPr>
      </w:pPr>
    </w:p>
    <w:p>
      <w:pPr>
        <w:ind w:left="2000" w:hanging="695"/>
        <w:spacing w:after="0"/>
        <w:tabs>
          <w:tab w:leader="none" w:pos="200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The Prevailing Market Rate for the applicable period shall be fixed by the three arbitrators in accordance with the following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procedures:</w:t>
      </w:r>
    </w:p>
    <w:p>
      <w:pPr>
        <w:spacing w:after="0" w:line="210" w:lineRule="exact"/>
        <w:rPr>
          <w:rFonts w:ascii="Arial" w:cs="Arial" w:eastAsia="Arial" w:hAnsi="Arial"/>
          <w:sz w:val="17"/>
          <w:szCs w:val="17"/>
          <w:color w:val="auto"/>
        </w:rPr>
      </w:pPr>
    </w:p>
    <w:p>
      <w:pPr>
        <w:ind w:left="3900" w:hanging="651"/>
        <w:spacing w:after="0"/>
        <w:tabs>
          <w:tab w:leader="none" w:pos="3900" w:val="left"/>
        </w:tabs>
        <w:numPr>
          <w:ilvl w:val="2"/>
          <w:numId w:val="103"/>
        </w:numPr>
        <w:rPr>
          <w:rFonts w:ascii="Arial" w:cs="Arial" w:eastAsia="Arial" w:hAnsi="Arial"/>
          <w:sz w:val="16"/>
          <w:szCs w:val="16"/>
          <w:color w:val="auto"/>
        </w:rPr>
      </w:pPr>
      <w:r>
        <w:rPr>
          <w:rFonts w:ascii="Arial" w:cs="Arial" w:eastAsia="Arial" w:hAnsi="Arial"/>
          <w:sz w:val="16"/>
          <w:szCs w:val="16"/>
          <w:color w:val="auto"/>
        </w:rPr>
        <w:t>Each of the two arbitrators selected by the parties shall state, in writing, such arbitrator’s determination</w:t>
      </w:r>
    </w:p>
    <w:p>
      <w:pPr>
        <w:spacing w:after="0" w:line="46" w:lineRule="exact"/>
        <w:rPr>
          <w:rFonts w:ascii="Arial" w:cs="Arial" w:eastAsia="Arial" w:hAnsi="Arial"/>
          <w:sz w:val="16"/>
          <w:szCs w:val="16"/>
          <w:color w:val="auto"/>
        </w:rPr>
      </w:pPr>
    </w:p>
    <w:p>
      <w:pPr>
        <w:ind w:right="500"/>
        <w:spacing w:after="0" w:line="323" w:lineRule="auto"/>
        <w:rPr>
          <w:rFonts w:ascii="Arial" w:cs="Arial" w:eastAsia="Arial" w:hAnsi="Arial"/>
          <w:sz w:val="16"/>
          <w:szCs w:val="16"/>
          <w:color w:val="auto"/>
        </w:rPr>
      </w:pPr>
      <w:r>
        <w:rPr>
          <w:rFonts w:ascii="Arial" w:cs="Arial" w:eastAsia="Arial" w:hAnsi="Arial"/>
          <w:sz w:val="16"/>
          <w:szCs w:val="16"/>
          <w:color w:val="auto"/>
        </w:rPr>
        <w:t>of the Prevailing Market Rate for the applicable Option Term supported by the reasons therefor. The third arbitrator shall perform its own investigation without consulting the other two arbitrators and shall make its own determination of the Prevailing Market Rate for the applicable Option Term.</w:t>
      </w:r>
    </w:p>
    <w:p>
      <w:pPr>
        <w:spacing w:after="0" w:line="138" w:lineRule="exact"/>
        <w:rPr>
          <w:rFonts w:ascii="Arial" w:cs="Arial" w:eastAsia="Arial" w:hAnsi="Arial"/>
          <w:sz w:val="16"/>
          <w:szCs w:val="16"/>
          <w:color w:val="auto"/>
        </w:rPr>
      </w:pPr>
    </w:p>
    <w:p>
      <w:pPr>
        <w:ind w:firstLine="3249"/>
        <w:spacing w:after="0" w:line="291" w:lineRule="auto"/>
        <w:tabs>
          <w:tab w:leader="none" w:pos="3897" w:val="left"/>
        </w:tabs>
        <w:numPr>
          <w:ilvl w:val="2"/>
          <w:numId w:val="103"/>
        </w:numPr>
        <w:rPr>
          <w:rFonts w:ascii="Arial" w:cs="Arial" w:eastAsia="Arial" w:hAnsi="Arial"/>
          <w:sz w:val="16"/>
          <w:szCs w:val="16"/>
          <w:color w:val="auto"/>
        </w:rPr>
      </w:pPr>
      <w:r>
        <w:rPr>
          <w:rFonts w:ascii="Arial" w:cs="Arial" w:eastAsia="Arial" w:hAnsi="Arial"/>
          <w:sz w:val="16"/>
          <w:szCs w:val="16"/>
          <w:color w:val="auto"/>
        </w:rPr>
        <w:t>Within five (5) days after the third arbitrator has reached its own determination, the third arbitrator shall arrange a meeting at which time the two arbitrators selected by each party shall submit to the third arbitrator each such arbitrator’s determination of Prevailing Market Rate. The role of the third arbitrator shall be to select whichever of the two proposed resolutions most closely approximates the third arbitrator’s own determination of Prevailing Market Rate for the Option Period. The third arbitrator shall have no right to propose a middle ground or any modification of either of the two proposed resolutions. The resolution the third arbitrator chooses as that most closely approximating the third arbitrator’s determination of the Prevailing Market Rate shall constitute the decision of the arbitrators and shall be final and binding upon the parties. Base Rent payable during the applicable Option Term shall be at ninety-five percent (95%) of the third arbitrator’s determination of the Prevailing Market Rate.</w:t>
      </w:r>
    </w:p>
    <w:p>
      <w:pPr>
        <w:spacing w:after="0" w:line="167" w:lineRule="exact"/>
        <w:rPr>
          <w:rFonts w:ascii="Arial" w:cs="Arial" w:eastAsia="Arial" w:hAnsi="Arial"/>
          <w:sz w:val="16"/>
          <w:szCs w:val="16"/>
          <w:color w:val="auto"/>
        </w:rPr>
      </w:pPr>
    </w:p>
    <w:p>
      <w:pPr>
        <w:ind w:left="3900" w:hanging="651"/>
        <w:spacing w:after="0"/>
        <w:tabs>
          <w:tab w:leader="none" w:pos="3900" w:val="left"/>
        </w:tabs>
        <w:numPr>
          <w:ilvl w:val="2"/>
          <w:numId w:val="103"/>
        </w:numPr>
        <w:rPr>
          <w:rFonts w:ascii="Arial" w:cs="Arial" w:eastAsia="Arial" w:hAnsi="Arial"/>
          <w:sz w:val="17"/>
          <w:szCs w:val="17"/>
          <w:color w:val="auto"/>
        </w:rPr>
      </w:pPr>
      <w:r>
        <w:rPr>
          <w:rFonts w:ascii="Arial" w:cs="Arial" w:eastAsia="Arial" w:hAnsi="Arial"/>
          <w:sz w:val="17"/>
          <w:szCs w:val="17"/>
          <w:color w:val="auto"/>
        </w:rPr>
        <w:t>In the event of a failure, refusal, or inability of any arbitrator to act, the arbitrator in question shall</w:t>
      </w:r>
    </w:p>
    <w:p>
      <w:pPr>
        <w:spacing w:after="0" w:line="34" w:lineRule="exact"/>
        <w:rPr>
          <w:rFonts w:ascii="Arial" w:cs="Arial" w:eastAsia="Arial" w:hAnsi="Arial"/>
          <w:sz w:val="17"/>
          <w:szCs w:val="17"/>
          <w:color w:val="auto"/>
        </w:rPr>
      </w:pPr>
    </w:p>
    <w:p>
      <w:pPr>
        <w:ind w:right="360"/>
        <w:spacing w:after="0" w:line="261" w:lineRule="auto"/>
        <w:rPr>
          <w:rFonts w:ascii="Arial" w:cs="Arial" w:eastAsia="Arial" w:hAnsi="Arial"/>
          <w:sz w:val="17"/>
          <w:szCs w:val="17"/>
          <w:color w:val="auto"/>
        </w:rPr>
      </w:pPr>
      <w:r>
        <w:rPr>
          <w:rFonts w:ascii="Arial" w:cs="Arial" w:eastAsia="Arial" w:hAnsi="Arial"/>
          <w:sz w:val="18"/>
          <w:szCs w:val="18"/>
          <w:color w:val="auto"/>
        </w:rPr>
        <w:t>appoint a successor for himself or herself, but in the case of the third arbitrator, a successor shall be appointed in the same manner as set forth herein with respect to the appointment of the original third arbitrator.</w:t>
      </w:r>
    </w:p>
    <w:p>
      <w:pPr>
        <w:spacing w:after="0" w:line="18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arbitrators shall attempt to decide the issue within fifteen (15) business days after the appointment of the third arbitrator. Notwithstanding the other provisions in this Paragraph 49, if the proposal of the arbitrator appointed by Landlord and the proposal of the arbitrator appointed by Tenant are identical,</w:t>
      </w:r>
    </w:p>
    <w:p>
      <w:pPr>
        <w:sectPr>
          <w:pgSz w:w="11900" w:h="16975" w:orient="portrait"/>
          <w:cols w:equalWidth="0" w:num="1">
            <w:col w:w="11420"/>
          </w:cols>
          <w:pgMar w:left="240" w:top="125" w:right="239" w:bottom="0" w:gutter="0" w:footer="0" w:header="0"/>
        </w:sectPr>
      </w:pPr>
    </w:p>
    <w:bookmarkStart w:id="73" w:name="page74"/>
    <w:bookmarkEnd w:id="73"/>
    <w:p>
      <w:pPr>
        <w:ind w:right="180"/>
        <w:spacing w:after="0" w:line="264" w:lineRule="auto"/>
        <w:rPr>
          <w:sz w:val="20"/>
          <w:szCs w:val="20"/>
          <w:color w:val="auto"/>
        </w:rPr>
      </w:pPr>
      <w:r>
        <w:rPr>
          <w:rFonts w:ascii="Arial" w:cs="Arial" w:eastAsia="Arial" w:hAnsi="Arial"/>
          <w:sz w:val="18"/>
          <w:szCs w:val="18"/>
          <w:color w:val="auto"/>
        </w:rPr>
        <w:t>such proposal shall be binding and conclusive upon the parties. Each party shall pay the fees and expenses of its respective arbitrator and both shall share equally the fees and expenses of the third arbitrator. Attorneys’ fees and expenses of counsel and of witnesses for the respective parties shall be paid by the respective party engaging such counsel or calling such witnesses.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50:</w:t>
      </w:r>
      <w:r>
        <w:rPr>
          <w:sz w:val="20"/>
          <w:szCs w:val="20"/>
          <w:color w:val="auto"/>
        </w:rPr>
        <w:tab/>
      </w: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PARAGRAPH 51: EXECUTIVE ORDER 13224</w:t>
      </w:r>
      <w:r>
        <w:rPr>
          <w:rFonts w:ascii="Arial" w:cs="Arial" w:eastAsia="Arial" w:hAnsi="Arial"/>
          <w:sz w:val="18"/>
          <w:szCs w:val="18"/>
          <w:color w:val="auto"/>
        </w:rPr>
        <w:t>: Tenant hereby represents and warrants to Landlord that Tenant is not among the individuals or</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identified on any list compiled pursuant to Executive Order 13224 for the purpose of identifying suspected terrorists. Landlord hereby represents and warrants to Tenant that Landlord is not among the individuals or entities identified on any list compiled pursuant to Executive Order 13224 for the purpose of identifying suspected terrorists.</w:t>
      </w:r>
    </w:p>
    <w:p>
      <w:pPr>
        <w:spacing w:after="0" w:line="180"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52:</w:t>
      </w:r>
      <w:r>
        <w:rPr>
          <w:sz w:val="20"/>
          <w:szCs w:val="20"/>
          <w:color w:val="auto"/>
        </w:rPr>
        <w:tab/>
      </w: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sz w:val="20"/>
          <w:szCs w:val="20"/>
          <w:color w:val="auto"/>
        </w:rPr>
      </w:pPr>
    </w:p>
    <w:p>
      <w:pPr>
        <w:ind w:right="20" w:firstLine="656"/>
        <w:spacing w:after="0" w:line="264" w:lineRule="auto"/>
        <w:tabs>
          <w:tab w:leader="none" w:pos="129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voluntary or other surrender of possession of the Premises by Tenant, or a mutual cancellation of this Lease, shall not result in a merger of Landlord’s and Tenant’s estates, and shall, at Landlord’s option, either terminate any existing subleases or subtenancies, or operate as an assignment to Landlord of any such subleases or subtenancies.</w:t>
      </w:r>
    </w:p>
    <w:p>
      <w:pPr>
        <w:spacing w:after="0" w:line="181" w:lineRule="exact"/>
        <w:rPr>
          <w:rFonts w:ascii="Arial" w:cs="Arial" w:eastAsia="Arial" w:hAnsi="Arial"/>
          <w:sz w:val="18"/>
          <w:szCs w:val="18"/>
          <w:color w:val="auto"/>
        </w:rPr>
      </w:pPr>
    </w:p>
    <w:p>
      <w:pPr>
        <w:ind w:right="100" w:firstLine="656"/>
        <w:spacing w:after="0" w:line="257" w:lineRule="auto"/>
        <w:tabs>
          <w:tab w:leader="none" w:pos="130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Tenant represents and warrants that each individual executing this Lease on behalf of Tenant is duly authorized to execute and deliver this Lease on behalf of Tenant and that upon such execution this Lease shall be binding upon Tenant in accordance with its terms. If this Lease is executed by more than one tenant, Tenant’s obligations hereunder shall be the joint and several obligations of each tenant executing this Lease. Nothing contained herein shall create any relationship between the parties hereto other than that of Landlord and Tenant, and Landlord shall not be deemed to be a partner or a joint venturer of Tenant in the conduct of its business.</w:t>
      </w:r>
    </w:p>
    <w:p>
      <w:pPr>
        <w:spacing w:after="0" w:line="188" w:lineRule="exact"/>
        <w:rPr>
          <w:rFonts w:ascii="Arial" w:cs="Arial" w:eastAsia="Arial" w:hAnsi="Arial"/>
          <w:sz w:val="18"/>
          <w:szCs w:val="18"/>
          <w:color w:val="auto"/>
        </w:rPr>
      </w:pPr>
    </w:p>
    <w:p>
      <w:pPr>
        <w:ind w:firstLine="656"/>
        <w:spacing w:after="0" w:line="257" w:lineRule="auto"/>
        <w:tabs>
          <w:tab w:leader="none" w:pos="130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submission of this document for review does not constitute an option, offer or agreement to lease space. This document shall be effective only upon Landlord’s and Tenant’s execution and Landlord’s delivery of same to Tenant. Except as expressly contained herein, neither Landlord nor Landlord’s agent have made representations, warranties or promises with respect to the Premises, the Property or this Lease. Landlord and Tenant each acknowledge that each has been represented by independent counsel and has executed this Lease after being fully advised by said counsel as to its effect and significance.</w:t>
      </w:r>
    </w:p>
    <w:p>
      <w:pPr>
        <w:spacing w:after="0" w:line="188" w:lineRule="exact"/>
        <w:rPr>
          <w:rFonts w:ascii="Arial" w:cs="Arial" w:eastAsia="Arial" w:hAnsi="Arial"/>
          <w:sz w:val="18"/>
          <w:szCs w:val="18"/>
          <w:color w:val="auto"/>
        </w:rPr>
      </w:pPr>
    </w:p>
    <w:p>
      <w:pPr>
        <w:ind w:right="120" w:firstLine="656"/>
        <w:spacing w:after="0" w:line="277" w:lineRule="auto"/>
        <w:tabs>
          <w:tab w:leader="none" w:pos="130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remedy or election given pursuant to any provision in this Lease shall be cumulative with all other remedies at law or in equity unless otherwise specifically provided herein</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This Lease may be executed in multiple counterparts, each of which shall constitute one and the same instrument.</w:t>
      </w:r>
    </w:p>
    <w:p>
      <w:pPr>
        <w:spacing w:after="0" w:line="221"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PARAGRAPH 53:</w:t>
      </w:r>
      <w:r>
        <w:rPr>
          <w:sz w:val="20"/>
          <w:szCs w:val="20"/>
          <w:color w:val="auto"/>
        </w:rPr>
        <w:tab/>
      </w:r>
      <w:r>
        <w:rPr>
          <w:rFonts w:ascii="Arial" w:cs="Arial" w:eastAsia="Arial" w:hAnsi="Arial"/>
          <w:sz w:val="17"/>
          <w:szCs w:val="17"/>
          <w:b w:val="1"/>
          <w:bCs w:val="1"/>
          <w:color w:val="auto"/>
        </w:rPr>
        <w:t>EXPANSION OPTIONS</w:t>
      </w:r>
      <w:r>
        <w:rPr>
          <w:rFonts w:ascii="Arial" w:cs="Arial" w:eastAsia="Arial" w:hAnsi="Arial"/>
          <w:sz w:val="17"/>
          <w:szCs w:val="17"/>
          <w:color w:val="auto"/>
        </w:rPr>
        <w:t>:</w:t>
      </w:r>
    </w:p>
    <w:p>
      <w:pPr>
        <w:spacing w:after="0" w:line="229" w:lineRule="exact"/>
        <w:rPr>
          <w:sz w:val="20"/>
          <w:szCs w:val="20"/>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First Expansion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00" w:firstLine="1305"/>
        <w:spacing w:after="0" w:line="234" w:lineRule="auto"/>
        <w:tabs>
          <w:tab w:leader="none" w:pos="1966"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Landlord hereby grants the Original Tenant and any Permitted Assignee an option to lease approximately 8,552 rentable square feet on the third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 of the Building on the terms set forth below (the “First Expansion Space”), which First Expansion Space is depicted on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77" w:lineRule="auto"/>
        <w:tabs>
          <w:tab w:leader="none" w:pos="197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The expansion option contained in this Paragraph 53(a) shall only be exercised by Tenant delivering written notice to Landlord no later than April 1, 2017, stating that Tenant is exercising this option (“First Expansion Notice”).</w:t>
      </w:r>
    </w:p>
    <w:p>
      <w:pPr>
        <w:spacing w:after="0" w:line="170" w:lineRule="exact"/>
        <w:rPr>
          <w:rFonts w:ascii="Arial" w:cs="Arial" w:eastAsia="Arial" w:hAnsi="Arial"/>
          <w:sz w:val="18"/>
          <w:szCs w:val="18"/>
          <w:color w:val="auto"/>
        </w:rPr>
      </w:pPr>
    </w:p>
    <w:p>
      <w:pPr>
        <w:ind w:right="40" w:firstLine="1305"/>
        <w:spacing w:after="0" w:line="264" w:lineRule="auto"/>
        <w:tabs>
          <w:tab w:leader="none" w:pos="198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First Expansion Rent</w:t>
      </w:r>
      <w:r>
        <w:rPr>
          <w:rFonts w:ascii="Arial" w:cs="Arial" w:eastAsia="Arial" w:hAnsi="Arial"/>
          <w:sz w:val="18"/>
          <w:szCs w:val="18"/>
          <w:color w:val="auto"/>
        </w:rPr>
        <w:t>. The rent payable by Tenant for the First Expansion Space (the “First Expansion Rent”) shall be the product of (a) the then per rentable square foot Base Rent for the Premises (and subject to the scheduled increases set forth in Paragraph 1 of this Lease) and (b) the actual number of square feet in the First Expansion Space.</w:t>
      </w:r>
    </w:p>
    <w:p>
      <w:pPr>
        <w:spacing w:after="0" w:line="181" w:lineRule="exact"/>
        <w:rPr>
          <w:rFonts w:ascii="Arial" w:cs="Arial" w:eastAsia="Arial" w:hAnsi="Arial"/>
          <w:sz w:val="18"/>
          <w:szCs w:val="18"/>
          <w:color w:val="auto"/>
        </w:rPr>
      </w:pPr>
    </w:p>
    <w:p>
      <w:pPr>
        <w:ind w:right="200" w:firstLine="1305"/>
        <w:spacing w:after="0" w:line="277" w:lineRule="auto"/>
        <w:tabs>
          <w:tab w:leader="none" w:pos="196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Delivery of the First Expansion Space</w:t>
      </w:r>
      <w:r>
        <w:rPr>
          <w:rFonts w:ascii="Arial" w:cs="Arial" w:eastAsia="Arial" w:hAnsi="Arial"/>
          <w:sz w:val="18"/>
          <w:szCs w:val="18"/>
          <w:color w:val="auto"/>
        </w:rPr>
        <w:t>. If Tenant exercises this option, Landlord shall deliver actual and exclusive possession of the First Expansion Space to Tenant on or before October 1, 2017 (the “First Expansion Date”).</w:t>
      </w:r>
    </w:p>
    <w:p>
      <w:pPr>
        <w:spacing w:after="0" w:line="170" w:lineRule="exact"/>
        <w:rPr>
          <w:rFonts w:ascii="Arial" w:cs="Arial" w:eastAsia="Arial" w:hAnsi="Arial"/>
          <w:sz w:val="18"/>
          <w:szCs w:val="18"/>
          <w:color w:val="auto"/>
        </w:rPr>
      </w:pPr>
    </w:p>
    <w:p>
      <w:pPr>
        <w:ind w:right="20" w:firstLine="1305"/>
        <w:spacing w:after="0" w:line="257" w:lineRule="auto"/>
        <w:tabs>
          <w:tab w:leader="none" w:pos="1952"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Construction of First Expansion Space</w:t>
      </w:r>
      <w:r>
        <w:rPr>
          <w:rFonts w:ascii="Arial" w:cs="Arial" w:eastAsia="Arial" w:hAnsi="Arial"/>
          <w:sz w:val="18"/>
          <w:szCs w:val="18"/>
          <w:color w:val="auto"/>
        </w:rPr>
        <w:t xml:space="preserve">. Landlord shall deliver the First Expansion Space to Tenant in the Delivery Condition described in Paragraph 4 above. Subject to the foregoing, and without limitation of Landlord’s obligations set forth in this Lease, Tenant shall take the First Expansion Space in its “as is” condition, and the construction of improvements in the First Expansion Space shall be in substantial accordance with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(except that Tenant shall only be entitled to an improvement allowance equal to Thirty Dollars ($30.00) times the actual number of rentable square feet in the First Expansion Space).</w:t>
      </w:r>
    </w:p>
    <w:p>
      <w:pPr>
        <w:spacing w:after="0" w:line="188" w:lineRule="exact"/>
        <w:rPr>
          <w:rFonts w:ascii="Arial" w:cs="Arial" w:eastAsia="Arial" w:hAnsi="Arial"/>
          <w:sz w:val="18"/>
          <w:szCs w:val="18"/>
          <w:color w:val="auto"/>
        </w:rPr>
      </w:pPr>
    </w:p>
    <w:p>
      <w:pPr>
        <w:ind w:right="20" w:firstLine="1305"/>
        <w:spacing w:after="0" w:line="289" w:lineRule="auto"/>
        <w:tabs>
          <w:tab w:leader="none" w:pos="1961"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Amendment to Lease</w:t>
      </w:r>
      <w:r>
        <w:rPr>
          <w:rFonts w:ascii="Arial" w:cs="Arial" w:eastAsia="Arial" w:hAnsi="Arial"/>
          <w:sz w:val="16"/>
          <w:szCs w:val="16"/>
          <w:color w:val="auto"/>
        </w:rPr>
        <w:t>. If Tenant timely exercises Tenant’s right to lease the First Expansion Space as set forth herein, Landlord and Tenant shall, within fifteen (15) days after the date of Tenant’s First Expansion Notice, execute an amendment adding such First Expansion Space to the Lease upon the same terms and conditions as the initial Premises, except as otherwise set forth in this Paragraph 53(a) and except that Tenant shall not be entitled to the Abated Rent set forth in Paragraph 1(c), Tenant’s Share shall be increased to take into account the addition of the First Expansion Space to the Premises, and the number of parking spaces allocated to Tenant shall be increased to take into account the addition of the First Expansion Space to the Premises. Tenant shall commence payment of Rent for the First Expansion Space and the term of the First Expansion Space shall commence upon the date of delivery of the First Expansion Space to Tenant (the “First Expansion Space Commencement Date”); provided, however, that Landlord will abate Tenant’s obligation to pay Base Rent (but not any other Rent) payable by Tenant for the first thirty (30) days after the First Expansion Space Commencement Date. The term of the First Expansion Space shall expire on the Expiration Date (subject, however, to Paragraphs 47 and 49 of this Lease).</w:t>
      </w:r>
    </w:p>
    <w:p>
      <w:pPr>
        <w:sectPr>
          <w:pgSz w:w="11900" w:h="16838" w:orient="portrait"/>
          <w:cols w:equalWidth="0" w:num="1">
            <w:col w:w="11400"/>
          </w:cols>
          <w:pgMar w:left="240" w:top="125" w:right="259" w:bottom="0" w:gutter="0" w:footer="0" w:header="0"/>
        </w:sectPr>
      </w:pPr>
    </w:p>
    <w:bookmarkStart w:id="74" w:name="page75"/>
    <w:bookmarkEnd w:id="74"/>
    <w:p>
      <w:pPr>
        <w:ind w:left="1320" w:hanging="664"/>
        <w:spacing w:after="0"/>
        <w:tabs>
          <w:tab w:leader="none" w:pos="13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Second Expansion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20" w:firstLine="1305"/>
        <w:spacing w:after="0" w:line="234" w:lineRule="auto"/>
        <w:tabs>
          <w:tab w:leader="none" w:pos="1966"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Landlord hereby grants the Tenant and any Permitted Assignee an option as of November 1, 2019 (the “Second Expansion Date”) to lease approximately 7,927 rentable square feet on the third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 of the Building on the terms set forth below, which Second Expansion Space is depicted on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(the “Second Expansion Space”).</w:t>
      </w:r>
    </w:p>
    <w:p>
      <w:pPr>
        <w:spacing w:after="0" w:line="202" w:lineRule="exact"/>
        <w:rPr>
          <w:rFonts w:ascii="Arial" w:cs="Arial" w:eastAsia="Arial" w:hAnsi="Arial"/>
          <w:sz w:val="18"/>
          <w:szCs w:val="18"/>
          <w:color w:val="auto"/>
        </w:rPr>
      </w:pPr>
    </w:p>
    <w:p>
      <w:pPr>
        <w:ind w:right="80" w:firstLine="1305"/>
        <w:spacing w:after="0" w:line="277" w:lineRule="auto"/>
        <w:tabs>
          <w:tab w:leader="none" w:pos="1976"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The expansion option contained in this Paragraph 53(b) shall only be exercised by Tenant delivering written notice to Landlord no later than April 1, 2019, stating that Tenant is exercising its option (“Second Expansion Notice”).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91" w:lineRule="auto"/>
        <w:tabs>
          <w:tab w:leader="none" w:pos="1985"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Second Expansion Rent</w:t>
      </w:r>
      <w:r>
        <w:rPr>
          <w:rFonts w:ascii="Arial" w:cs="Arial" w:eastAsia="Arial" w:hAnsi="Arial"/>
          <w:sz w:val="16"/>
          <w:szCs w:val="16"/>
          <w:color w:val="auto"/>
        </w:rPr>
        <w:t>. The rent payable by Tenant for the Second Expansion Space (the “Second Expansion Rent”) shall be product of (a) the then per Rentable Square Foot Base Rent for the Premises (and subject to the scheduled increases set forth in Paragraph 1 of this Lease) and</w:t>
      </w:r>
    </w:p>
    <w:p>
      <w:pPr>
        <w:ind w:left="260" w:hanging="252"/>
        <w:spacing w:after="0"/>
        <w:tabs>
          <w:tab w:leader="none" w:pos="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actual number of square feet in the Second Expansion Space.</w:t>
      </w:r>
    </w:p>
    <w:p>
      <w:pPr>
        <w:spacing w:after="0" w:line="211" w:lineRule="exact"/>
        <w:rPr>
          <w:sz w:val="20"/>
          <w:szCs w:val="20"/>
          <w:color w:val="auto"/>
        </w:rPr>
      </w:pPr>
    </w:p>
    <w:p>
      <w:pPr>
        <w:ind w:firstLine="1305"/>
        <w:spacing w:after="0" w:line="277" w:lineRule="auto"/>
        <w:tabs>
          <w:tab w:leader="none" w:pos="1961"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Delivery of the Second Expansion Space</w:t>
      </w:r>
      <w:r>
        <w:rPr>
          <w:rFonts w:ascii="Arial" w:cs="Arial" w:eastAsia="Arial" w:hAnsi="Arial"/>
          <w:sz w:val="18"/>
          <w:szCs w:val="18"/>
          <w:color w:val="auto"/>
        </w:rPr>
        <w:t>. If Tenant exercises this option, Landlord shall deliver actual and exclusive possession of the Second Expansion Space to Tenant on or before the Second Expansion Date.</w:t>
      </w:r>
    </w:p>
    <w:p>
      <w:pPr>
        <w:spacing w:after="0" w:line="170" w:lineRule="exact"/>
        <w:rPr>
          <w:rFonts w:ascii="Arial" w:cs="Arial" w:eastAsia="Arial" w:hAnsi="Arial"/>
          <w:sz w:val="18"/>
          <w:szCs w:val="18"/>
          <w:color w:val="auto"/>
        </w:rPr>
      </w:pPr>
    </w:p>
    <w:p>
      <w:pPr>
        <w:ind w:firstLine="1305"/>
        <w:spacing w:after="0" w:line="257" w:lineRule="auto"/>
        <w:tabs>
          <w:tab w:leader="none" w:pos="1952"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Construction of Second Expansion Space</w:t>
      </w:r>
      <w:r>
        <w:rPr>
          <w:rFonts w:ascii="Arial" w:cs="Arial" w:eastAsia="Arial" w:hAnsi="Arial"/>
          <w:sz w:val="18"/>
          <w:szCs w:val="18"/>
          <w:color w:val="auto"/>
        </w:rPr>
        <w:t xml:space="preserve">. Landlord shall deliver the Second Expansion Space to Tenant in the Delivery Condition described in Paragraph 4 above. Subject to the foregoing, and without limitation of Landlord’s obligations set forth in this Lease, Tenant shall take the Second Expansion Space in its “as is” condition, and the construction of improvements in the Expansion Space shall be in substantial accordance with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(except that Tenant shall only be entitled to an improvement allowance equal to Thirty Dollars ($30.00) times the actual number of rentable square feet in the Second Expansion Space).</w:t>
      </w:r>
    </w:p>
    <w:p>
      <w:pPr>
        <w:spacing w:after="0" w:line="188" w:lineRule="exact"/>
        <w:rPr>
          <w:rFonts w:ascii="Arial" w:cs="Arial" w:eastAsia="Arial" w:hAnsi="Arial"/>
          <w:sz w:val="18"/>
          <w:szCs w:val="18"/>
          <w:color w:val="auto"/>
        </w:rPr>
      </w:pPr>
    </w:p>
    <w:p>
      <w:pPr>
        <w:ind w:firstLine="1305"/>
        <w:spacing w:after="0" w:line="270" w:lineRule="auto"/>
        <w:tabs>
          <w:tab w:leader="none" w:pos="1961" w:val="left"/>
        </w:tabs>
        <w:numPr>
          <w:ilvl w:val="1"/>
          <w:numId w:val="110"/>
        </w:numPr>
        <w:rPr>
          <w:rFonts w:ascii="Arial" w:cs="Arial" w:eastAsia="Arial" w:hAnsi="Arial"/>
          <w:sz w:val="17"/>
          <w:szCs w:val="17"/>
          <w:color w:val="auto"/>
        </w:rPr>
      </w:pPr>
      <w:r>
        <w:rPr>
          <w:rFonts w:ascii="Arial" w:cs="Arial" w:eastAsia="Arial" w:hAnsi="Arial"/>
          <w:sz w:val="17"/>
          <w:szCs w:val="17"/>
          <w:u w:val="single" w:color="auto"/>
          <w:color w:val="auto"/>
        </w:rPr>
        <w:t>Amendment to Lease</w:t>
      </w:r>
      <w:r>
        <w:rPr>
          <w:rFonts w:ascii="Arial" w:cs="Arial" w:eastAsia="Arial" w:hAnsi="Arial"/>
          <w:sz w:val="17"/>
          <w:szCs w:val="17"/>
          <w:color w:val="auto"/>
        </w:rPr>
        <w:t>. If Tenant timely exercises Tenant’s right to lease the Second Expansion Space as set forth herein, Landlord and Tenant shall, within fifteen (15) days after the date of Tenant’s Second Expansion Notice, execute an amendment adding such Second Expansion Space to the Lease upon the same terms and conditions as the initial Premises, except as otherwise set forth in this Paragraph 53(b) and except that Tenant shall not be entitled to the Abated Rent set forth in Paragraph 1(c), Tenant’s Share shall be increased to take into account the addition of the Second Expansion Space to the Premises, and the number of parking spaces allocated to Tenant shall be increased to take into account the addition of the Second Expansion Space to the Premises. Tenant shall commence payment of Rent for the Second Expansion Space and the term of the Second Expansion Space shall commence upon the date of delivery of the Second Expansion Space to Tenant (the “Second Expansion Space Commencement Date”); provided, however, that Landlord will abate Tenant’s obligation to pay Base Rent (but not any other Rent) payable by Tenant for the first thirty (30) days after the Second Expansion Space Commencement Date. The term of the Second Expansion Space shall expire on the Expiration Date (subject, however, to Paragraphs 47 and 49 of this Lease).</w:t>
      </w:r>
    </w:p>
    <w:p>
      <w:pPr>
        <w:spacing w:after="0" w:line="177" w:lineRule="exact"/>
        <w:rPr>
          <w:rFonts w:ascii="Arial" w:cs="Arial" w:eastAsia="Arial" w:hAnsi="Arial"/>
          <w:sz w:val="17"/>
          <w:szCs w:val="17"/>
          <w:color w:val="auto"/>
        </w:rPr>
      </w:pPr>
    </w:p>
    <w:p>
      <w:pPr>
        <w:ind w:left="1320" w:hanging="664"/>
        <w:spacing w:after="0"/>
        <w:tabs>
          <w:tab w:leader="none" w:pos="132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Third Expansion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5"/>
        <w:spacing w:after="0" w:line="264" w:lineRule="auto"/>
        <w:tabs>
          <w:tab w:leader="none" w:pos="1966"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xml:space="preserve">. Landlord hereby grants the Original Tenant and any Permitted Assignee an option as of October 1, 2019 (the “Third Expansion Date”), to lease approximately 8,075 square feet on the ground floor of the Building on the terms set forth below, which Third Expansion Space is depicted on </w:t>
      </w:r>
      <w:r>
        <w:rPr>
          <w:rFonts w:ascii="Arial" w:cs="Arial" w:eastAsia="Arial" w:hAnsi="Arial"/>
          <w:sz w:val="18"/>
          <w:szCs w:val="18"/>
          <w:u w:val="single" w:color="auto"/>
          <w:color w:val="auto"/>
        </w:rPr>
        <w:t>Exhibit B-3</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140" w:firstLine="1305"/>
        <w:spacing w:after="0" w:line="277" w:lineRule="auto"/>
        <w:tabs>
          <w:tab w:leader="none" w:pos="1976"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The expansion option contained in this Paragraph 53(c) shall only be exercised by Tenant delivering written notice to Landlord no later than April 1, 2019 stating that Tenant is exercising this option (“Third Expansion Notice).</w:t>
      </w:r>
    </w:p>
    <w:p>
      <w:pPr>
        <w:spacing w:after="0" w:line="170" w:lineRule="exact"/>
        <w:rPr>
          <w:rFonts w:ascii="Arial" w:cs="Arial" w:eastAsia="Arial" w:hAnsi="Arial"/>
          <w:sz w:val="18"/>
          <w:szCs w:val="18"/>
          <w:color w:val="auto"/>
        </w:rPr>
      </w:pPr>
    </w:p>
    <w:p>
      <w:pPr>
        <w:ind w:right="420" w:firstLine="1305"/>
        <w:spacing w:after="0" w:line="277" w:lineRule="auto"/>
        <w:tabs>
          <w:tab w:leader="none" w:pos="1985"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Third Expansion Rent</w:t>
      </w:r>
      <w:r>
        <w:rPr>
          <w:rFonts w:ascii="Arial" w:cs="Arial" w:eastAsia="Arial" w:hAnsi="Arial"/>
          <w:sz w:val="18"/>
          <w:szCs w:val="18"/>
          <w:color w:val="auto"/>
        </w:rPr>
        <w:t>. The rent payable by Tenant for the Third Expansion Space (the “Third Expansion Rent”) shall be the product of (a) the then per Rentable Square Foot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Base Rent for the Premises (and subject to the scheduled increases set forth in Paragraph 1 of this Lease) and (b) the actual number of square feet in the Third Expansion Space.</w:t>
      </w:r>
    </w:p>
    <w:p>
      <w:pPr>
        <w:spacing w:after="0" w:line="170" w:lineRule="exact"/>
        <w:rPr>
          <w:sz w:val="20"/>
          <w:szCs w:val="20"/>
          <w:color w:val="auto"/>
        </w:rPr>
      </w:pPr>
    </w:p>
    <w:p>
      <w:pPr>
        <w:ind w:right="120" w:firstLine="1305"/>
        <w:spacing w:after="0" w:line="277" w:lineRule="auto"/>
        <w:tabs>
          <w:tab w:leader="none" w:pos="1961"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Delivery of the Third Expansion Space</w:t>
      </w:r>
      <w:r>
        <w:rPr>
          <w:rFonts w:ascii="Arial" w:cs="Arial" w:eastAsia="Arial" w:hAnsi="Arial"/>
          <w:sz w:val="18"/>
          <w:szCs w:val="18"/>
          <w:color w:val="auto"/>
        </w:rPr>
        <w:t>. If Tenant exercises this option, Landlord shall deliver actual and exclusive possession of the Third Expansion Space to Tenant on or before the Third Expansion Date.</w:t>
      </w:r>
    </w:p>
    <w:p>
      <w:pPr>
        <w:spacing w:after="0" w:line="170" w:lineRule="exact"/>
        <w:rPr>
          <w:rFonts w:ascii="Arial" w:cs="Arial" w:eastAsia="Arial" w:hAnsi="Arial"/>
          <w:sz w:val="18"/>
          <w:szCs w:val="18"/>
          <w:color w:val="auto"/>
        </w:rPr>
      </w:pPr>
    </w:p>
    <w:p>
      <w:pPr>
        <w:ind w:firstLine="1305"/>
        <w:spacing w:after="0" w:line="257" w:lineRule="auto"/>
        <w:tabs>
          <w:tab w:leader="none" w:pos="1952"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Construction of Third Expansion Space</w:t>
      </w:r>
      <w:r>
        <w:rPr>
          <w:rFonts w:ascii="Arial" w:cs="Arial" w:eastAsia="Arial" w:hAnsi="Arial"/>
          <w:sz w:val="18"/>
          <w:szCs w:val="18"/>
          <w:color w:val="auto"/>
        </w:rPr>
        <w:t xml:space="preserve">. Landlord shall deliver the Third Expansion Space to Tenant in the Delivery Condition described in Paragraph 4 above. Subject to the foregoing, and without limitation of Landlord’s obligations set forth in this Lease, Tenant shall take the Third Expansion Space in its “as is” condition, and the construction of improvements in the Expansion Space shall be in substantial accordance with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(except that Tenant shall only be entitled to an improvement allowance equal to Seventy-Five Dollars ($75.00) times the actual number of rentable square feet in the Third Expansion Space).</w:t>
      </w:r>
    </w:p>
    <w:p>
      <w:pPr>
        <w:spacing w:after="0" w:line="188" w:lineRule="exact"/>
        <w:rPr>
          <w:rFonts w:ascii="Arial" w:cs="Arial" w:eastAsia="Arial" w:hAnsi="Arial"/>
          <w:sz w:val="18"/>
          <w:szCs w:val="18"/>
          <w:color w:val="auto"/>
        </w:rPr>
      </w:pPr>
    </w:p>
    <w:p>
      <w:pPr>
        <w:ind w:firstLine="1305"/>
        <w:spacing w:after="0" w:line="289" w:lineRule="auto"/>
        <w:tabs>
          <w:tab w:leader="none" w:pos="1961"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Amendment to Lease</w:t>
      </w:r>
      <w:r>
        <w:rPr>
          <w:rFonts w:ascii="Arial" w:cs="Arial" w:eastAsia="Arial" w:hAnsi="Arial"/>
          <w:sz w:val="16"/>
          <w:szCs w:val="16"/>
          <w:color w:val="auto"/>
        </w:rPr>
        <w:t>. If Tenant timely exercises Tenant’s right to lease the Third Expansion Space as set forth herein, Landlord and Tenant shall, within fifteen (15) days after the date of Tenant’s Third Expansion Notice, execute an amendment adding such Third Expansion Space to the Lease upon the same terms and conditions as the initial Premises, except as otherwise set forth in this Paragraph 53(c) and except that Tenant shall not be entitled to the Abated Rent set forth in Paragraph 1(c), Tenant’s Share shall be increased to take into account the addition of the Third Expansion Space to the Premises, and the number of parking spaces allocated to Tenant shall be increased to take into account the addition of the Third Expansion Space to the Premises. Tenant shall commence payment of Rent for the Third Expansion Space and the term of the Third Expansion Space shall commence upon the date of delivery of the Third Expansion Space to Tenant (the “Third Expansion Space Commencement Date”); provided, however, that Landlord will abate Tenant’s obligation to pay Base Rent (but not any other Rent) payable by Tenant for the first ninety (90) days after the Third Expansion Space Commencement Date. The term of the Third Expansion Space shall expire on the Expiration Date (subject, however, to Paragraphs 47 and 49 of this Lease).</w:t>
      </w:r>
    </w:p>
    <w:p>
      <w:pPr>
        <w:sectPr>
          <w:pgSz w:w="11900" w:h="16838" w:orient="portrait"/>
          <w:cols w:equalWidth="0" w:num="1">
            <w:col w:w="11400"/>
          </w:cols>
          <w:pgMar w:left="240" w:top="125" w:right="259" w:bottom="0" w:gutter="0" w:footer="0" w:header="0"/>
        </w:sectPr>
      </w:pPr>
    </w:p>
    <w:bookmarkStart w:id="75" w:name="page76"/>
    <w:bookmarkEnd w:id="75"/>
    <w:p>
      <w:pPr>
        <w:ind w:right="40"/>
        <w:spacing w:after="0" w:line="273" w:lineRule="auto"/>
        <w:rPr>
          <w:sz w:val="20"/>
          <w:szCs w:val="20"/>
          <w:color w:val="auto"/>
        </w:rPr>
      </w:pPr>
      <w:r>
        <w:rPr>
          <w:rFonts w:ascii="Arial" w:cs="Arial" w:eastAsia="Arial" w:hAnsi="Arial"/>
          <w:sz w:val="17"/>
          <w:szCs w:val="17"/>
          <w:color w:val="auto"/>
        </w:rPr>
        <w:t>Notwithstanding anything above to the contrary, The rights contained in this Paragraph 53 shall be personal to the Original Tenant and any Permitted Assignee, may only be exercised by the Original Tenant and any Permitted Assignee (and not any other assignee, sublessee or other transferee of the Original Tenant’s (or Permitted Assignee’s) interest in this Lease) if Original Tenant or such Permitted Assignee occupies no less than 50% of the entire Premises as of the date of the Expansion Exercise Notice. Tenant shall not have the right to lease any Expansion Space as provided in this Paragraph 53, if, as of the date of the applicable Expansion Notice, or, at Landlord’s option, as of the scheduled date of delivery of such Expansion Space to Tenant, Tenant is in default under this Lease (beyond the expiration of all applicable notice and cure periods).</w:t>
      </w:r>
    </w:p>
    <w:p>
      <w:pPr>
        <w:spacing w:after="0" w:line="174" w:lineRule="exact"/>
        <w:rPr>
          <w:sz w:val="20"/>
          <w:szCs w:val="20"/>
          <w:color w:val="auto"/>
        </w:rPr>
      </w:pPr>
    </w:p>
    <w:p>
      <w:pPr>
        <w:ind w:right="160"/>
        <w:spacing w:after="0" w:line="211" w:lineRule="auto"/>
        <w:rPr>
          <w:sz w:val="20"/>
          <w:szCs w:val="20"/>
          <w:color w:val="auto"/>
        </w:rPr>
      </w:pPr>
      <w:r>
        <w:rPr>
          <w:rFonts w:ascii="Arial" w:cs="Arial" w:eastAsia="Arial" w:hAnsi="Arial"/>
          <w:sz w:val="18"/>
          <w:szCs w:val="18"/>
          <w:b w:val="1"/>
          <w:bCs w:val="1"/>
          <w:color w:val="auto"/>
        </w:rPr>
        <w:t xml:space="preserve">PARAGRAPH 54: RIGHT OF FIRST OFFER: </w:t>
      </w:r>
      <w:r>
        <w:rPr>
          <w:rFonts w:ascii="Arial" w:cs="Arial" w:eastAsia="Arial" w:hAnsi="Arial"/>
          <w:sz w:val="18"/>
          <w:szCs w:val="18"/>
          <w:color w:val="auto"/>
        </w:rPr>
        <w:t>Commencing as of the sixth (6</w:t>
      </w:r>
      <w:r>
        <w:rPr>
          <w:rFonts w:ascii="Arial" w:cs="Arial" w:eastAsia="Arial" w:hAnsi="Arial"/>
          <w:sz w:val="23"/>
          <w:szCs w:val="23"/>
          <w:color w:val="auto"/>
          <w:vertAlign w:val="superscript"/>
        </w:rPr>
        <w:t>th</w:t>
      </w:r>
      <w:r>
        <w:rPr>
          <w:rFonts w:ascii="Arial" w:cs="Arial" w:eastAsia="Arial" w:hAnsi="Arial"/>
          <w:sz w:val="18"/>
          <w:szCs w:val="18"/>
          <w:color w:val="auto"/>
        </w:rPr>
        <w:t>) annual anniversary of the Commencement Date (i.e., June 1,</w:t>
      </w:r>
      <w:r>
        <w:rPr>
          <w:rFonts w:ascii="Arial" w:cs="Arial" w:eastAsia="Arial" w:hAnsi="Arial"/>
          <w:sz w:val="18"/>
          <w:szCs w:val="18"/>
          <w:b w:val="1"/>
          <w:bCs w:val="1"/>
          <w:color w:val="auto"/>
        </w:rPr>
        <w:t xml:space="preserve"> </w:t>
      </w:r>
      <w:r>
        <w:rPr>
          <w:rFonts w:ascii="Arial" w:cs="Arial" w:eastAsia="Arial" w:hAnsi="Arial"/>
          <w:sz w:val="18"/>
          <w:szCs w:val="18"/>
          <w:color w:val="auto"/>
        </w:rPr>
        <w:t>2021, subject, however, to extension due to Landlord Delays (if any) which extended the Commencement Date) and continuing throughout the Lease Term (including any Option Term, if applicable), Tenant shall have a right of first offer with respect to space located on the first (1</w:t>
      </w:r>
      <w:r>
        <w:rPr>
          <w:rFonts w:ascii="Arial" w:cs="Arial" w:eastAsia="Arial" w:hAnsi="Arial"/>
          <w:sz w:val="23"/>
          <w:szCs w:val="23"/>
          <w:color w:val="auto"/>
          <w:vertAlign w:val="superscript"/>
        </w:rPr>
        <w:t>st</w:t>
      </w:r>
      <w:r>
        <w:rPr>
          <w:rFonts w:ascii="Arial" w:cs="Arial" w:eastAsia="Arial" w:hAnsi="Arial"/>
          <w:sz w:val="18"/>
          <w:szCs w:val="18"/>
          <w:color w:val="auto"/>
        </w:rPr>
        <w:t>) and second (2</w:t>
      </w:r>
      <w:r>
        <w:rPr>
          <w:rFonts w:ascii="Arial" w:cs="Arial" w:eastAsia="Arial" w:hAnsi="Arial"/>
          <w:sz w:val="23"/>
          <w:szCs w:val="23"/>
          <w:color w:val="auto"/>
          <w:vertAlign w:val="superscript"/>
        </w:rPr>
        <w:t>nd</w:t>
      </w:r>
      <w:r>
        <w:rPr>
          <w:rFonts w:ascii="Arial" w:cs="Arial" w:eastAsia="Arial" w:hAnsi="Arial"/>
          <w:sz w:val="18"/>
          <w:szCs w:val="18"/>
          <w:color w:val="auto"/>
        </w:rPr>
        <w:t>) floors of the Building that is contiguous to the Premises (the “First Offer Space”). Notwithstanding the foregoing (i) the lease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term for Tenant’s lease of the First Offer Space pursuant to Tenant’s exercise of such first offer right of Tenant shall commence only following the expiration or earlier termination of any existing lease (if any) pertaining to the First Offer Space (the “Existing Leases”), including any renewal or extension of any such Existing Leases, whether or not such renewal or extension is pursuant to an express written provision in such lease, and regardless of whether any such renewal or extension is consummated pursuant to a lease amendment or a new lease, and (ii) such first offer right shall be subordinate and secondary to all rights of expansion, first refusal, first offer or similar rights granted to the tenants of the Existing Leases (the rights described in items (i) and (ii), above to be known collectively as “Superior Rights”). Tenant’s right of first offer shall be on the terms and conditions set forth in this Paragraph 54.</w:t>
      </w:r>
    </w:p>
    <w:p>
      <w:pPr>
        <w:spacing w:after="0" w:line="165" w:lineRule="exact"/>
        <w:rPr>
          <w:sz w:val="20"/>
          <w:szCs w:val="20"/>
          <w:color w:val="auto"/>
        </w:rPr>
      </w:pPr>
    </w:p>
    <w:p>
      <w:pPr>
        <w:ind w:firstLine="656"/>
        <w:spacing w:after="0" w:line="254" w:lineRule="auto"/>
        <w:tabs>
          <w:tab w:leader="none" w:pos="1294"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Procedure for Offer</w:t>
      </w:r>
      <w:r>
        <w:rPr>
          <w:rFonts w:ascii="Arial" w:cs="Arial" w:eastAsia="Arial" w:hAnsi="Arial"/>
          <w:sz w:val="18"/>
          <w:szCs w:val="18"/>
          <w:color w:val="auto"/>
        </w:rPr>
        <w:t>. Landlord shall notify Tenant (the “First Offer Notice”) from time to time when Landlord determines, in Landlord’s sole and absolute discretion, that Landlord shall commence the marketing of the First Offer Space (or any portion thereof) because such space shall become or is expected to become available for lease to third parties, where no holder of a Superior Right desires to lease such space. The First Offer Notice shall describe the space so offered to Tenant and shall set forth Landlord’s proposed economic terms and conditions applicable to Tenant’s lease of such space (collectively, the “First Offer Economic Terms”), which First Offer Economic Terms shall be based on Landlord’s reasonable, good faith determination of the “fair market rental rate” for such First Offer Space. Notwithstanding the foregoing, Landlord’s obligation to deliver the First Offer Notice shall not apply during the last nine (9) months of the Lease Term unless Tenant has delivered an Extension Notice (as defined in Paragraph 49(a) above) pertaining to the extension of the initial Lease Term.</w:t>
      </w:r>
    </w:p>
    <w:p>
      <w:pPr>
        <w:spacing w:after="0" w:line="192" w:lineRule="exact"/>
        <w:rPr>
          <w:rFonts w:ascii="Arial" w:cs="Arial" w:eastAsia="Arial" w:hAnsi="Arial"/>
          <w:sz w:val="18"/>
          <w:szCs w:val="18"/>
          <w:color w:val="auto"/>
        </w:rPr>
      </w:pPr>
    </w:p>
    <w:p>
      <w:pPr>
        <w:ind w:firstLine="656"/>
        <w:spacing w:after="0" w:line="269" w:lineRule="auto"/>
        <w:tabs>
          <w:tab w:leader="none" w:pos="1304"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Procedure for Acceptance</w:t>
      </w:r>
      <w:r>
        <w:rPr>
          <w:rFonts w:ascii="Arial" w:cs="Arial" w:eastAsia="Arial" w:hAnsi="Arial"/>
          <w:sz w:val="17"/>
          <w:szCs w:val="17"/>
          <w:color w:val="auto"/>
        </w:rPr>
        <w:t>. If Tenant wishes to exercise Tenant’s right of first offer with respect to the space described in the First Offer Notice, then within thirty (30) days after delivery of the First Offer Notice to Tenant, Tenant shall deliver notice to Landlord of Tenant’s exercise of its right of first offer with respect to the entire space described in the First Offer Notice and on the First Offer Economic Terms contained therein. If Tenant does not exercise its right of first offer within said 30-day period (on all of the First Offer Economic Terms), then Landlord shall be free to lease the space described in the First Offer Notice to anyone to whom Landlord desires provided the economic terms and conditions of such lease are not more favorable to the tenant thereunder than the terms and conditions in the First Offer Notice. Landlord agrees that it will not offer to lease, or enter into a lease of the First Offer Space, on economic terms and conditions more favorable to the tenant thereunder than the terms and conditions in the First Offer Notice without first delivering Tenant another First Offer Notice containing such more favorable terms and conditions and repeating the procedures set forth in this Paragraph 55. Notwithstanding anything to the contrary contained herein, Tenant must elect to exercise its right of first offer, if at all, with respect to all of the space comprising the First Offer Space offered by Landlord to Tenant at any particular time, and Tenant may not elect to lease only a portion thereof or object to any of the First Offer Economic Terms.</w:t>
      </w:r>
    </w:p>
    <w:p>
      <w:pPr>
        <w:spacing w:after="0" w:line="182" w:lineRule="exact"/>
        <w:rPr>
          <w:rFonts w:ascii="Arial" w:cs="Arial" w:eastAsia="Arial" w:hAnsi="Arial"/>
          <w:sz w:val="17"/>
          <w:szCs w:val="17"/>
          <w:color w:val="auto"/>
        </w:rPr>
      </w:pPr>
    </w:p>
    <w:p>
      <w:pPr>
        <w:ind w:right="120" w:firstLine="656"/>
        <w:spacing w:after="0" w:line="259" w:lineRule="auto"/>
        <w:tabs>
          <w:tab w:leader="none" w:pos="1307"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Construction of First Offer Space</w:t>
      </w:r>
      <w:r>
        <w:rPr>
          <w:rFonts w:ascii="Arial" w:cs="Arial" w:eastAsia="Arial" w:hAnsi="Arial"/>
          <w:sz w:val="18"/>
          <w:szCs w:val="18"/>
          <w:color w:val="auto"/>
        </w:rPr>
        <w:t>. Tenant shall take the First Offer Space in its “As-Is” condition (unless otherwise provided in the First Offer Notice as part of the First Offer Economic Terms), and Tenant shall be entitled to construct improvements in the First Offer Space at Tenant’s expense, in accordance with and subject to the provisions of Paragraph 9 of this Lease or, if addressed in the First Offer Notice, in accordance with the terms of the First Offer Notice.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73" w:lineRule="auto"/>
        <w:tabs>
          <w:tab w:leader="none" w:pos="1304"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Lease of First Offer Space</w:t>
      </w:r>
      <w:r>
        <w:rPr>
          <w:rFonts w:ascii="Arial" w:cs="Arial" w:eastAsia="Arial" w:hAnsi="Arial"/>
          <w:sz w:val="17"/>
          <w:szCs w:val="17"/>
          <w:color w:val="auto"/>
        </w:rPr>
        <w:t>. If Tenant timely exercises Tenant’s right to lease the First Offer Space as set forth herein, Landlord and Tenant shall execute an amendment adding such First Offer Space to this Lease upon the First Offer Economic Terms set forth in Landlord’s First Offer Notice and upon the same non-economic terms and conditions as applicable to the Premises then leased by Tenant under this Lease. Tenant shall commence payment of Rent for the First Offer Space and the Lease Term of the First Offer Space shall commence upon the date of delivery of such First Offer Space to Tenant (unless otherwise provided in the First Offer Notice as part of the First Offer Economic Terms). The Lease term and Rent commencement date for the First Offer Space shall be provided in the First Offer Notice as part of the First Offer Economic Terms.</w:t>
      </w:r>
    </w:p>
    <w:p>
      <w:pPr>
        <w:spacing w:after="0" w:line="178" w:lineRule="exact"/>
        <w:rPr>
          <w:rFonts w:ascii="Arial" w:cs="Arial" w:eastAsia="Arial" w:hAnsi="Arial"/>
          <w:sz w:val="17"/>
          <w:szCs w:val="17"/>
          <w:color w:val="auto"/>
        </w:rPr>
      </w:pPr>
    </w:p>
    <w:p>
      <w:pPr>
        <w:ind w:firstLine="656"/>
        <w:spacing w:after="0" w:line="272" w:lineRule="auto"/>
        <w:tabs>
          <w:tab w:leader="none" w:pos="1307"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No Defaults</w:t>
      </w:r>
      <w:r>
        <w:rPr>
          <w:rFonts w:ascii="Arial" w:cs="Arial" w:eastAsia="Arial" w:hAnsi="Arial"/>
          <w:sz w:val="17"/>
          <w:szCs w:val="17"/>
          <w:color w:val="auto"/>
        </w:rPr>
        <w:t>. The rights contained in this Paragraph 54 shall be personal to the Original Tenant and any Permitted Assignee may only be exercised by the Original Tenant or such Permitted Assignee (and not any other assignee, sublessee or other transferee of the Original Tenant’s interest (or Permitted Assignee’s interest) in this Lease) if the Original Tenant or such Permitted Assignee actually occupies at least fifty percent (50%) of the entire Premises then leased by Original Tenant (or such Permitted Assignee) as of the date of Tenant’s exercise of its right of first offer. In addition, at Landlord’s option and in addition to Landlord’s other remedies set forth in this Lease, at law and/or in equity, Tenant shall not have the right to lease the First Offer Space as provided in this Section if, as of the date of the First Offer Notice, or, at Landlord’s option, as of the scheduled date of delivery of such First Offer Space to Tenant, Tenant is in default under this Lease (beyond the expiration of all applicable notice and cure periods).</w:t>
      </w:r>
    </w:p>
    <w:p>
      <w:pPr>
        <w:spacing w:after="0" w:line="17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PARAGRAPH 55: SECURITIES LAW FILINGS AND DISCLOSURE</w:t>
      </w:r>
      <w:r>
        <w:rPr>
          <w:rFonts w:ascii="Arial" w:cs="Arial" w:eastAsia="Arial" w:hAnsi="Arial"/>
          <w:sz w:val="17"/>
          <w:szCs w:val="17"/>
          <w:color w:val="auto"/>
        </w:rPr>
        <w:t>. Landlord acknowledges that Tenant will file a Current Report on Form 8-K (the “Current Report”) with the Securities and Exchange Commission (the “SEC”) within four (4) business days of the full execution and delivery of this Lease, which Current Report shall include a description of the terms and conditions of this Lease and attach this Lease as an exhibit to the Current Report. Landlord further acknowledges that Tenant will not seek confidential treatment of any of the terms and conditions of this Lease notwithstanding any other provision of this Lease as may exist to the contrary. Landlord hereby consents to Tenant’s filing of such Current Report with the SEC and waives any obligation of Tenant to seek confidential treatment of any of the terms and conditions of this lease.</w:t>
      </w:r>
    </w:p>
    <w:p>
      <w:pPr>
        <w:sectPr>
          <w:pgSz w:w="11900" w:h="16838" w:orient="portrait"/>
          <w:cols w:equalWidth="0" w:num="1">
            <w:col w:w="11420"/>
          </w:cols>
          <w:pgMar w:left="240" w:top="125" w:right="239" w:bottom="0" w:gutter="0" w:footer="0" w:header="0"/>
        </w:sectPr>
      </w:pPr>
    </w:p>
    <w:bookmarkStart w:id="76" w:name="page77"/>
    <w:bookmarkEnd w:id="76"/>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PARAGRAPH 56: COMMUNICATION EQUIPMENT; SUPPLEMENTAL HVAC EQUIPMENT; EMERGENCY GENERATOR</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all applicable laws and any covenants, conditions and restrictions affecting the Property as well as approvals from any governmental and quasi-governmental entities, Tenant and Tenant’s contractors (which shall first be reasonably approved by Landlord) shall have the right and access to install, repair, replace, remove, operate and maintain (A) one (1) so-called “satellite dishes” or other similar devices, such as antennae no greater than one (1) meter in diameter each (collectively, the “Communication Equipment”), for the purpose of receiving and sending radio, television, computer, telephone or other communication signals, at a location on the roof of the Building reasonable designated by Landlord after consultation with Tenant; and (B) supplemental HVAC Equipment in locations in the Building and/or on the roof of the Building reasonably determined by Landlord after consultation with Tenant (“Supplemental HVAC Equipment”); (C) one (1) diesel fueled Emergency Generator in a location within the Project designated by Landlord; and (D) subject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available capacity of the Building (unless Tenant agrees to add additional capacity at Tenant’s expense), such connection equipment, such as conduits, cables, risers, feeders and materials (collectively, the “Connecting Equipment”) in the shafts, ducts, conduits, chases, utility closets and other facilities of the Building as is reasonably necessary to connect the Communication Equipment, Supplemental HVAC Equipment and the Emergency Generator to Tenant’s other systems, machinery and equipment in the Premises. Tenant shall also have the right of access, consistent with the terms hereof, to the areas where any Communication Equipment, Supplemental HVAC Equipment, Emergency Generator and Connecting Equipment (collectively, the “Special Equipment”) are located for the purposes of installing, maintaining, repairing, testing and replacing the same. Landlord, at Landlord’s sole cost and expense, shall have the right to require Tenant to permanently or temporarily relocate the Communications Equipment to another equally suitable location in the southern half of the Building. Unless Landlord elects to perform such penetrations at Tenant’s sole cost and expense, Tenant shall retain Landlord’s designated roofing contractor to make any necessary penetrations and associated repairs to the roof in order to preserve Landlord’s roof warranty. Tenant’s installation and operation of the Special Equipment shall be governed by the following terms and conditions:</w:t>
      </w:r>
    </w:p>
    <w:p>
      <w:pPr>
        <w:spacing w:after="0" w:line="178" w:lineRule="exact"/>
        <w:rPr>
          <w:sz w:val="20"/>
          <w:szCs w:val="20"/>
          <w:color w:val="auto"/>
        </w:rPr>
      </w:pPr>
    </w:p>
    <w:p>
      <w:pPr>
        <w:ind w:right="360" w:firstLine="656"/>
        <w:spacing w:after="0" w:line="277" w:lineRule="auto"/>
        <w:tabs>
          <w:tab w:leader="none" w:pos="129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Tenant’s right to install, replace, repair, remove, operate and maintain the Special Equipment shall be subject to all applicable laws, and Landlord makes no representation that such laws permit such installation and operation;</w:t>
      </w:r>
    </w:p>
    <w:p>
      <w:pPr>
        <w:spacing w:after="0" w:line="170" w:lineRule="exact"/>
        <w:rPr>
          <w:rFonts w:ascii="Arial" w:cs="Arial" w:eastAsia="Arial" w:hAnsi="Arial"/>
          <w:sz w:val="18"/>
          <w:szCs w:val="18"/>
          <w:color w:val="auto"/>
        </w:rPr>
      </w:pPr>
    </w:p>
    <w:p>
      <w:pPr>
        <w:ind w:firstLine="656"/>
        <w:spacing w:after="0" w:line="257" w:lineRule="auto"/>
        <w:tabs>
          <w:tab w:leader="none" w:pos="130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plans and specifications for the Special Equipment shall be subject to Landlord’s approval, not to be unreasonably withheld, conditioned or delayed. In the case of the plans and specifications for the Supplemental HVAC Equipment and Emergency Generator and the Connecting Equipment related thereto, such plans and specifications shall be reviewed by Landlord pursuant to the terms and conditions of the Work Letter Agreement if Tenant provides such plans and specifications for Landlord’s review in connection with Landlord’s review of the Construction Drawings for the Tenant Improvements;</w:t>
      </w:r>
    </w:p>
    <w:p>
      <w:pPr>
        <w:spacing w:after="0" w:line="188" w:lineRule="exact"/>
        <w:rPr>
          <w:rFonts w:ascii="Arial" w:cs="Arial" w:eastAsia="Arial" w:hAnsi="Arial"/>
          <w:sz w:val="18"/>
          <w:szCs w:val="18"/>
          <w:color w:val="auto"/>
        </w:rPr>
      </w:pPr>
    </w:p>
    <w:p>
      <w:pPr>
        <w:ind w:right="420" w:firstLine="656"/>
        <w:spacing w:after="0" w:line="308" w:lineRule="auto"/>
        <w:tabs>
          <w:tab w:leader="none" w:pos="130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All costs of installation, operation and maintenance of the Special Equipment and any necessary related equipment (including, without limitation, costs of obtaining any necessary permits and connections to the Building’s electrical system) shall be borne by Tenant;</w:t>
      </w:r>
    </w:p>
    <w:p>
      <w:pPr>
        <w:spacing w:after="0" w:line="146" w:lineRule="exact"/>
        <w:rPr>
          <w:rFonts w:ascii="Arial" w:cs="Arial" w:eastAsia="Arial" w:hAnsi="Arial"/>
          <w:sz w:val="17"/>
          <w:szCs w:val="17"/>
          <w:color w:val="auto"/>
        </w:rPr>
      </w:pPr>
    </w:p>
    <w:p>
      <w:pPr>
        <w:ind w:right="120" w:firstLine="656"/>
        <w:spacing w:after="0" w:line="255" w:lineRule="auto"/>
        <w:tabs>
          <w:tab w:leader="none" w:pos="130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It is expressly understood that Landlord retains the right to use the roof of the Building for any purpose whatsoever (including granting rights to third parties to utilize any portion of the roof not utilized by Tenant), provided that Tenant shall have reasonable access to, and Landlord and its licensees shall not interfere with Tenant’s use of, the Communication Equipment and the Supplemental HVAC Equipment located thereon. It is expressly understood that Landlord retains the right to grant third parties the right to utilize any portion of the Property located outside the Premises not utilized by Tenant as the Generator Site provided such right does not interfere with Tenant’s use or occupancy of the Premises in accordance with this Lease or diminish Tenant’s parking rights under this Lease;</w:t>
      </w:r>
    </w:p>
    <w:p>
      <w:pPr>
        <w:spacing w:after="0" w:line="193" w:lineRule="exact"/>
        <w:rPr>
          <w:rFonts w:ascii="Arial" w:cs="Arial" w:eastAsia="Arial" w:hAnsi="Arial"/>
          <w:sz w:val="18"/>
          <w:szCs w:val="18"/>
          <w:color w:val="auto"/>
        </w:rPr>
      </w:pPr>
    </w:p>
    <w:p>
      <w:pPr>
        <w:ind w:right="140" w:firstLine="656"/>
        <w:spacing w:after="0" w:line="264" w:lineRule="auto"/>
        <w:tabs>
          <w:tab w:leader="none" w:pos="130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Tenant agrees to work in good faith to resolve any unreasonable interference caused by Tenant’s Special Equipment with any other tenants in the Building (including with any other tenant’s communication equipment or any generators or power sources or similar equipment located in the Property), and not to damage the Property or interfere with the normal operation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Property. Landlord agrees to work in good faith to resolve any unreasonable interference with Tenant’s Special Equipment caused by Landlord’s or other tenants’ communication equipment, generators, power sources or similar equipment located on the Property);</w:t>
      </w:r>
    </w:p>
    <w:p>
      <w:pPr>
        <w:spacing w:after="0" w:line="170" w:lineRule="exact"/>
        <w:rPr>
          <w:sz w:val="20"/>
          <w:szCs w:val="20"/>
          <w:color w:val="auto"/>
        </w:rPr>
      </w:pPr>
    </w:p>
    <w:p>
      <w:pPr>
        <w:ind w:firstLine="656"/>
        <w:spacing w:after="0" w:line="288" w:lineRule="auto"/>
        <w:tabs>
          <w:tab w:leader="none" w:pos="130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For the purposes of determining Tenant’s obligations with respect to its use of the roof of the Building herein provided and the Generator Site, all of the provisions of this Lease relating to compliance with requirements as to insurance, indemnity, and compliance with Laws shall apply to the installation, use and maintenance of the Special Equipment; provided, however, Tenant shall only be provided access to the roof after prior written or oral notice to Landlord or its property manager (except in cases of emergency in which case such notice may be verbal) and subject to Landlord’s reasonable rules and restrictions regarding access (including, at Landlord’s option, the requirement that Tenant be accompanied by a representative of Landlord during such access but only to the extent such representative is reasonably available at the time of Tenant’s requested access). Landlord shall not have any obligations with respect to the Special Equipment. Landlord makes no representation that the Communication Equipment will be able to receive or transmit communication signals without interference or disturbance, or that the Supplemental HVAC Equipment will be able to supply sufficient air conditioning to the Premises and Tenant agrees that Landlord shall not be liable to Tenant therefor. Landlord make no representation that the Emergency Generator and related Connecting Equipment will be able to supply sufficient power to the Premises, and Tenant agrees that Landlord shall not be liable to Tenant therefor;</w:t>
      </w:r>
    </w:p>
    <w:p>
      <w:pPr>
        <w:spacing w:after="0" w:line="169" w:lineRule="exact"/>
        <w:rPr>
          <w:rFonts w:ascii="Arial" w:cs="Arial" w:eastAsia="Arial" w:hAnsi="Arial"/>
          <w:sz w:val="16"/>
          <w:szCs w:val="16"/>
          <w:color w:val="auto"/>
        </w:rPr>
      </w:pPr>
    </w:p>
    <w:p>
      <w:pPr>
        <w:ind w:right="200" w:firstLine="656"/>
        <w:spacing w:after="0" w:line="259" w:lineRule="auto"/>
        <w:tabs>
          <w:tab w:leader="none" w:pos="131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Subject to Paragraphs 16(g) and 21, Tenant shall (i) be solely responsible for any damage to the Building caused as a result of the Special Equipment, (ii) promptly pay any tax, license or permit fees charged pursuant to any Laws in connection with the installation, maintenance or use of the Special Equipment and comply with all precautions and safeguards recommended by all governmental authorities, and (iii) pay for all necessary repairs, replacements to or maintenance of the Special Equipment;</w:t>
      </w:r>
    </w:p>
    <w:p>
      <w:pPr>
        <w:spacing w:after="0" w:line="186" w:lineRule="exact"/>
        <w:rPr>
          <w:rFonts w:ascii="Arial" w:cs="Arial" w:eastAsia="Arial" w:hAnsi="Arial"/>
          <w:sz w:val="18"/>
          <w:szCs w:val="18"/>
          <w:color w:val="auto"/>
        </w:rPr>
      </w:pPr>
    </w:p>
    <w:p>
      <w:pPr>
        <w:ind w:right="80" w:firstLine="656"/>
        <w:spacing w:after="0" w:line="293" w:lineRule="auto"/>
        <w:tabs>
          <w:tab w:leader="none" w:pos="130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Supplemental HVAC Equipment shall remain the property of Tenant during the Term but shall be deemed a fixture and shall remain upon the Building upon the expiration or earlier termination of the Lease Term unless Landlord elects to have such Supplemental HVAC Equipment removed by Tenant pursuant to Section 12.2 of this Lease. The Communication Equipment shall remain the sole property of Tenant. Tenant shall remove the Communication Equipment and related Special Equipment at Tenant’s sole cost and expense upon the expiration or sooner termination of this Lease or upon the imposition of any governmental law or regulation which may require removal, and shall repair the Building upon such removal to the extent required by such work of removal. If Tenant fails to remove the Communication Equipment (and/or the Supplemental HVAC Equipment (if requested by Landlord to be</w:t>
      </w:r>
    </w:p>
    <w:p>
      <w:pPr>
        <w:sectPr>
          <w:pgSz w:w="11900" w:h="16934" w:orient="portrait"/>
          <w:cols w:equalWidth="0" w:num="1">
            <w:col w:w="11420"/>
          </w:cols>
          <w:pgMar w:left="240" w:top="121" w:right="239" w:bottom="0" w:gutter="0" w:footer="0" w:header="0"/>
        </w:sectPr>
      </w:pPr>
    </w:p>
    <w:bookmarkStart w:id="77" w:name="page78"/>
    <w:bookmarkEnd w:id="77"/>
    <w:p>
      <w:pPr>
        <w:ind w:right="80"/>
        <w:spacing w:after="0" w:line="312" w:lineRule="auto"/>
        <w:rPr>
          <w:sz w:val="20"/>
          <w:szCs w:val="20"/>
          <w:color w:val="auto"/>
        </w:rPr>
      </w:pPr>
      <w:r>
        <w:rPr>
          <w:rFonts w:ascii="Arial" w:cs="Arial" w:eastAsia="Arial" w:hAnsi="Arial"/>
          <w:sz w:val="16"/>
          <w:szCs w:val="16"/>
          <w:color w:val="auto"/>
        </w:rPr>
        <w:t>removed)) and any related Connecting Equipment (to the extent applicable) and repair the Building upon the expiration or earlier termination of this Lease, Landlord may do so at Tenant’s expense. The provisions of this Paragraph 56(h) shall survive the expiration or earlier termination of this Lease. as provided in Paragraph 9(d), Tenant shall have no obligation to remove the Emergency Generator upon or prior to the expiration or sooner termination of this Lease;</w:t>
      </w:r>
    </w:p>
    <w:p>
      <w:pPr>
        <w:spacing w:after="0" w:line="147" w:lineRule="exact"/>
        <w:rPr>
          <w:sz w:val="20"/>
          <w:szCs w:val="20"/>
          <w:color w:val="auto"/>
        </w:rPr>
      </w:pPr>
    </w:p>
    <w:p>
      <w:pPr>
        <w:ind w:right="100" w:firstLine="656"/>
        <w:spacing w:after="0" w:line="308" w:lineRule="auto"/>
        <w:tabs>
          <w:tab w:leader="none" w:pos="131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Special Equipment shall be treated for all purposes of this Lease as if the Special Equipment were Tenant’s property. For the purposes of determining Landlord’s and Tenant’s respective rights and obligations with respect to its use of the roof as herein provided,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portion of the roof affected by the Special Equipment shall be deemed to be a portion of Tenant’s Premises, but shall not be included in the square footage of the Premises for purposes of establishing Rent or Operating Expenses; consequently, all of the provisions of this Lease respecting Tenant’s obligations hereunder (including Tenant’s obligations with respect to the roof and the Generator Site) shall apply to the installation, use and maintenance of the Special Equipment, including, without limitation, provisions relating to compliance with requirements as to insurance, indemnity, repairs and maintenance;</w:t>
      </w:r>
    </w:p>
    <w:p>
      <w:pPr>
        <w:spacing w:after="0" w:line="154" w:lineRule="exact"/>
        <w:rPr>
          <w:sz w:val="20"/>
          <w:szCs w:val="20"/>
          <w:color w:val="auto"/>
        </w:rPr>
      </w:pPr>
    </w:p>
    <w:p>
      <w:pPr>
        <w:ind w:right="60" w:firstLine="656"/>
        <w:spacing w:after="0" w:line="264" w:lineRule="auto"/>
        <w:tabs>
          <w:tab w:leader="none" w:pos="130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Tenant, at Tenant’s sole cost and expense, shall install and maintain such fencing and other protective equipment and/or visual screening on or about the Special Equipment as Landlord may reasonably determine. The Special Equipment shall be clearly marked to show Tenant’s name, address, telephone number and the name of the person to contact in case of emergency;</w:t>
      </w:r>
    </w:p>
    <w:p>
      <w:pPr>
        <w:spacing w:after="0" w:line="181" w:lineRule="exact"/>
        <w:rPr>
          <w:rFonts w:ascii="Arial" w:cs="Arial" w:eastAsia="Arial" w:hAnsi="Arial"/>
          <w:sz w:val="18"/>
          <w:szCs w:val="18"/>
          <w:color w:val="auto"/>
        </w:rPr>
      </w:pPr>
    </w:p>
    <w:p>
      <w:pPr>
        <w:ind w:right="20" w:firstLine="656"/>
        <w:spacing w:after="0" w:line="257" w:lineRule="auto"/>
        <w:tabs>
          <w:tab w:leader="none" w:pos="130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Tenant shall accept the Generator Site in its “AS-IS” condition, without any representations or warranties made by Landlord concerning same (including, but not limited to, the purposes for which such area is to be used by Tenant), and Landlord shall have no obligation to contract or pay for any improvements or other work in or for the Generator Site, and Tenant shall be solely responsible, at its sole cost and expense, for preparing the Generator Site for the installation of the Emergency Generator and for constructing any improvements or performing any other work in such areas pursuant to and in accordance with the provisions of this Paragraph 56(k); and</w:t>
      </w:r>
    </w:p>
    <w:p>
      <w:pPr>
        <w:spacing w:after="0" w:line="188" w:lineRule="exact"/>
        <w:rPr>
          <w:rFonts w:ascii="Arial" w:cs="Arial" w:eastAsia="Arial" w:hAnsi="Arial"/>
          <w:sz w:val="18"/>
          <w:szCs w:val="18"/>
          <w:color w:val="auto"/>
        </w:rPr>
      </w:pPr>
    </w:p>
    <w:p>
      <w:pPr>
        <w:ind w:right="80" w:firstLine="656"/>
        <w:spacing w:after="0" w:line="277" w:lineRule="auto"/>
        <w:tabs>
          <w:tab w:leader="none" w:pos="131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any of the conditions set forth in this Paragraph 56 are not complied with by Tenant, then such failure shall be a Default under this Lease (after expiration of notice and cure periods).</w:t>
      </w:r>
    </w:p>
    <w:p>
      <w:pPr>
        <w:spacing w:after="0" w:line="166" w:lineRule="exact"/>
        <w:rPr>
          <w:sz w:val="20"/>
          <w:szCs w:val="20"/>
          <w:color w:val="auto"/>
        </w:rPr>
      </w:pPr>
    </w:p>
    <w:p>
      <w:pPr>
        <w:jc w:val="both"/>
        <w:ind w:right="60"/>
        <w:spacing w:after="0" w:line="289" w:lineRule="auto"/>
        <w:rPr>
          <w:sz w:val="20"/>
          <w:szCs w:val="20"/>
          <w:color w:val="auto"/>
        </w:rPr>
      </w:pPr>
      <w:r>
        <w:rPr>
          <w:rFonts w:ascii="Arial" w:cs="Arial" w:eastAsia="Arial" w:hAnsi="Arial"/>
          <w:sz w:val="16"/>
          <w:szCs w:val="16"/>
          <w:b w:val="1"/>
          <w:bCs w:val="1"/>
          <w:color w:val="auto"/>
        </w:rPr>
        <w:t>PARAGRAPH 57: FURNITURE</w:t>
      </w:r>
      <w:r>
        <w:rPr>
          <w:rFonts w:ascii="Arial" w:cs="Arial" w:eastAsia="Arial" w:hAnsi="Arial"/>
          <w:sz w:val="16"/>
          <w:szCs w:val="16"/>
          <w:color w:val="auto"/>
        </w:rPr>
        <w:t>: Tenant shall have the right to furnish the offices located on the third floor, second floor and ground floor portions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Premises from the then available inventory of furniture, fixtures and equipment (“FF&amp;E”) in the Building and use the FF&amp;E selected by Tenant within five (5) days after the date hereof at no cost or obligation to Tenant. Landlord shall promptly remove from the Premises any FF&amp;E not selected by Tenant.</w:t>
      </w:r>
    </w:p>
    <w:p>
      <w:pPr>
        <w:spacing w:after="0" w:line="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Tenant shall not at any time be required to remove from the Premises, repair or maintain any of the FF&amp;E selected by Tenant. At the end of the Term, Tenant shall have the option by written notice to Landlord to purchase some or all of the FF&amp;E for One Dollar ($1.00).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Landlord and Tenant have executed this Lease on the date set forth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LANDLORD:</w:t>
            </w:r>
          </w:p>
        </w:tc>
        <w:tc>
          <w:tcPr>
            <w:tcW w:w="1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640" w:type="dxa"/>
            <w:vAlign w:val="bottom"/>
            <w:gridSpan w:val="2"/>
          </w:tcPr>
          <w:p>
            <w:pPr>
              <w:ind w:left="260"/>
              <w:spacing w:after="0"/>
              <w:rPr>
                <w:sz w:val="20"/>
                <w:szCs w:val="20"/>
                <w:color w:val="auto"/>
              </w:rPr>
            </w:pPr>
            <w:r>
              <w:rPr>
                <w:rFonts w:ascii="Arial" w:cs="Arial" w:eastAsia="Arial" w:hAnsi="Arial"/>
                <w:sz w:val="18"/>
                <w:szCs w:val="18"/>
                <w:color w:val="auto"/>
              </w:rPr>
              <w:t>TENANT:</w:t>
            </w:r>
          </w:p>
        </w:tc>
        <w:tc>
          <w:tcPr>
            <w:tcW w:w="4300" w:type="dxa"/>
            <w:vAlign w:val="bottom"/>
          </w:tcPr>
          <w:p>
            <w:pPr>
              <w:spacing w:after="0"/>
              <w:rPr>
                <w:sz w:val="20"/>
                <w:szCs w:val="20"/>
                <w:color w:val="auto"/>
              </w:rPr>
            </w:pPr>
          </w:p>
        </w:tc>
      </w:tr>
      <w:tr>
        <w:trPr>
          <w:trHeight w:val="418"/>
        </w:trPr>
        <w:tc>
          <w:tcPr>
            <w:tcW w:w="5480" w:type="dxa"/>
            <w:vAlign w:val="bottom"/>
            <w:gridSpan w:val="5"/>
          </w:tcPr>
          <w:p>
            <w:pPr>
              <w:spacing w:after="0"/>
              <w:rPr>
                <w:sz w:val="20"/>
                <w:szCs w:val="20"/>
                <w:color w:val="auto"/>
              </w:rPr>
            </w:pPr>
            <w:r>
              <w:rPr>
                <w:rFonts w:ascii="Arial" w:cs="Arial" w:eastAsia="Arial" w:hAnsi="Arial"/>
                <w:sz w:val="18"/>
                <w:szCs w:val="18"/>
                <w:color w:val="auto"/>
              </w:rPr>
              <w:t>AMERICAN FUND US INVESTMENTS LP,</w:t>
            </w:r>
          </w:p>
        </w:tc>
        <w:tc>
          <w:tcPr>
            <w:tcW w:w="5940" w:type="dxa"/>
            <w:vAlign w:val="bottom"/>
            <w:gridSpan w:val="3"/>
          </w:tcPr>
          <w:p>
            <w:pPr>
              <w:ind w:left="260"/>
              <w:spacing w:after="0"/>
              <w:rPr>
                <w:sz w:val="20"/>
                <w:szCs w:val="20"/>
                <w:color w:val="auto"/>
              </w:rPr>
            </w:pPr>
            <w:r>
              <w:rPr>
                <w:rFonts w:ascii="Arial" w:cs="Arial" w:eastAsia="Arial" w:hAnsi="Arial"/>
                <w:sz w:val="18"/>
                <w:szCs w:val="18"/>
                <w:color w:val="auto"/>
              </w:rPr>
              <w:t>VERACYTE, INC.,</w:t>
            </w:r>
          </w:p>
        </w:tc>
      </w:tr>
      <w:tr>
        <w:trPr>
          <w:trHeight w:val="230"/>
        </w:trPr>
        <w:tc>
          <w:tcPr>
            <w:tcW w:w="5480" w:type="dxa"/>
            <w:vAlign w:val="bottom"/>
            <w:gridSpan w:val="5"/>
          </w:tcPr>
          <w:p>
            <w:pPr>
              <w:spacing w:after="0"/>
              <w:rPr>
                <w:sz w:val="20"/>
                <w:szCs w:val="20"/>
                <w:color w:val="auto"/>
              </w:rPr>
            </w:pPr>
            <w:r>
              <w:rPr>
                <w:rFonts w:ascii="Arial" w:cs="Arial" w:eastAsia="Arial" w:hAnsi="Arial"/>
                <w:sz w:val="18"/>
                <w:szCs w:val="18"/>
                <w:color w:val="auto"/>
              </w:rPr>
              <w:t>a Delaware limited partnership</w:t>
            </w:r>
          </w:p>
        </w:tc>
        <w:tc>
          <w:tcPr>
            <w:tcW w:w="5940" w:type="dxa"/>
            <w:vAlign w:val="bottom"/>
            <w:gridSpan w:val="3"/>
          </w:tcPr>
          <w:p>
            <w:pPr>
              <w:ind w:left="260"/>
              <w:spacing w:after="0"/>
              <w:rPr>
                <w:sz w:val="20"/>
                <w:szCs w:val="20"/>
                <w:color w:val="auto"/>
              </w:rPr>
            </w:pPr>
            <w:r>
              <w:rPr>
                <w:rFonts w:ascii="Arial" w:cs="Arial" w:eastAsia="Arial" w:hAnsi="Arial"/>
                <w:sz w:val="18"/>
                <w:szCs w:val="18"/>
                <w:color w:val="auto"/>
              </w:rPr>
              <w:t>a Delaware corporation</w:t>
            </w:r>
          </w:p>
        </w:tc>
      </w:tr>
      <w:tr>
        <w:trPr>
          <w:trHeight w:val="648"/>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4"/>
          </w:tcPr>
          <w:p>
            <w:pPr>
              <w:ind w:left="120"/>
              <w:spacing w:after="0"/>
              <w:rPr>
                <w:sz w:val="20"/>
                <w:szCs w:val="20"/>
                <w:color w:val="auto"/>
              </w:rPr>
            </w:pPr>
            <w:r>
              <w:rPr>
                <w:rFonts w:ascii="Arial" w:cs="Arial" w:eastAsia="Arial" w:hAnsi="Arial"/>
                <w:sz w:val="18"/>
                <w:szCs w:val="18"/>
                <w:color w:val="auto"/>
              </w:rPr>
              <w:t>/s/ Steffen Ricken</w:t>
            </w:r>
          </w:p>
        </w:tc>
        <w:tc>
          <w:tcPr>
            <w:tcW w:w="760" w:type="dxa"/>
            <w:vAlign w:val="bottom"/>
          </w:tcPr>
          <w:p>
            <w:pPr>
              <w:ind w:left="260"/>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spacing w:after="0"/>
              <w:rPr>
                <w:sz w:val="20"/>
                <w:szCs w:val="20"/>
                <w:color w:val="auto"/>
              </w:rPr>
            </w:pPr>
            <w:r>
              <w:rPr>
                <w:rFonts w:ascii="Arial" w:cs="Arial" w:eastAsia="Arial" w:hAnsi="Arial"/>
                <w:sz w:val="18"/>
                <w:szCs w:val="18"/>
                <w:color w:val="auto"/>
              </w:rPr>
              <w:t>/s/ Bonnie Anderson</w:t>
            </w:r>
          </w:p>
        </w:tc>
      </w:tr>
      <w:tr>
        <w:trPr>
          <w:trHeight w:val="210"/>
        </w:trPr>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Steffen Ricken</w:t>
            </w:r>
          </w:p>
        </w:tc>
        <w:tc>
          <w:tcPr>
            <w:tcW w:w="760" w:type="dxa"/>
            <w:vAlign w:val="bottom"/>
          </w:tcPr>
          <w:p>
            <w:pPr>
              <w:spacing w:after="0"/>
              <w:rPr>
                <w:sz w:val="18"/>
                <w:szCs w:val="18"/>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Bonnie Anderson</w:t>
            </w:r>
          </w:p>
        </w:tc>
      </w:tr>
      <w:tr>
        <w:trPr>
          <w:trHeight w:val="210"/>
        </w:trPr>
        <w:tc>
          <w:tcPr>
            <w:tcW w:w="400" w:type="dxa"/>
            <w:vAlign w:val="bottom"/>
          </w:tcPr>
          <w:p>
            <w:pPr>
              <w:spacing w:after="0"/>
              <w:rPr>
                <w:sz w:val="18"/>
                <w:szCs w:val="18"/>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140" w:type="dxa"/>
            <w:vAlign w:val="bottom"/>
          </w:tcPr>
          <w:p>
            <w:pPr>
              <w:spacing w:after="0"/>
              <w:rPr>
                <w:sz w:val="18"/>
                <w:szCs w:val="18"/>
                <w:color w:val="auto"/>
              </w:rPr>
            </w:pPr>
          </w:p>
        </w:tc>
        <w:tc>
          <w:tcPr>
            <w:tcW w:w="4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President</w:t>
            </w:r>
          </w:p>
        </w:tc>
        <w:tc>
          <w:tcPr>
            <w:tcW w:w="7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CEO-President</w:t>
            </w:r>
          </w:p>
        </w:tc>
      </w:tr>
      <w:tr>
        <w:trPr>
          <w:trHeight w:val="628"/>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4"/>
          </w:tcPr>
          <w:p>
            <w:pPr>
              <w:ind w:left="120"/>
              <w:spacing w:after="0"/>
              <w:rPr>
                <w:sz w:val="20"/>
                <w:szCs w:val="20"/>
                <w:color w:val="auto"/>
              </w:rPr>
            </w:pPr>
            <w:r>
              <w:rPr>
                <w:rFonts w:ascii="Arial" w:cs="Arial" w:eastAsia="Arial" w:hAnsi="Arial"/>
                <w:sz w:val="18"/>
                <w:szCs w:val="18"/>
                <w:color w:val="auto"/>
              </w:rPr>
              <w:t>/s/ Florence Radoux</w:t>
            </w:r>
          </w:p>
        </w:tc>
        <w:tc>
          <w:tcPr>
            <w:tcW w:w="760" w:type="dxa"/>
            <w:vAlign w:val="bottom"/>
          </w:tcPr>
          <w:p>
            <w:pPr>
              <w:ind w:left="260"/>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spacing w:after="0"/>
              <w:rPr>
                <w:sz w:val="20"/>
                <w:szCs w:val="20"/>
                <w:color w:val="auto"/>
              </w:rPr>
            </w:pPr>
            <w:r>
              <w:rPr>
                <w:rFonts w:ascii="Arial" w:cs="Arial" w:eastAsia="Arial" w:hAnsi="Arial"/>
                <w:sz w:val="18"/>
                <w:szCs w:val="18"/>
                <w:color w:val="auto"/>
              </w:rPr>
              <w:t>/s/ Shelly D Guyer</w:t>
            </w:r>
          </w:p>
        </w:tc>
      </w:tr>
      <w:tr>
        <w:trPr>
          <w:trHeight w:val="210"/>
        </w:trPr>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Florence Fricke-Radoux</w:t>
            </w:r>
          </w:p>
        </w:tc>
        <w:tc>
          <w:tcPr>
            <w:tcW w:w="760" w:type="dxa"/>
            <w:vAlign w:val="bottom"/>
          </w:tcPr>
          <w:p>
            <w:pPr>
              <w:spacing w:after="0"/>
              <w:rPr>
                <w:sz w:val="18"/>
                <w:szCs w:val="18"/>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Shelly D. Guyer</w:t>
            </w:r>
          </w:p>
        </w:tc>
      </w:tr>
      <w:tr>
        <w:trPr>
          <w:trHeight w:val="210"/>
        </w:trPr>
        <w:tc>
          <w:tcPr>
            <w:tcW w:w="400" w:type="dxa"/>
            <w:vAlign w:val="bottom"/>
          </w:tcPr>
          <w:p>
            <w:pPr>
              <w:spacing w:after="0"/>
              <w:rPr>
                <w:sz w:val="18"/>
                <w:szCs w:val="18"/>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140" w:type="dxa"/>
            <w:vAlign w:val="bottom"/>
          </w:tcPr>
          <w:p>
            <w:pPr>
              <w:spacing w:after="0"/>
              <w:rPr>
                <w:sz w:val="18"/>
                <w:szCs w:val="18"/>
                <w:color w:val="auto"/>
              </w:rPr>
            </w:pPr>
          </w:p>
        </w:tc>
        <w:tc>
          <w:tcPr>
            <w:tcW w:w="4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7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18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Federal Tax I.D. Number or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Social Security Number: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INTENTIONALLY OMITTED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PREMISES FLOOR PLANS</w:t>
      </w:r>
    </w:p>
    <w:p>
      <w:pPr>
        <w:sectPr>
          <w:pgSz w:w="11900" w:h="16838" w:orient="portrait"/>
          <w:cols w:equalWidth="0" w:num="1">
            <w:col w:w="11420"/>
          </w:cols>
          <w:pgMar w:left="240" w:top="125" w:right="239" w:bottom="0" w:gutter="0" w:footer="0" w:header="0"/>
        </w:sectPr>
      </w:pPr>
    </w:p>
    <w:bookmarkStart w:id="78" w:name="page79"/>
    <w:bookmarkEnd w:id="78"/>
    <w:p>
      <w:pPr>
        <w:jc w:val="center"/>
        <w:spacing w:after="0"/>
        <w:rPr>
          <w:sz w:val="20"/>
          <w:szCs w:val="20"/>
          <w:color w:val="auto"/>
        </w:rPr>
      </w:pPr>
      <w:r>
        <w:rPr>
          <w:rFonts w:ascii="Arial" w:cs="Arial" w:eastAsia="Arial" w:hAnsi="Arial"/>
          <w:sz w:val="16"/>
          <w:szCs w:val="16"/>
          <w:color w:val="auto"/>
        </w:rPr>
        <w:t>[See Following Pages]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75742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757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1478280</wp:posOffset>
            </wp:positionH>
            <wp:positionV relativeFrom="page">
              <wp:posOffset>88900</wp:posOffset>
            </wp:positionV>
            <wp:extent cx="4613910" cy="6517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4613910" cy="651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1537970</wp:posOffset>
            </wp:positionH>
            <wp:positionV relativeFrom="page">
              <wp:posOffset>88900</wp:posOffset>
            </wp:positionV>
            <wp:extent cx="4493895" cy="69119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4493895" cy="691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EXHIBIT B-1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FLOOR PLAN OF FIRST EXPANSION SPACE</w:t>
      </w:r>
    </w:p>
    <w:p>
      <w:pPr>
        <w:sectPr>
          <w:pgSz w:w="11900" w:h="16838" w:orient="portrait"/>
          <w:cols w:equalWidth="0" w:num="1">
            <w:col w:w="9019"/>
          </w:cols>
          <w:pgMar w:left="1440" w:top="1440" w:right="1440" w:bottom="1440" w:gutter="0" w:footer="0" w:header="0"/>
          <w:type w:val="continuous"/>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1409700</wp:posOffset>
            </wp:positionH>
            <wp:positionV relativeFrom="page">
              <wp:posOffset>88900</wp:posOffset>
            </wp:positionV>
            <wp:extent cx="4751070" cy="67151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4751070" cy="671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FLOOR PLAN OF SECOND EXPANSION SPACE</w:t>
      </w:r>
    </w:p>
    <w:p>
      <w:pPr>
        <w:sectPr>
          <w:pgSz w:w="11900" w:h="16838" w:orient="portrait"/>
          <w:cols w:equalWidth="0" w:num="1">
            <w:col w:w="9019"/>
          </w:cols>
          <w:pgMar w:left="1440" w:top="1440" w:right="1440" w:bottom="1440" w:gutter="0" w:footer="0" w:header="0"/>
          <w:type w:val="continuous"/>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1692275</wp:posOffset>
            </wp:positionH>
            <wp:positionV relativeFrom="page">
              <wp:posOffset>88900</wp:posOffset>
            </wp:positionV>
            <wp:extent cx="4185285" cy="63544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4185285" cy="635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FLOOR PLAN OF THIRD EXPANSION SPACE</w:t>
      </w:r>
    </w:p>
    <w:p>
      <w:pPr>
        <w:sectPr>
          <w:pgSz w:w="11900" w:h="16838" w:orient="portrait"/>
          <w:cols w:equalWidth="0" w:num="1">
            <w:col w:w="9019"/>
          </w:cols>
          <w:pgMar w:left="1440" w:top="1440" w:right="1440" w:bottom="1440" w:gutter="0" w:footer="0" w:header="0"/>
          <w:type w:val="continuous"/>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1692275</wp:posOffset>
            </wp:positionH>
            <wp:positionV relativeFrom="page">
              <wp:posOffset>88900</wp:posOffset>
            </wp:positionV>
            <wp:extent cx="4176395" cy="62687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4176395" cy="626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440"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WORK LETTER</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This Tenant Work Letter (“Tenant Work Letter”) shall set forth the terms and conditions relating to the construction of the Premises. All references in this Tenant Work Letter to the “Lease” shall mean the relevant portions of the Lease to which this Tenant Work Letter is attached as Exhibit C. Unless otherwise expressly defined herein, all initially-capitalized terms herein shall have the meaning ascribed to them in the Lease.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SECTION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BASE, SHELL AND CORE</w:t>
      </w:r>
    </w:p>
    <w:p>
      <w:pPr>
        <w:spacing w:after="0" w:line="22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Landlord has previously constructed the base, shell and core (i) of the Premises and (ii) of the floor(s) of the Building on which the Premises are located (collectively, the “Base, Shell and Core”), and Tenant shall accept the Base, Shell and Core pursuant and subject to the terms and conditions of the Lease, including Section 4(a) thereof.</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SECTION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TENANT IMPROVEMENTS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Tenant Improvement Allowance</w:t>
      </w:r>
      <w:r>
        <w:rPr>
          <w:rFonts w:ascii="Arial" w:cs="Arial" w:eastAsia="Arial" w:hAnsi="Arial"/>
          <w:sz w:val="16"/>
          <w:szCs w:val="16"/>
          <w:color w:val="auto"/>
        </w:rPr>
        <w:t>. Tenant shall be entitled to (i) a tenant improvement allowance in the amount of up to, but not exceeding Seventy-Five Dollars ($75.00) per rentable square foot of the ground floor portion of the Premises (i.e., up to One Million One Hundred Twenty-Four Thousand One Hundred Dollars ($1,124,100.00) based on 14,988 rentable square feet of the ground floor portion of the Premises) (the “Allowance A”), (ii) a tenant improvement allowance in the amount of up to, but not exceeding, Thirty Dollars ($30.00) per rentable square foot of the third floor portion of the Premises (i.e., up to Nine Hundred Seventy-Two Thousand Four Hundred Eighty Dollars ($972,480.00) based on 32,416 rentable square feet in the third floor</w:t>
      </w:r>
    </w:p>
    <w:p>
      <w:pPr>
        <w:sectPr>
          <w:pgSz w:w="11900" w:h="16838" w:orient="portrait"/>
          <w:cols w:equalWidth="0" w:num="1">
            <w:col w:w="11400"/>
          </w:cols>
          <w:pgMar w:left="240" w:top="1440" w:right="259" w:bottom="0" w:gutter="0" w:footer="0" w:header="0"/>
          <w:type w:val="continuous"/>
        </w:sectPr>
      </w:pPr>
    </w:p>
    <w:bookmarkStart w:id="84" w:name="page85"/>
    <w:bookmarkEnd w:id="84"/>
    <w:p>
      <w:pPr>
        <w:spacing w:after="0" w:line="10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portion of the Premises) (the “Allowance B”), (iii) a tenant improvement allowance in an amount of up to, but not exceeding, One Hundred Fifty Thousand Dollars ($150,000.00) (“Allowance C”) for the installation of (a) a staging and receiving area into the Building off of the parking lot, (b) supplemental HVAC units on the roof of the Building serving the ground floor portion of the Premises (the “Tenant Rooftop Unit(s)”), and (c) an emergency generator and pad enclosed in an area outside of the Building selected by Landlord, (iv) an additional allowance equal to Five Hundred Thousand Dollars ($500,000.00) (“Allowance D”) and (v) a tenant improvement allowance up to but not exceeding Fifty Dollars ($50.00) per rentable square foot of the second floor portion of the Premises (i.e., up to Five Hundred Sixty-One Thousand Fifty Dollars ($561,050.00) based on 11,221 rentable square feet in the second floor portion of the Premises (“Allowance E”), together with Allowance A, Allowance B, Allowance C and Allowance D, are collectively referred to herein as the “Allowances”) to help Tenant pay for the costs of Tenant’s alterations and improvements to the Premises, Building and/or the Land (collectively, the “Tenant Improvements”), including the design, permitting and construction thereof; provided, however, that Landlord shall have no obligation to disburse all or any portion of the Allowances to Tenant unless Tenant makes a request for disbursement pursuant to the terms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and conditions of Section 2.2 below prior to (y) that date which is twelve (12) months after the Rent Commencement Date (which period shall be extended on a day for day basis for each day of Force Majeure delay and/or Landlord Delay) with respect to Allowance C and any Tenant Improvements installed in the Premises prior to the exercise of Tenant’s exercise of its right to the First Expansion Space, the Second Expansion Space, and/or the Third Expansion Space, as the case may be, or (z) the date that is twelve (12) months after the Expansion Space Commencement Date for the First Expansion Space, the Second Expansion Space and/or the Third Expansion Space (which period shall be extended on a day for day basis for each day of Force Majeure delay and/or Landlord Delay), with respect to any Tenant Improvements installed within the applicable Expansion Space or otherwise within the Building or the Premises in connection therewith. In addition to the foregoing, in the event that Tenant exercises its right to the First Expansion Space, the Second Expansion Space and/or the Third Expansion Space, (A) Tenant shall be entitled to an additional tenant improvement allowance in connection with each such Expansion Space (each an “Expansion Improvement Allowance”), which Expansion Improvement Allowances shall be in amounts equal to the product of the Rentable Square Footage of the applicable Expansion Space and the applicable per square foot amount for the improvement allowance specified in Section 54 of the Lease, and (B) the Expansion Improvement Allowances shall be added and included as part of the “Allowances” for the purposes of this Tenant Work Letter. Notwithstanding anything to the contrary herein, Tenant shall have the right, in its sole discretion, to apply any, or the entire portion, of each of Allowance A, Allowance B, and Allowance D to Tenant Improvements on any floor of the Building or any exterior portions of the Building and/or Land where the Tenant Improvements may be situated. Without deduction from the Allowances, Landlord shall also pay for the cost of one (1) initial space plan and one</w:t>
      </w:r>
    </w:p>
    <w:p>
      <w:pPr>
        <w:spacing w:after="0" w:line="2" w:lineRule="exact"/>
        <w:rPr>
          <w:sz w:val="20"/>
          <w:szCs w:val="20"/>
          <w:color w:val="auto"/>
        </w:rPr>
      </w:pPr>
    </w:p>
    <w:p>
      <w:pPr>
        <w:ind w:right="160" w:firstLine="8"/>
        <w:spacing w:after="0" w:line="255" w:lineRule="auto"/>
        <w:tabs>
          <w:tab w:leader="none" w:pos="2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revision. In no event shall Landlord be obligated to make disbursements pursuant to this Tenant Work Letter in a total amount which exceeds the Allowances. Tenant shall not be entitled to receive any cash payment or credit against Rent or otherwise for any unused portion of the Allowances which is not used to pay for the Tenant Improvement Allowance Items (as defined below).</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Disbursement of the Tenant Improvement Allowance</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Tenant Improvement Allowance Items</w:t>
      </w:r>
      <w:r>
        <w:rPr>
          <w:rFonts w:ascii="Arial" w:cs="Arial" w:eastAsia="Arial" w:hAnsi="Arial"/>
          <w:sz w:val="18"/>
          <w:szCs w:val="18"/>
          <w:color w:val="auto"/>
        </w:rPr>
        <w:t>. Except as otherwise set forth in this Tenant Work Letter, the Allowances shall be disbursed by Landlord for the actual documented costs of the design, permitting, construction and installation of the Tenant Improvements, including, without limitation, the following items and costs (collectively, the “Tenant Improvement Allowance Items”):</w:t>
      </w:r>
    </w:p>
    <w:p>
      <w:pPr>
        <w:spacing w:after="0" w:line="181" w:lineRule="exact"/>
        <w:rPr>
          <w:sz w:val="20"/>
          <w:szCs w:val="20"/>
          <w:color w:val="auto"/>
        </w:rPr>
      </w:pPr>
    </w:p>
    <w:p>
      <w:pPr>
        <w:ind w:right="20" w:firstLine="1945"/>
        <w:spacing w:after="0" w:line="257" w:lineRule="auto"/>
        <w:rPr>
          <w:sz w:val="20"/>
          <w:szCs w:val="20"/>
          <w:color w:val="auto"/>
        </w:rPr>
      </w:pPr>
      <w:r>
        <w:rPr>
          <w:rFonts w:ascii="Arial" w:cs="Arial" w:eastAsia="Arial" w:hAnsi="Arial"/>
          <w:sz w:val="18"/>
          <w:szCs w:val="18"/>
          <w:color w:val="auto"/>
        </w:rPr>
        <w:t>2.2.1.1 Payment of (i) the fees of the Architect and the Engineers (as such terms are defined below), provided, however, that only an amount not to exceed Six Dollars ($6.00) per rentable square foot of the Premises (i.e., up to Three Hundred Fifty-One Thousand Seven Hundred Fifty Dollars ($351,750.00) based on 58,625 rentable square feet of the Premises) may be deducted from the Tenant Improvement Allowance to pay for such fees, and (ii)the fees incurred by, and the cost of documents and materials supplied by, Landlord and Landlord’s consultants in connection with the preparation and review of the Construction Drawings (as defined below);</w:t>
      </w:r>
    </w:p>
    <w:p>
      <w:pPr>
        <w:spacing w:after="0" w:line="188"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6"/>
          <w:szCs w:val="16"/>
          <w:color w:val="auto"/>
        </w:rPr>
        <w:t>The payment of plan check, permit and license fees relating to construction of the Tenant Improvements;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firstLine="1945"/>
        <w:spacing w:after="0" w:line="277" w:lineRule="auto"/>
        <w:rPr>
          <w:sz w:val="20"/>
          <w:szCs w:val="20"/>
          <w:color w:val="auto"/>
        </w:rPr>
      </w:pPr>
      <w:r>
        <w:rPr>
          <w:rFonts w:ascii="Arial" w:cs="Arial" w:eastAsia="Arial" w:hAnsi="Arial"/>
          <w:sz w:val="18"/>
          <w:szCs w:val="18"/>
          <w:color w:val="auto"/>
        </w:rPr>
        <w:t>2.2.1.3 The cost of construction of the Tenant Improvements, including, without limitation, contractors’ fees and general conditions, testing, commissioning, and inspection costs, costs of utilities, trash removal, parking and hoists;</w:t>
      </w:r>
    </w:p>
    <w:p>
      <w:pPr>
        <w:spacing w:after="0" w:line="170" w:lineRule="exact"/>
        <w:rPr>
          <w:sz w:val="20"/>
          <w:szCs w:val="20"/>
          <w:color w:val="auto"/>
        </w:rPr>
      </w:pPr>
    </w:p>
    <w:p>
      <w:pPr>
        <w:ind w:right="100" w:firstLine="1945"/>
        <w:spacing w:after="0" w:line="264" w:lineRule="auto"/>
        <w:rPr>
          <w:sz w:val="20"/>
          <w:szCs w:val="20"/>
          <w:color w:val="auto"/>
        </w:rPr>
      </w:pPr>
      <w:r>
        <w:rPr>
          <w:rFonts w:ascii="Arial" w:cs="Arial" w:eastAsia="Arial" w:hAnsi="Arial"/>
          <w:sz w:val="18"/>
          <w:szCs w:val="18"/>
          <w:color w:val="auto"/>
        </w:rPr>
        <w:t>2.2.1.4 The cost of any changes in the Base, Shell and Core work when such changes are required by the Construction Drawings (including if such changes are due to the fact that such work is prepared on an unoccupied basis), such cost to include all direct architectural and/or engineering fees and expenses incurred in connection therewith;</w:t>
      </w:r>
    </w:p>
    <w:p>
      <w:pPr>
        <w:spacing w:after="0" w:line="181"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2.2.1.5</w:t>
      </w:r>
      <w:r>
        <w:rPr>
          <w:sz w:val="20"/>
          <w:szCs w:val="20"/>
          <w:color w:val="auto"/>
        </w:rPr>
        <w:tab/>
      </w:r>
      <w:r>
        <w:rPr>
          <w:rFonts w:ascii="Arial" w:cs="Arial" w:eastAsia="Arial" w:hAnsi="Arial"/>
          <w:sz w:val="16"/>
          <w:szCs w:val="16"/>
          <w:color w:val="auto"/>
        </w:rPr>
        <w:t>The cost of any changes to the Construction Drawings or Tenant Improvements required by applicable laws;</w:t>
      </w:r>
    </w:p>
    <w:p>
      <w:pPr>
        <w:spacing w:after="0" w:line="22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2.2.1.6</w:t>
      </w:r>
      <w:r>
        <w:rPr>
          <w:sz w:val="20"/>
          <w:szCs w:val="20"/>
          <w:color w:val="auto"/>
        </w:rPr>
        <w:tab/>
      </w:r>
      <w:r>
        <w:rPr>
          <w:rFonts w:ascii="Arial" w:cs="Arial" w:eastAsia="Arial" w:hAnsi="Arial"/>
          <w:sz w:val="15"/>
          <w:szCs w:val="15"/>
          <w:color w:val="auto"/>
        </w:rPr>
        <w:t>Sales and use taxes and Title 24 fees;</w:t>
      </w:r>
    </w:p>
    <w:p>
      <w:pPr>
        <w:spacing w:after="0" w:line="22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2.2.1.7</w:t>
      </w:r>
      <w:r>
        <w:rPr>
          <w:sz w:val="20"/>
          <w:szCs w:val="20"/>
          <w:color w:val="auto"/>
        </w:rPr>
        <w:tab/>
      </w:r>
      <w:r>
        <w:rPr>
          <w:rFonts w:ascii="Arial" w:cs="Arial" w:eastAsia="Arial" w:hAnsi="Arial"/>
          <w:sz w:val="16"/>
          <w:szCs w:val="16"/>
          <w:color w:val="auto"/>
        </w:rPr>
        <w:t>The Coordination Fee (as defined below); and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2.2.1.8 All other costs to be expended by Tenant in connection with the design, permitting and construction of the Tenant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Improvements; and</w:t>
      </w:r>
    </w:p>
    <w:p>
      <w:pPr>
        <w:spacing w:after="0" w:line="211"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Disbursement of Allowances</w:t>
      </w:r>
      <w:r>
        <w:rPr>
          <w:rFonts w:ascii="Arial" w:cs="Arial" w:eastAsia="Arial" w:hAnsi="Arial"/>
          <w:sz w:val="18"/>
          <w:szCs w:val="18"/>
          <w:color w:val="auto"/>
        </w:rPr>
        <w:t>. Subject to Section 2.1 above, during the construction of the Tenant Improvements, Landlord shall make monthly disbursements of the Allowances for Tenant Improvement Allowance Items for the benefit of Tenant and shall authorize the release of monies for the benefit of Tenant as follows:</w:t>
      </w:r>
    </w:p>
    <w:p>
      <w:pPr>
        <w:spacing w:after="0" w:line="181" w:lineRule="exact"/>
        <w:rPr>
          <w:sz w:val="20"/>
          <w:szCs w:val="20"/>
          <w:color w:val="auto"/>
        </w:rPr>
      </w:pPr>
    </w:p>
    <w:p>
      <w:pPr>
        <w:ind w:right="80" w:firstLine="1945"/>
        <w:spacing w:after="0" w:line="291" w:lineRule="auto"/>
        <w:rPr>
          <w:sz w:val="20"/>
          <w:szCs w:val="20"/>
          <w:color w:val="auto"/>
        </w:rPr>
      </w:pPr>
      <w:r>
        <w:rPr>
          <w:rFonts w:ascii="Arial" w:cs="Arial" w:eastAsia="Arial" w:hAnsi="Arial"/>
          <w:sz w:val="16"/>
          <w:szCs w:val="16"/>
          <w:color w:val="auto"/>
        </w:rPr>
        <w:t xml:space="preserve">2.2.2.1 </w:t>
      </w:r>
      <w:r>
        <w:rPr>
          <w:rFonts w:ascii="Arial" w:cs="Arial" w:eastAsia="Arial" w:hAnsi="Arial"/>
          <w:sz w:val="16"/>
          <w:szCs w:val="16"/>
          <w:u w:val="single" w:color="auto"/>
          <w:color w:val="auto"/>
        </w:rPr>
        <w:t>Monthly Disbursements</w:t>
      </w:r>
      <w:r>
        <w:rPr>
          <w:rFonts w:ascii="Arial" w:cs="Arial" w:eastAsia="Arial" w:hAnsi="Arial"/>
          <w:sz w:val="16"/>
          <w:szCs w:val="16"/>
          <w:color w:val="auto"/>
        </w:rPr>
        <w:t>. From time to time during the construction of the Tenant Improvements (but no more frequently than monthly), Tenant may deliver to Landlord: (i) a request for payment of the Contractor (as defined below), in a commercially reasonable form;</w:t>
      </w:r>
    </w:p>
    <w:p>
      <w:pPr>
        <w:ind w:right="40" w:firstLine="8"/>
        <w:spacing w:after="0" w:line="302" w:lineRule="auto"/>
        <w:tabs>
          <w:tab w:leader="none" w:pos="26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invoices from those Tenant’s Agents (as defined below) seeking payment for labor rendered and materials delivered to the Premises; and (iii) executed conditional mechanic’s lien releases from those Tenant’s Agents seeking payment pursuant to Tenant’s request for payment, which releases shall comply with the appropriate provisions of California Civil Code Section 8132. Following Landlord’s receipt of a completed disbursement request submission, Landlord</w:t>
      </w:r>
    </w:p>
    <w:p>
      <w:pPr>
        <w:sectPr>
          <w:pgSz w:w="11900" w:h="16944" w:orient="portrait"/>
          <w:cols w:equalWidth="0" w:num="1">
            <w:col w:w="11400"/>
          </w:cols>
          <w:pgMar w:left="240" w:top="125" w:right="259" w:bottom="0" w:gutter="0" w:footer="0" w:header="0"/>
        </w:sectPr>
      </w:pPr>
    </w:p>
    <w:bookmarkStart w:id="85" w:name="page86"/>
    <w:bookmarkEnd w:id="85"/>
    <w:p>
      <w:pPr>
        <w:spacing w:after="0" w:line="270" w:lineRule="auto"/>
        <w:rPr>
          <w:sz w:val="20"/>
          <w:szCs w:val="20"/>
          <w:color w:val="auto"/>
        </w:rPr>
      </w:pPr>
      <w:r>
        <w:rPr>
          <w:rFonts w:ascii="Arial" w:cs="Arial" w:eastAsia="Arial" w:hAnsi="Arial"/>
          <w:sz w:val="17"/>
          <w:szCs w:val="17"/>
          <w:color w:val="auto"/>
        </w:rPr>
        <w:t>shall promptly (and in no event later than ten (10) business days following Landlord’s receipt of a completed disbursement request submission) deliver a check to Tenant made jointly payable to the Contractor and Tenant in payment of the lesser of (A) the amounts so requested by Tenant, as set forth in this Section 2.2.2.1, above, less a ten percent (10%) retention (the aggregate amount of such retentions to be known as the “Final Retention”) and (B) the balance of any remaining available portion of the Allowances (not including the Final Retention), provided that Landlord does not, within five (5) business days of Landlord’s receipt of a request for payment, reasonably dispute in writing such request for payment based on material non-compliance of any work with the Approved Working Drawings (as defined below), as the same may be modified pursuant to the terms hereof, which writing shall include a reasonably detailed explanation of the basis for Landlord’s reasonable dispute. In the event that Landlord timely disputes a request for payment, (y) if Tenant agrees with Landlord’s conclusion, then Tenant shall remedy such material non-compliance and notify Landlord in writing of such non-compliance, in which event the applicable portion of the Allowances shall be disbursed by Landlord as part of the disbursement of the Allowance by Landlord that follows such remedy and notice to Landlord by Tenant or (z) if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Tenant disagrees with Landlord’s conclusion, then Tenant shall have the right to have such disagreement resolved pursuant to the terms of Section 5.6 of this Tenant Work Letter. Landlord’s payment of such amounts shall not be deemed Landlord’s approval or acceptance of the work furnished or materials supplied as set forth in Tenant’s payment request.</w:t>
      </w:r>
    </w:p>
    <w:p>
      <w:pPr>
        <w:spacing w:after="0" w:line="181" w:lineRule="exact"/>
        <w:rPr>
          <w:sz w:val="20"/>
          <w:szCs w:val="20"/>
          <w:color w:val="auto"/>
        </w:rPr>
      </w:pPr>
    </w:p>
    <w:p>
      <w:pPr>
        <w:ind w:firstLine="1945"/>
        <w:spacing w:after="0" w:line="271" w:lineRule="auto"/>
        <w:rPr>
          <w:sz w:val="20"/>
          <w:szCs w:val="20"/>
          <w:color w:val="auto"/>
        </w:rPr>
      </w:pPr>
      <w:r>
        <w:rPr>
          <w:rFonts w:ascii="Arial" w:cs="Arial" w:eastAsia="Arial" w:hAnsi="Arial"/>
          <w:sz w:val="17"/>
          <w:szCs w:val="17"/>
          <w:color w:val="auto"/>
        </w:rPr>
        <w:t xml:space="preserve">2.2.2.2 </w:t>
      </w:r>
      <w:r>
        <w:rPr>
          <w:rFonts w:ascii="Arial" w:cs="Arial" w:eastAsia="Arial" w:hAnsi="Arial"/>
          <w:sz w:val="17"/>
          <w:szCs w:val="17"/>
          <w:u w:val="single" w:color="auto"/>
          <w:color w:val="auto"/>
        </w:rPr>
        <w:t>Final Retention</w:t>
      </w:r>
      <w:r>
        <w:rPr>
          <w:rFonts w:ascii="Arial" w:cs="Arial" w:eastAsia="Arial" w:hAnsi="Arial"/>
          <w:sz w:val="17"/>
          <w:szCs w:val="17"/>
          <w:color w:val="auto"/>
        </w:rPr>
        <w:t>. Subject to the provisions of this Tenant Work Letter, a check for the Final Retention payable jointly to Tenant and Contractor shall be delivered by Landlord to Tenant following the completion of construction of the Premises, provided that (i) Landlord has approved (or is deemed to have approved) the Tenant Improvements pursuant to Section 4.2.5 of this Tenant Work Letter; and (ii) Tenant has delivered to Landlord: (A) properly executed and final unconditional mechanics lien releases in compliance with the appropriate provisions of California Civil Code Section 8138; (B) a certificate of occupancy (or its legal equivalent if a certificate is not available) or permit cards signed off by the City of South San Francisco (the “City”) with respect to the Premises; (C) a copy of the City-permitted plans for the Tenant Improvements; (D) where reasonably available, operation manuals and warranties for equipment included within the Tenant Improvements, if applicable; (E) a copy of Tenant’s construction contract with the Contractor; and (G) the Contractor’s schedule of values, showing total contract value.</w:t>
      </w:r>
    </w:p>
    <w:p>
      <w:pPr>
        <w:spacing w:after="0" w:line="179" w:lineRule="exact"/>
        <w:rPr>
          <w:sz w:val="20"/>
          <w:szCs w:val="20"/>
          <w:color w:val="auto"/>
        </w:rPr>
      </w:pPr>
    </w:p>
    <w:p>
      <w:pPr>
        <w:ind w:right="120" w:firstLine="1945"/>
        <w:spacing w:after="0" w:line="277" w:lineRule="auto"/>
        <w:rPr>
          <w:sz w:val="20"/>
          <w:szCs w:val="20"/>
          <w:color w:val="auto"/>
        </w:rPr>
      </w:pPr>
      <w:r>
        <w:rPr>
          <w:rFonts w:ascii="Arial" w:cs="Arial" w:eastAsia="Arial" w:hAnsi="Arial"/>
          <w:sz w:val="18"/>
          <w:szCs w:val="18"/>
          <w:color w:val="auto"/>
        </w:rPr>
        <w:t xml:space="preserve">2.2.2.3 </w:t>
      </w:r>
      <w:r>
        <w:rPr>
          <w:rFonts w:ascii="Arial" w:cs="Arial" w:eastAsia="Arial" w:hAnsi="Arial"/>
          <w:sz w:val="18"/>
          <w:szCs w:val="18"/>
          <w:u w:val="single" w:color="auto"/>
          <w:color w:val="auto"/>
        </w:rPr>
        <w:t>Other Terms</w:t>
      </w:r>
      <w:r>
        <w:rPr>
          <w:rFonts w:ascii="Arial" w:cs="Arial" w:eastAsia="Arial" w:hAnsi="Arial"/>
          <w:sz w:val="18"/>
          <w:szCs w:val="18"/>
          <w:color w:val="auto"/>
        </w:rPr>
        <w:t>. Landlord shall only be obligated to make disbursements of the Allowances to the extent costs are incurred by Tenant for Tenant Improvement Allowance Items.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CONSTRUCTION DRAWINGS</w:t>
      </w:r>
    </w:p>
    <w:p>
      <w:pPr>
        <w:spacing w:after="0" w:line="229"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Selection of Architect/Construction Drawings</w:t>
      </w:r>
      <w:r>
        <w:rPr>
          <w:rFonts w:ascii="Arial" w:cs="Arial" w:eastAsia="Arial" w:hAnsi="Arial"/>
          <w:sz w:val="16"/>
          <w:szCs w:val="16"/>
          <w:color w:val="auto"/>
        </w:rPr>
        <w:t>. Tenant has retained (with Landlord’s consent) DGA as Tenant’s architect/space planner (the “Architect”) to prepare the Construction Drawings. Tenant shall have the right to submit the names of additional architects to Landlord for Landlord’s reasonable approval. Tenant shall retain engineering consultants designated by Tenant and reasonably approved by Landlord (which may be employees or contractors of the Architect) (the “Engineers”) to prepare all plans and engineering working drawings relating to the structural, mechanical, electrical, plumbing, HVAC, life-safety, and sprinkler work in the Premises (the approval of which by Landlord shall not be unreasonably withheld, conditioned or delayed). Tenant shall have the right to submit the names of additional engineers to Landlord for Landlord’s reasonable approval. Notwithstanding anything to the contrary herein, except to the extent that an alternative process or set of time frames is expressly set forth in this Tenant Work Letter, the following (the “Landlord Approval Process”) shall apply to all items and matters requiring Landlord’s approval or consent pursuant to this Tenant Work Letter (including Landlord’s approval of the Architect, the Engineers, the Final Test Fit Plan and the Construction Drawings): (i) within five (5) business days of Landlord’s receipt from Tenant of a written request for approval of an item or matter, Landlord shall respond to Tenant in writing either approving such item or matter, or reasonably disapproving such item or matter, which reasonable disapproval shall include a reasonably detailed explanation of the basis therefor;</w:t>
      </w:r>
    </w:p>
    <w:p>
      <w:pPr>
        <w:spacing w:after="0" w:line="5" w:lineRule="exact"/>
        <w:rPr>
          <w:sz w:val="20"/>
          <w:szCs w:val="20"/>
          <w:color w:val="auto"/>
        </w:rPr>
      </w:pPr>
    </w:p>
    <w:p>
      <w:pPr>
        <w:ind w:right="540" w:firstLine="8"/>
        <w:spacing w:after="0" w:line="261" w:lineRule="auto"/>
        <w:tabs>
          <w:tab w:leader="none" w:pos="26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Landlord’s failure to respond to a request for approval of an item or matter within such five (5) business day period, if such failure continues for an additional two (2) business days after Tenant’s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second request, shall be deemed to be Landlord’s approval of such item or matter; (iii) if Landlord timely and reasonably disapproves of such item or matter,</w:t>
      </w:r>
    </w:p>
    <w:p>
      <w:pPr>
        <w:spacing w:after="0" w:line="46" w:lineRule="exact"/>
        <w:rPr>
          <w:sz w:val="20"/>
          <w:szCs w:val="20"/>
          <w:color w:val="auto"/>
        </w:rPr>
      </w:pPr>
    </w:p>
    <w:p>
      <w:pPr>
        <w:ind w:firstLine="8"/>
        <w:spacing w:after="0" w:line="267" w:lineRule="auto"/>
        <w:tabs>
          <w:tab w:leader="none" w:pos="24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if Tenant agrees with Landlord’s conclusion, then Tenant shall have the right to remedy the basis of such disapproval and resubmit the item or matter for Landlord’s approval, in which event the foregoing process shall recommence or (b) if Tenant disagrees with Landlord’s conclusion, then Tenant shall have the right to have such disagreement resolved pursuant to Section 5.6 of this Tenant Work Letter. The plans and drawings to be prepared by Architect and the Engineers hereunder shall be known collectively as the “Construction Drawings.” All Construction Drawings shall be in PDF format and shall be in substantial accordance with industry standard, and shall be subject to Landlord’s reasonable approval. Tenant and Architect shall have the right, but not the obligation, to verify, in the field, the dimensions and conditions as shown on the relevant portions of the base building plans; provided, however that Landlord shall retain responsibility in connection therewith to the extent that Landlord is responsible for same pursuant to the Lease. Landlord’s review of the Construction Drawings as set forth in this Section 3, shall be for its sole purpose and shall not imply Landlord’s review of the same, or obligate Landlord to review the same, for quality, design, Code compliance or other like matters. Accordingly, notwithstanding that any Construction Drawings are reviewed by Landlord or its space planner, architect, engineers and consultants, and notwithstanding any advice or assistance which may be rendered to Tenant by Landlord or Landlord’s space planner, architect, engineers, and consultants, Landlord shall have no liability whatsoever for such review, advice or assistance and shall not be responsible for any omissions or errors contained in the Construction Drawings unless the same is the direct result of Landlord required changes to the Construction Drawings.</w:t>
      </w:r>
    </w:p>
    <w:p>
      <w:pPr>
        <w:spacing w:after="0" w:line="184"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Test Fit Plan</w:t>
      </w:r>
      <w:r>
        <w:rPr>
          <w:rFonts w:ascii="Arial" w:cs="Arial" w:eastAsia="Arial" w:hAnsi="Arial"/>
          <w:sz w:val="17"/>
          <w:szCs w:val="17"/>
          <w:color w:val="auto"/>
        </w:rPr>
        <w:t>. Tenant shall supply Landlord with four (4) copies signed by Tenant of its final test fit plan for the Premises before any architectural working drawings or engineering drawings have been commenced. The final space plan (the “Final Test Fit Plan”) shall include a layout and designation of all offices, rooms and other partitioning, and their intended use. Landlord may reasonably request clarification or more specific drawings for special use items not included in the Final Test Fit Plan. Within five (5) business days after Landlord’s receipt of the Final Test Fit Plan for the Premises, Landlord shall either approve the Final Test Fit Plan or reasonably disapprove the same, which reasonable disapproval shall include a reasonably detailed explanation of the basis therefor, and the Landlord Approval Process shall apply.</w:t>
      </w:r>
    </w:p>
    <w:p>
      <w:pPr>
        <w:sectPr>
          <w:pgSz w:w="11900" w:h="16838" w:orient="portrait"/>
          <w:cols w:equalWidth="0" w:num="1">
            <w:col w:w="11400"/>
          </w:cols>
          <w:pgMar w:left="240" w:top="125" w:right="259" w:bottom="0" w:gutter="0" w:footer="0" w:header="0"/>
        </w:sectPr>
      </w:pPr>
    </w:p>
    <w:bookmarkStart w:id="86" w:name="page87"/>
    <w:bookmarkEnd w:id="86"/>
    <w:p>
      <w:pPr>
        <w:spacing w:after="0" w:line="13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Final Working Drawings</w:t>
      </w:r>
      <w:r>
        <w:rPr>
          <w:rFonts w:ascii="Arial" w:cs="Arial" w:eastAsia="Arial" w:hAnsi="Arial"/>
          <w:sz w:val="18"/>
          <w:szCs w:val="18"/>
          <w:color w:val="auto"/>
        </w:rPr>
        <w:t>. After the Final Test Fit Plan has been approved by Landlord and Tenant, Tenant shall cause the Architect and the Engineers to complete the architectural and engineering drawings for the Premises, and cause the Architect to annotate the Final Test Fit Plan in a manner which is sufficient to allow subcontractors to bid on the work and to obtain all applicable permits for the Tenant Improvements (collectively, the “Final Working Drawings”), and shall submit the same to Landlord for Landlord’s reasonable approval. Tenant shall supply Landlord with four (4) copies signed by Tenant of such Final Working Drawings. Within five (5) business days after Landlord’s receipt of the Final Working Drawings, Landlord shall either approve the Final Working Drawings or reasonably disapprove the same, which reasonable disapproval shall include a reasonably detailed explanation of the basis therefor, and the Landlord Approval Process shall apply.</w:t>
      </w:r>
    </w:p>
    <w:p>
      <w:pPr>
        <w:spacing w:after="0" w:line="18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Approved Working Drawings</w:t>
      </w:r>
      <w:r>
        <w:rPr>
          <w:rFonts w:ascii="Arial" w:cs="Arial" w:eastAsia="Arial" w:hAnsi="Arial"/>
          <w:sz w:val="18"/>
          <w:szCs w:val="18"/>
          <w:color w:val="auto"/>
        </w:rPr>
        <w:t>. The Final Working Drawings shall be approved (or deemed approved) by Landlord (the “Approved Working Drawings”) pursuant to the Landlord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Approval Process prior to the commencement of construction of the Premises by Tenant. After approval or deemed approval by Landlord of the Final Working Drawings, Tenant shall submit the same to the appropriate governmental authorities for all applicable building permits. Tenant hereby agrees that neither Landlord nor Landlord’s consultants shall be responsible for obtaining any building permit or certificate of occupancy for the Premises and that obtaining the same shall be Tenant’s responsibility; provided, however, that Landlord shall cooperate with Tenant in executing permit applications and performing other acts reasonably necessary to enable Tenant to obtain any such permit or certificate of occupancy. Except as otherwise provided below in this paragraph, no changes, modifications or alterations (collectively “Changes”) in the Approved Working Drawings may be made without the prior written consent of Landlord, which consent shall not be unreasonably withheld.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4</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u w:val="single" w:color="auto"/>
          <w:color w:val="auto"/>
        </w:rPr>
        <w:t>CONSTRUCTION OF THE TENANT IMPROVEMENTS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Tenant’s Selection of Contractor and Tenant’s Agents</w:t>
      </w:r>
      <w:r>
        <w:rPr>
          <w:rFonts w:ascii="Arial" w:cs="Arial" w:eastAsia="Arial" w:hAnsi="Arial"/>
          <w:sz w:val="16"/>
          <w:szCs w:val="16"/>
          <w:color w:val="auto"/>
        </w:rPr>
        <w:t>.</w:t>
      </w:r>
    </w:p>
    <w:p>
      <w:pPr>
        <w:spacing w:after="0" w:line="225" w:lineRule="exact"/>
        <w:rPr>
          <w:sz w:val="20"/>
          <w:szCs w:val="20"/>
          <w:color w:val="auto"/>
        </w:rPr>
      </w:pPr>
    </w:p>
    <w:p>
      <w:pPr>
        <w:ind w:right="120" w:firstLine="1297"/>
        <w:spacing w:after="0" w:line="291"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The Contractor</w:t>
      </w:r>
      <w:r>
        <w:rPr>
          <w:rFonts w:ascii="Arial" w:cs="Arial" w:eastAsia="Arial" w:hAnsi="Arial"/>
          <w:sz w:val="16"/>
          <w:szCs w:val="16"/>
          <w:color w:val="auto"/>
        </w:rPr>
        <w:t>. Tenant shall select and retain a general contractor to construct the Tenant Improvements through a competitive bidding process, and Landlord hereby approves the following general contractors: BN Builders; XL Construction; Dome Construction; and Landmark Builders Inc. Tenant shall have the right to submit the names of additional general contractors to Landlord for Landlord’s reasonable approval. Tenant shall reasonably select the general contractor from the bidders reasonably approved by Landlord. Tenant may, but shall not be required to select the contractor submitting the lowest bid; provided, however, that Tenant shall select the general contractor based upon commercially reasonable factors, which factors shall include cost. Following such competitive bidding process and Tenant’s selection of a general contractor in accordance with the terms hereof, Tenant shall deliver to Landlord notice of its selection of the general contractor upon such selection, which contractor shall thereafter be the “Contractor” hereunder.</w:t>
      </w:r>
    </w:p>
    <w:p>
      <w:pPr>
        <w:spacing w:after="0" w:line="167"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Tenant’s Agents</w:t>
      </w:r>
      <w:r>
        <w:rPr>
          <w:rFonts w:ascii="Arial" w:cs="Arial" w:eastAsia="Arial" w:hAnsi="Arial"/>
          <w:sz w:val="18"/>
          <w:szCs w:val="18"/>
          <w:color w:val="auto"/>
        </w:rPr>
        <w:t>. All subcontractors, laborers, materialmen, and suppliers used by Tenant (such subcontractors, laborers, materialmen, and suppliers, and the Contractor to be known collectively as “Tenant’s Agents”) must be approved in writing by Landlord, which approval shall not be unreasonably withheld or delayed; provided that, in any event, Tenant must contract with Landlord’s base building subcontractors for connecting Tenant’s electrical system to the base building electrical system.</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Construction of Tenant Improvements by Tenant’s Agents</w:t>
      </w:r>
      <w:r>
        <w:rPr>
          <w:rFonts w:ascii="Arial" w:cs="Arial" w:eastAsia="Arial" w:hAnsi="Arial"/>
          <w:sz w:val="16"/>
          <w:szCs w:val="16"/>
          <w:color w:val="auto"/>
        </w:rPr>
        <w:t>.</w:t>
      </w:r>
    </w:p>
    <w:p>
      <w:pPr>
        <w:spacing w:after="0" w:line="225" w:lineRule="exact"/>
        <w:rPr>
          <w:sz w:val="20"/>
          <w:szCs w:val="20"/>
          <w:color w:val="auto"/>
        </w:rPr>
      </w:pPr>
    </w:p>
    <w:p>
      <w:pPr>
        <w:ind w:right="160" w:firstLine="1297"/>
        <w:spacing w:after="0" w:line="257"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Construction Contract; Cost Budget</w:t>
      </w:r>
      <w:r>
        <w:rPr>
          <w:rFonts w:ascii="Arial" w:cs="Arial" w:eastAsia="Arial" w:hAnsi="Arial"/>
          <w:sz w:val="18"/>
          <w:szCs w:val="18"/>
          <w:color w:val="auto"/>
        </w:rPr>
        <w:t>. Within ten (10) business days following Tenant’s execution of the construction contract and general conditions with Contractor (the “Contract”), Tenant shall deliver a copy thereof to Landlord. Prior to the commencement of the construction of the Tenant Improvements, and after Tenant has accepted all bids for the Tenant Improvements, Tenant shall provide Landlord with a written detailed cost breakdown (the “Final Costs Statement”) of the estimated final costs to be incurred, or which have been incurred, as set forth more particularly in Section 2.2.1.1 through 2.2.1.8 above, in connection with the design,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permitting and construction of the Tenant Improvements to be performed by or at the direction of Tenant or the Contractor (which costs form a basis for the amount of the Contract, if any (the “Final Costs”).</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u w:val="single" w:color="auto"/>
          <w:color w:val="auto"/>
        </w:rPr>
        <w:t>Tenant’s Agents</w:t>
      </w:r>
      <w:r>
        <w:rPr>
          <w:rFonts w:ascii="Arial" w:cs="Arial" w:eastAsia="Arial" w:hAnsi="Arial"/>
          <w:sz w:val="16"/>
          <w:szCs w:val="16"/>
          <w:color w:val="auto"/>
        </w:rPr>
        <w:t>.</w:t>
      </w:r>
    </w:p>
    <w:p>
      <w:pPr>
        <w:spacing w:after="0" w:line="225" w:lineRule="exact"/>
        <w:rPr>
          <w:sz w:val="20"/>
          <w:szCs w:val="20"/>
          <w:color w:val="auto"/>
        </w:rPr>
      </w:pPr>
    </w:p>
    <w:p>
      <w:pPr>
        <w:ind w:firstLine="1945"/>
        <w:spacing w:after="0" w:line="268" w:lineRule="auto"/>
        <w:rPr>
          <w:sz w:val="20"/>
          <w:szCs w:val="20"/>
          <w:color w:val="auto"/>
        </w:rPr>
      </w:pPr>
      <w:r>
        <w:rPr>
          <w:rFonts w:ascii="Arial" w:cs="Arial" w:eastAsia="Arial" w:hAnsi="Arial"/>
          <w:sz w:val="17"/>
          <w:szCs w:val="17"/>
          <w:color w:val="auto"/>
        </w:rPr>
        <w:t xml:space="preserve">4.2.2.1 </w:t>
      </w:r>
      <w:r>
        <w:rPr>
          <w:rFonts w:ascii="Arial" w:cs="Arial" w:eastAsia="Arial" w:hAnsi="Arial"/>
          <w:sz w:val="17"/>
          <w:szCs w:val="17"/>
          <w:u w:val="single" w:color="auto"/>
          <w:color w:val="auto"/>
        </w:rPr>
        <w:t>Landlord’s General Conditions for Tenant’s Agents and Tenant Improvement Work</w:t>
      </w:r>
      <w:r>
        <w:rPr>
          <w:rFonts w:ascii="Arial" w:cs="Arial" w:eastAsia="Arial" w:hAnsi="Arial"/>
          <w:sz w:val="17"/>
          <w:szCs w:val="17"/>
          <w:color w:val="auto"/>
        </w:rPr>
        <w:t>. Tenant’s and Tenant’s Agents’ construction of the Tenant Improvements shall comply with the following: (i) the Tenant Improvements shall be constructed in accordance with the Approved Working Drawings (as the same may be modified pursuant to the terms hereof) in all material respects; and (ii) Tenant shall abide by commercially reasonable rules made by Landlord’s Building contractor or Landlord’s Building manager (“Rules of Site”) with respect to the use of freight, loading dock and service elevators, storage of materials, coordination of work with the contractors of other tenants, and any other matter in connection with this Tenant Work Letter, including, without limitation, the construction of the Tenant Improvements. The Rules of Site may be promulgated and amended from time to time; provided, however, that any amendments to the Rules of Site shall not be binding on Tenant, Contractor or Tenant’s Agents unless the same are commercially reasonable and not until the same have been delivered in writing to Tenant and Contractor, and then only on a prospective basis. Amendments to the Rules of Site shall be reasonable and shall be consistent with the terms of the Lease and this Tenant Work Letter, and in the event of any conflict between the Lease and this Tenant Work Letter, on the one hand, and any such amendments, on the other hand, the Lease and this Tenant Work Letter shall control. Notwithstanding the foregoing, the freight, loading dock and service elevators shall otherwise be made available to Tenant, Contractor and Tenant’s Agents on a non-exclusive basis, and Tenant, Contractor and Tenant’s Agents shall have access to the Building, the Premises and the MPOE 24/7 until the Tenant Improvements have been completed. Landlord shall reasonably cooperate with Tenant, Contractor and Tenant’s Agents during the course of construction of the Tenant Improvements.</w:t>
      </w:r>
    </w:p>
    <w:p>
      <w:pPr>
        <w:spacing w:after="0" w:line="185" w:lineRule="exact"/>
        <w:rPr>
          <w:sz w:val="20"/>
          <w:szCs w:val="20"/>
          <w:color w:val="auto"/>
        </w:rPr>
      </w:pPr>
    </w:p>
    <w:p>
      <w:pPr>
        <w:ind w:right="60" w:firstLine="1945"/>
        <w:spacing w:after="0" w:line="342" w:lineRule="auto"/>
        <w:rPr>
          <w:sz w:val="20"/>
          <w:szCs w:val="20"/>
          <w:color w:val="auto"/>
        </w:rPr>
      </w:pPr>
      <w:r>
        <w:rPr>
          <w:rFonts w:ascii="Arial" w:cs="Arial" w:eastAsia="Arial" w:hAnsi="Arial"/>
          <w:sz w:val="16"/>
          <w:szCs w:val="16"/>
          <w:color w:val="auto"/>
        </w:rPr>
        <w:t xml:space="preserve">4.2.2.2 </w:t>
      </w:r>
      <w:r>
        <w:rPr>
          <w:rFonts w:ascii="Arial" w:cs="Arial" w:eastAsia="Arial" w:hAnsi="Arial"/>
          <w:sz w:val="16"/>
          <w:szCs w:val="16"/>
          <w:u w:val="single" w:color="auto"/>
          <w:color w:val="auto"/>
        </w:rPr>
        <w:t>Coordination Fee</w:t>
      </w:r>
      <w:r>
        <w:rPr>
          <w:rFonts w:ascii="Arial" w:cs="Arial" w:eastAsia="Arial" w:hAnsi="Arial"/>
          <w:sz w:val="16"/>
          <w:szCs w:val="16"/>
          <w:color w:val="auto"/>
        </w:rPr>
        <w:t>. Tenant shall pay a logistical coordination fee (the “Coordination Fee”) to Landlord in an amount equal to the product of (i) three percent (3%), and (ii) the sum of the Allowances, which Coordination Fee shall be for services relating to the coordination of the</w:t>
      </w:r>
    </w:p>
    <w:p>
      <w:pPr>
        <w:sectPr>
          <w:pgSz w:w="11900" w:h="16975" w:orient="portrait"/>
          <w:cols w:equalWidth="0" w:num="1">
            <w:col w:w="11420"/>
          </w:cols>
          <w:pgMar w:left="240" w:top="125" w:right="239" w:bottom="0" w:gutter="0" w:footer="0" w:header="0"/>
        </w:sectPr>
      </w:pPr>
    </w:p>
    <w:bookmarkStart w:id="87" w:name="page88"/>
    <w:bookmarkEnd w:id="87"/>
    <w:p>
      <w:pPr>
        <w:ind w:right="260"/>
        <w:spacing w:after="0" w:line="277" w:lineRule="auto"/>
        <w:rPr>
          <w:sz w:val="20"/>
          <w:szCs w:val="20"/>
          <w:color w:val="auto"/>
        </w:rPr>
      </w:pPr>
      <w:r>
        <w:rPr>
          <w:rFonts w:ascii="Arial" w:cs="Arial" w:eastAsia="Arial" w:hAnsi="Arial"/>
          <w:sz w:val="18"/>
          <w:szCs w:val="18"/>
          <w:color w:val="auto"/>
        </w:rPr>
        <w:t>construction of the Tenant Improvements and shall be deducted by Landlord from the Allowances; provided, however, in no event shall such Coordination Fee exceed Fifty Thousand Dollars ($50,000.00).</w:t>
      </w:r>
    </w:p>
    <w:p>
      <w:pPr>
        <w:spacing w:after="0" w:line="170" w:lineRule="exact"/>
        <w:rPr>
          <w:sz w:val="20"/>
          <w:szCs w:val="20"/>
          <w:color w:val="auto"/>
        </w:rPr>
      </w:pPr>
    </w:p>
    <w:p>
      <w:pPr>
        <w:ind w:right="500" w:firstLine="1945"/>
        <w:spacing w:after="0" w:line="259" w:lineRule="auto"/>
        <w:rPr>
          <w:sz w:val="20"/>
          <w:szCs w:val="20"/>
          <w:color w:val="auto"/>
        </w:rPr>
      </w:pPr>
      <w:r>
        <w:rPr>
          <w:rFonts w:ascii="Arial" w:cs="Arial" w:eastAsia="Arial" w:hAnsi="Arial"/>
          <w:sz w:val="18"/>
          <w:szCs w:val="18"/>
          <w:color w:val="auto"/>
        </w:rPr>
        <w:t>4.2.2.3 Indemnity. Tenant shall indemnify, defend and hold Landlord harmless from and against any and all mechanic’s, materialman’s or other liens or claims (and all reasonable out-of-pocket costs or expenses associated therewith) asserted or filed against Landlord, the Building or the Land arising out of the non-payment of any person or entity constructing, installing or supplying the Tenant Improvements on behalf of Tenant or the Contractor.</w:t>
      </w:r>
    </w:p>
    <w:p>
      <w:pPr>
        <w:spacing w:after="0" w:line="187"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4.2.2.4</w:t>
      </w:r>
      <w:r>
        <w:rPr>
          <w:sz w:val="20"/>
          <w:szCs w:val="20"/>
          <w:color w:val="auto"/>
        </w:rPr>
        <w:tab/>
      </w:r>
      <w:r>
        <w:rPr>
          <w:rFonts w:ascii="Arial" w:cs="Arial" w:eastAsia="Arial" w:hAnsi="Arial"/>
          <w:sz w:val="15"/>
          <w:szCs w:val="15"/>
          <w:u w:val="single" w:color="auto"/>
          <w:color w:val="auto"/>
        </w:rPr>
        <w:t>Insurance Requirements</w:t>
      </w:r>
      <w:r>
        <w:rPr>
          <w:rFonts w:ascii="Arial" w:cs="Arial" w:eastAsia="Arial" w:hAnsi="Arial"/>
          <w:sz w:val="15"/>
          <w:szCs w:val="15"/>
          <w:color w:val="auto"/>
        </w:rPr>
        <w:t>.</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4.2.2.4.1 Intentionally Omitted.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2593"/>
        <w:spacing w:after="0" w:line="259" w:lineRule="auto"/>
        <w:rPr>
          <w:sz w:val="20"/>
          <w:szCs w:val="20"/>
          <w:color w:val="auto"/>
        </w:rPr>
      </w:pPr>
      <w:r>
        <w:rPr>
          <w:rFonts w:ascii="Arial" w:cs="Arial" w:eastAsia="Arial" w:hAnsi="Arial"/>
          <w:sz w:val="18"/>
          <w:szCs w:val="18"/>
          <w:color w:val="auto"/>
        </w:rPr>
        <w:t xml:space="preserve">4.2.2.4.2 </w:t>
      </w:r>
      <w:r>
        <w:rPr>
          <w:rFonts w:ascii="Arial" w:cs="Arial" w:eastAsia="Arial" w:hAnsi="Arial"/>
          <w:sz w:val="18"/>
          <w:szCs w:val="18"/>
          <w:u w:val="single" w:color="auto"/>
          <w:color w:val="auto"/>
        </w:rPr>
        <w:t>Special Coverages</w:t>
      </w:r>
      <w:r>
        <w:rPr>
          <w:rFonts w:ascii="Arial" w:cs="Arial" w:eastAsia="Arial" w:hAnsi="Arial"/>
          <w:sz w:val="18"/>
          <w:szCs w:val="18"/>
          <w:color w:val="auto"/>
        </w:rPr>
        <w:t>. Tenant or the Contractor shall carry “Builder’s Risk” insurance in an amount equal to the full replacement cost of the improvements being constructed by Tenant, it being understood and agreed that the Tenant Improvements shall be insured by Tenant pursuant to the Lease immediately upon completion thereof. Such insurance shall be in form and with companies as are required to be carried by Tenant as set forth in the Lease.</w:t>
      </w:r>
    </w:p>
    <w:p>
      <w:pPr>
        <w:spacing w:after="0" w:line="187" w:lineRule="exact"/>
        <w:rPr>
          <w:sz w:val="20"/>
          <w:szCs w:val="20"/>
          <w:color w:val="auto"/>
        </w:rPr>
      </w:pPr>
    </w:p>
    <w:p>
      <w:pPr>
        <w:ind w:firstLine="2593"/>
        <w:spacing w:after="0" w:line="264" w:lineRule="auto"/>
        <w:rPr>
          <w:sz w:val="20"/>
          <w:szCs w:val="20"/>
          <w:color w:val="auto"/>
        </w:rPr>
      </w:pPr>
      <w:r>
        <w:rPr>
          <w:rFonts w:ascii="Arial" w:cs="Arial" w:eastAsia="Arial" w:hAnsi="Arial"/>
          <w:sz w:val="18"/>
          <w:szCs w:val="18"/>
          <w:color w:val="auto"/>
        </w:rPr>
        <w:t xml:space="preserve">4.2.2.4.3 </w:t>
      </w:r>
      <w:r>
        <w:rPr>
          <w:rFonts w:ascii="Arial" w:cs="Arial" w:eastAsia="Arial" w:hAnsi="Arial"/>
          <w:sz w:val="18"/>
          <w:szCs w:val="18"/>
          <w:u w:val="single" w:color="auto"/>
          <w:color w:val="auto"/>
        </w:rPr>
        <w:t>General Terms</w:t>
      </w:r>
      <w:r>
        <w:rPr>
          <w:rFonts w:ascii="Arial" w:cs="Arial" w:eastAsia="Arial" w:hAnsi="Arial"/>
          <w:sz w:val="18"/>
          <w:szCs w:val="18"/>
          <w:color w:val="auto"/>
        </w:rPr>
        <w:t>. The insurance carried by Tenant’s Agents shall comply with all of the requirements of Exhibit E including, but not limited to, notice of cancellation and naming of additional insureds. The requirements for the foregoing insurance shall not derogate from the provisions for indemnification of Landlord by Tenant under Section 4.2.2.3 of this Tenant Work Letter.</w:t>
      </w:r>
    </w:p>
    <w:p>
      <w:pPr>
        <w:spacing w:after="0" w:line="181" w:lineRule="exact"/>
        <w:rPr>
          <w:sz w:val="20"/>
          <w:szCs w:val="20"/>
          <w:color w:val="auto"/>
        </w:rPr>
      </w:pPr>
    </w:p>
    <w:p>
      <w:pPr>
        <w:jc w:val="both"/>
        <w:ind w:right="360" w:firstLine="1297"/>
        <w:spacing w:after="0" w:line="264"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Governmental Compliance</w:t>
      </w:r>
      <w:r>
        <w:rPr>
          <w:rFonts w:ascii="Arial" w:cs="Arial" w:eastAsia="Arial" w:hAnsi="Arial"/>
          <w:sz w:val="18"/>
          <w:szCs w:val="18"/>
          <w:color w:val="auto"/>
        </w:rPr>
        <w:t>. The Tenant Improvements shall be installed and constructed in compliance in all respects with all applicable state, federal, city laws, codes, ordinances and regulations, as each may apply according to the lawful rulings of the controlling public official, agent or other person.</w:t>
      </w:r>
    </w:p>
    <w:p>
      <w:pPr>
        <w:spacing w:after="0" w:line="181"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 xml:space="preserve">4.2.4 </w:t>
      </w:r>
      <w:r>
        <w:rPr>
          <w:rFonts w:ascii="Arial" w:cs="Arial" w:eastAsia="Arial" w:hAnsi="Arial"/>
          <w:sz w:val="17"/>
          <w:szCs w:val="17"/>
          <w:u w:val="single" w:color="auto"/>
          <w:color w:val="auto"/>
        </w:rPr>
        <w:t>Inspection by Landlord</w:t>
      </w:r>
      <w:r>
        <w:rPr>
          <w:rFonts w:ascii="Arial" w:cs="Arial" w:eastAsia="Arial" w:hAnsi="Arial"/>
          <w:sz w:val="17"/>
          <w:szCs w:val="17"/>
          <w:color w:val="auto"/>
        </w:rPr>
        <w:t>. Landlord shall have the right at all reasonable times during the construction of the Tenant Improvements on not less than twenty-four (24) hours prior written notice to Tenant and the Contractor to visually inspect the Tenant Improvements to reasonably determine if they are in conformity with the Approved Working Drawings (as the same may be modified pursuant to the terms hereof) in all material respects, provided however, that such inspections shall not interfere with the construction of the Tenant Improvements and Landlord’s failure to inspect the Tenant Improvements shall in no event constitute a waiver of any of Landlord’s rights hereunder nor shall Landlord’s mere inspection of the Tenant Improvements constitute Landlord’s approval of the same. If pursuant to any inspection Landlord determines that the Tenant Improvements are not in conformity with the Approved Working Drawings in all material respects, Tenant shall notify Contractor of such alleged non-compliance in writing within twenty-four (24) hours after the end of the applicable inspection.</w:t>
      </w:r>
    </w:p>
    <w:p>
      <w:pPr>
        <w:spacing w:after="0" w:line="179"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4.2.5 Defects or deviations in, and/or disapproval by Landlord of, the Tenant Improvements shall be rectified by Tenant at no expense to Landlord, provided however, that if Landlord determines that a defect or deviation exists or disapproves of any matter in connection with any portion of the Tenant Improvements and such defect, deviation or matter might adversely affect the mechanical, electrical, plumbing, HVAC or life-safety systems of the Building, the structure or exterior appearance of the Building or any other tenant’s use of such other tenant’s leased premises, Landlord may, take such action as Landlord deems necessary, at Tenant’s expense and without incurring any liability on Landlord’s part, to correct any such defect, deviation and/or matter, including, without limitation, causing the cessation of performance of the construction of the Tenant Improvements until such time as the defect, deviation and/or matter is corrected to Landlord’s satisfaction.</w:t>
      </w:r>
    </w:p>
    <w:p>
      <w:pPr>
        <w:spacing w:after="0" w:line="178"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u w:val="single" w:color="auto"/>
          <w:color w:val="auto"/>
        </w:rPr>
        <w:t>Meetings</w:t>
      </w:r>
      <w:r>
        <w:rPr>
          <w:rFonts w:ascii="Arial" w:cs="Arial" w:eastAsia="Arial" w:hAnsi="Arial"/>
          <w:sz w:val="18"/>
          <w:szCs w:val="18"/>
          <w:color w:val="auto"/>
        </w:rPr>
        <w:t>. During the design and construction of the Tenant Improvements, Tenant shall hold weekly or less frequent meetings at mutually convenient times with representatives of the Architect and the Contractor regarding the progress of the preparation of Construction Drawings and, if applicable, the construction of the Tenant Improvements, which</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meetings shall be held at a location designated by Tenant or by phone, and Landlord’s representative shall receive prior notice of, and shall have the right to attend, all such meetings. Notwithstanding the foregoing, each of Tenant, Contractor, Architect and Landlord shall have the right to attend such meetings telephonically.</w:t>
      </w:r>
    </w:p>
    <w:p>
      <w:pPr>
        <w:spacing w:after="0" w:line="18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Notice of Completion; Copy of “As Built” Plans</w:t>
      </w:r>
      <w:r>
        <w:rPr>
          <w:rFonts w:ascii="Arial" w:cs="Arial" w:eastAsia="Arial" w:hAnsi="Arial"/>
          <w:sz w:val="16"/>
          <w:szCs w:val="16"/>
          <w:color w:val="auto"/>
        </w:rPr>
        <w:t>. If Tenant fails to do so following written notice by Landlord of such failure and an additional ten (10) days following Tenant’s receipt of such notice, then Landlord may execute and file the same on behalf of Tenant as Tenant’s agent for such purpose, at Tenant’s sole cost and expense. At the conclusion of construction, (i) Tenant shall use commercially reasonable efforts to cause the Architect and Contractor (A) to update the Approved Working Drawings as necessary to reflect all changes made to the Approved Working Drawings during the course of construction, (B) to certify to their actual knowledge that the “record-set” of as-built drawings are true and correct, which certification shall survive the expiration or termination of the Lease, (C) to deliver to Landlord two (2) sets of such as-built drawings within ninety (90) days following issuance of a certificate of occupancy for the Premises, and (D) to deliver to Landlord a computer disk containing the Approved Working Drawings in AutoCAD format, and (ii) Tenant shall deliver to Landlord a copy of all warranties, guaranties, and operating manuals relating to the improvements, equipment and systems installed in the Premises as part of the Tenant Improvements, in each case without expense to Tenant and to the extent in Tenant’s possession or control.</w:t>
      </w:r>
    </w:p>
    <w:p>
      <w:pPr>
        <w:spacing w:after="0" w:line="16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Coordination by Tenant’s Agents with Landlord</w:t>
      </w:r>
      <w:r>
        <w:rPr>
          <w:rFonts w:ascii="Arial" w:cs="Arial" w:eastAsia="Arial" w:hAnsi="Arial"/>
          <w:sz w:val="18"/>
          <w:szCs w:val="18"/>
          <w:color w:val="auto"/>
        </w:rPr>
        <w:t>. Upon Tenant’s delivery of the Contract to Landlord under Section 4.2.1 of this Tenant Work Letter, Tenant shall furnish Landlord with a non-binding, estimated schedule setting forth the projected date of the completion of the Tenant Improvements and showing the critical time deadlines for each phase of the construction of the Tenant Improvements.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SECTION 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w:t>
      </w:r>
    </w:p>
    <w:p>
      <w:pPr>
        <w:sectPr>
          <w:pgSz w:w="11900" w:h="16838" w:orient="portrait"/>
          <w:cols w:equalWidth="0" w:num="1">
            <w:col w:w="11400"/>
          </w:cols>
          <w:pgMar w:left="240" w:top="125" w:right="259" w:bottom="0" w:gutter="0" w:footer="0" w:header="0"/>
        </w:sectPr>
      </w:pPr>
    </w:p>
    <w:bookmarkStart w:id="88" w:name="page89"/>
    <w:bookmarkEnd w:id="88"/>
    <w:p>
      <w:pPr>
        <w:ind w:firstLine="648"/>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Tenant’s Representative</w:t>
      </w:r>
      <w:r>
        <w:rPr>
          <w:rFonts w:ascii="Arial" w:cs="Arial" w:eastAsia="Arial" w:hAnsi="Arial"/>
          <w:sz w:val="18"/>
          <w:szCs w:val="18"/>
          <w:color w:val="auto"/>
        </w:rPr>
        <w:t>. Tenant has designated Jennifer Pratt Mead as a representative of Tenant with respect to the design, construction, and other operational matters set forth in this Tenant Work Letter, who until further notice to Landlord, shall have full authority and responsibility to act on behalf of Tenant as to such matters as provided in this Tenant Work Letter. Notwithstanding the foregoing, no amendments to this Lease or Tenant’s execution of other contracts or agreements purporting to bind Tenant shall be binding upon Tenant unless the same is/are executed by duly authorized officers of Tenant.</w:t>
      </w:r>
    </w:p>
    <w:p>
      <w:pPr>
        <w:spacing w:after="0" w:line="188"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Landlord’s Representative</w:t>
      </w:r>
      <w:r>
        <w:rPr>
          <w:rFonts w:ascii="Arial" w:cs="Arial" w:eastAsia="Arial" w:hAnsi="Arial"/>
          <w:sz w:val="18"/>
          <w:szCs w:val="18"/>
          <w:color w:val="auto"/>
        </w:rPr>
        <w:t>. Landlord has designated Wayne Wiebe as a representative with respect to the design, construction, and other operational matters set matters set forth in this Tenant Work Letter, who, until further notice to Tenant, shall have full authority and responsibility to act on behalf of Landlord as to such matters as provided in this Tenant Work Letter.</w:t>
      </w:r>
    </w:p>
    <w:p>
      <w:pPr>
        <w:spacing w:after="0" w:line="181" w:lineRule="exact"/>
        <w:rPr>
          <w:sz w:val="20"/>
          <w:szCs w:val="20"/>
          <w:color w:val="auto"/>
        </w:rPr>
      </w:pPr>
    </w:p>
    <w:p>
      <w:pPr>
        <w:jc w:val="both"/>
        <w:ind w:right="240"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Time of the Essence in This Tenant Work Letter</w:t>
      </w:r>
      <w:r>
        <w:rPr>
          <w:rFonts w:ascii="Arial" w:cs="Arial" w:eastAsia="Arial" w:hAnsi="Arial"/>
          <w:sz w:val="18"/>
          <w:szCs w:val="18"/>
          <w:color w:val="auto"/>
        </w:rPr>
        <w:t>. Unless otherwise indicated, all references herein to a “number of days” shall mean and refer to calendar days. If any item requiring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approval is timely disapproved by Landlord, the procedure for preparation of the document and approval thereof shall be repeated until the document is approved by Landlord.</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Tenant’s Lease Default</w:t>
      </w:r>
      <w:r>
        <w:rPr>
          <w:rFonts w:ascii="Arial" w:cs="Arial" w:eastAsia="Arial" w:hAnsi="Arial"/>
          <w:sz w:val="17"/>
          <w:szCs w:val="17"/>
          <w:color w:val="auto"/>
        </w:rPr>
        <w:t>. Notwithstanding any provision to the contrary contained in the Lease, if an event of a monetary default or material non-monetary default by Tenant of this Tenant Work Letter (as such event is described in Section 5.5 below) or the Lease (as such event is described in Section 25 of the Lease) has occurred and exists beyond the applicable notice and cure period set forth herein or in the Lease at any time on or before the substantial completion of the Tenant Improvements, then (i) in addition to all other rights and remedies granted to Landlord pursuant to the Lease, at law and/or in equity, Landlord shall have the right to withhold payment of all or any portion of the Allowances and/or Landlord may cause Contractor to cease the construction of the Premises (in which case, Tenant shall be responsible for any delay in the substantial completion of the Premises caused by such work stoppage), and (ii) the continuing obligations of Landlord under the terms of this Tenant Work Letter shall be suspended until such time as such monetary default or material non-monetary default is cured pursuant to the terms of this Tenant Work Letter and the Lease (in which case, Tenant shall be responsible for any delay in the substantial completion of the Premises caused by such inaction by Landlord); provided, however, that once such monetary default or material non-monetary default is cured, Landlord’s suspended obligations, including, without limitation, Landlord’s obligation to disburse the Allowances, shall be fully reinstated and resumed, effective immediately.</w:t>
      </w:r>
    </w:p>
    <w:p>
      <w:pPr>
        <w:spacing w:after="0" w:line="1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Tenant’s Work Letter Default</w:t>
      </w:r>
      <w:r>
        <w:rPr>
          <w:rFonts w:ascii="Arial" w:cs="Arial" w:eastAsia="Arial" w:hAnsi="Arial"/>
          <w:sz w:val="18"/>
          <w:szCs w:val="18"/>
          <w:color w:val="auto"/>
        </w:rPr>
        <w:t>. It shall be event of default of Tenant under this Work Letter if Tenant fails to observe or perform any provision, covenant or condition of this Tenant Work Letter to be observed or performed by Tenant where such failure continues for thirty (30) days after written notice thereof from Landlord to Tenant; provided, however, that if the nature of such event of default is such that the same cannot reasonably be cured within a thirty (30)-day period, Tenant shall not be deemed to be in default if it diligently commences such cure within such period and thereafter diligently proceeds to rectify and cure said default as soon as reasonably possible.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TENANT ACCEPTANCE LETTER</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[Letterhead of Tenant]</w:t>
      </w:r>
    </w:p>
    <w:p>
      <w:pPr>
        <w:spacing w:after="0" w:line="225" w:lineRule="exact"/>
        <w:rPr>
          <w:sz w:val="20"/>
          <w:szCs w:val="20"/>
          <w:color w:val="auto"/>
        </w:rPr>
      </w:pPr>
    </w:p>
    <w:p>
      <w:pPr>
        <w:ind w:left="8580"/>
        <w:spacing w:after="0"/>
        <w:tabs>
          <w:tab w:leader="none" w:pos="9180" w:val="left"/>
        </w:tabs>
        <w:rPr>
          <w:sz w:val="20"/>
          <w:szCs w:val="20"/>
          <w:color w:val="auto"/>
        </w:rPr>
      </w:pPr>
      <w:r>
        <w:rPr>
          <w:rFonts w:ascii="Arial" w:cs="Arial" w:eastAsia="Arial" w:hAnsi="Arial"/>
          <w:sz w:val="18"/>
          <w:szCs w:val="18"/>
          <w:color w:val="auto"/>
        </w:rPr>
        <w:t>Date:</w:t>
        <w:tab/>
        <w:t>6/3/15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14605</wp:posOffset>
            </wp:positionV>
            <wp:extent cx="14147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AMERICAN FUND US INVESTMENTS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Real Estate Capital Partners</w:t>
      </w:r>
    </w:p>
    <w:p>
      <w:pPr>
        <w:spacing w:after="0" w:line="205" w:lineRule="auto"/>
        <w:rPr>
          <w:sz w:val="20"/>
          <w:szCs w:val="20"/>
          <w:color w:val="auto"/>
        </w:rPr>
      </w:pPr>
      <w:r>
        <w:rPr>
          <w:rFonts w:ascii="Arial" w:cs="Arial" w:eastAsia="Arial" w:hAnsi="Arial"/>
          <w:sz w:val="18"/>
          <w:szCs w:val="18"/>
          <w:color w:val="auto"/>
        </w:rPr>
        <w:t>114 West 47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23rd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Attention: [</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ectPr>
          <w:pgSz w:w="11900" w:h="16838" w:orient="portrait"/>
          <w:cols w:equalWidth="0" w:num="1">
            <w:col w:w="11380"/>
          </w:cols>
          <w:pgMar w:left="240" w:top="125" w:right="27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Office Building Lease (the “Lease”) dated April 29, between American Fund US Investments LP (“Landlord”) and Veracyte, Inc. (“Tenant”)</w:t>
      </w:r>
    </w:p>
    <w:p>
      <w:pPr>
        <w:spacing w:after="0" w:line="200" w:lineRule="exact"/>
        <w:rPr>
          <w:sz w:val="20"/>
          <w:szCs w:val="20"/>
          <w:color w:val="auto"/>
        </w:rPr>
      </w:pPr>
    </w:p>
    <w:p>
      <w:pPr>
        <w:sectPr>
          <w:pgSz w:w="11900" w:h="16838" w:orient="portrait"/>
          <w:cols w:equalWidth="0" w:num="2">
            <w:col w:w="260" w:space="380"/>
            <w:col w:w="10740"/>
          </w:cols>
          <w:pgMar w:left="240" w:top="125" w:right="27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Premises: Suites: 100, 200 and 300, 6000 Shoreline Court, South San Francisco, California 94080.</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as Tenant, hereby confirms as of this 10</w:t>
      </w:r>
      <w:r>
        <w:rPr>
          <w:rFonts w:ascii="Arial" w:cs="Arial" w:eastAsia="Arial" w:hAnsi="Arial"/>
          <w:sz w:val="11"/>
          <w:szCs w:val="11"/>
          <w:color w:val="auto"/>
        </w:rPr>
        <w:t>th</w:t>
      </w:r>
      <w:r>
        <w:rPr>
          <w:rFonts w:ascii="Arial" w:cs="Arial" w:eastAsia="Arial" w:hAnsi="Arial"/>
          <w:sz w:val="17"/>
          <w:szCs w:val="17"/>
          <w:color w:val="auto"/>
        </w:rPr>
        <w:t xml:space="preserve"> day of June, 2015, the following:</w:t>
      </w:r>
    </w:p>
    <w:p>
      <w:pPr>
        <w:sectPr>
          <w:pgSz w:w="11900" w:h="16838" w:orient="portrait"/>
          <w:cols w:equalWidth="0" w:num="1">
            <w:col w:w="11380"/>
          </w:cols>
          <w:pgMar w:left="240" w:top="125" w:right="279" w:bottom="0" w:gutter="0" w:footer="0" w:header="0"/>
          <w:type w:val="continuous"/>
        </w:sectPr>
      </w:pPr>
    </w:p>
    <w:p>
      <w:pPr>
        <w:spacing w:after="0" w:line="237" w:lineRule="exact"/>
        <w:rPr>
          <w:sz w:val="20"/>
          <w:szCs w:val="20"/>
          <w:color w:val="auto"/>
        </w:rPr>
      </w:pPr>
    </w:p>
    <w:p>
      <w:pPr>
        <w:ind w:left="2040" w:hanging="654"/>
        <w:spacing w:after="0"/>
        <w:tabs>
          <w:tab w:leader="none" w:pos="20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Tenant has accepted possession of the Premises on June 1, 2015 and is currently occupying same.</w:t>
      </w:r>
    </w:p>
    <w:p>
      <w:pPr>
        <w:spacing w:after="0" w:line="225" w:lineRule="exact"/>
        <w:rPr>
          <w:rFonts w:ascii="Arial" w:cs="Arial" w:eastAsia="Arial" w:hAnsi="Arial"/>
          <w:sz w:val="18"/>
          <w:szCs w:val="18"/>
          <w:color w:val="auto"/>
        </w:rPr>
      </w:pPr>
    </w:p>
    <w:p>
      <w:pPr>
        <w:ind w:left="2040" w:hanging="654"/>
        <w:spacing w:after="0"/>
        <w:tabs>
          <w:tab w:leader="none" w:pos="20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Commencement Date, Rent Commencement Date and Expiration Date, as each is defined in the Lease, are as follows:</w:t>
      </w:r>
    </w:p>
    <w:p>
      <w:pPr>
        <w:spacing w:after="0" w:line="248"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Commencement Date: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1, 2015</w:t>
            </w:r>
          </w:p>
        </w:tc>
      </w:tr>
      <w:tr>
        <w:trPr>
          <w:trHeight w:val="210"/>
        </w:trPr>
        <w:tc>
          <w:tcPr>
            <w:tcW w:w="2500" w:type="dxa"/>
            <w:vAlign w:val="bottom"/>
          </w:tcPr>
          <w:p>
            <w:pPr>
              <w:spacing w:after="0"/>
              <w:rPr>
                <w:sz w:val="20"/>
                <w:szCs w:val="20"/>
                <w:color w:val="auto"/>
              </w:rPr>
            </w:pPr>
            <w:r>
              <w:rPr>
                <w:rFonts w:ascii="Arial" w:cs="Arial" w:eastAsia="Arial" w:hAnsi="Arial"/>
                <w:sz w:val="18"/>
                <w:szCs w:val="18"/>
                <w:color w:val="auto"/>
              </w:rPr>
              <w:t>Rent Commencement Date: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April 1, 2016</w:t>
            </w:r>
          </w:p>
        </w:tc>
      </w:tr>
      <w:tr>
        <w:trPr>
          <w:trHeight w:val="210"/>
        </w:trPr>
        <w:tc>
          <w:tcPr>
            <w:tcW w:w="2500" w:type="dxa"/>
            <w:vAlign w:val="bottom"/>
          </w:tcPr>
          <w:p>
            <w:pPr>
              <w:spacing w:after="0"/>
              <w:rPr>
                <w:sz w:val="20"/>
                <w:szCs w:val="20"/>
                <w:color w:val="auto"/>
              </w:rPr>
            </w:pPr>
            <w:r>
              <w:rPr>
                <w:rFonts w:ascii="Arial" w:cs="Arial" w:eastAsia="Arial" w:hAnsi="Arial"/>
                <w:sz w:val="18"/>
                <w:szCs w:val="18"/>
                <w:color w:val="auto"/>
              </w:rPr>
              <w:t>Expiration Date: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31, 2026</w:t>
            </w:r>
          </w:p>
        </w:tc>
      </w:tr>
    </w:tbl>
    <w:p>
      <w:pPr>
        <w:spacing w:after="0" w:line="202" w:lineRule="exact"/>
        <w:rPr>
          <w:sz w:val="20"/>
          <w:szCs w:val="20"/>
          <w:color w:val="auto"/>
        </w:rPr>
      </w:pPr>
    </w:p>
    <w:p>
      <w:pPr>
        <w:ind w:left="2040" w:hanging="654"/>
        <w:spacing w:after="0"/>
        <w:tabs>
          <w:tab w:leader="none" w:pos="20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of the date hereof, Landlord has fulfilled all of its obligations under the Lease.</w:t>
      </w:r>
    </w:p>
    <w:p>
      <w:pPr>
        <w:sectPr>
          <w:pgSz w:w="11900" w:h="16838" w:orient="portrait"/>
          <w:cols w:equalWidth="0" w:num="1">
            <w:col w:w="11380"/>
          </w:cols>
          <w:pgMar w:left="240" w:top="125" w:right="279" w:bottom="0" w:gutter="0" w:footer="0" w:header="0"/>
          <w:type w:val="continuous"/>
        </w:sectPr>
      </w:pPr>
    </w:p>
    <w:bookmarkStart w:id="89" w:name="page90"/>
    <w:bookmarkEnd w:id="89"/>
    <w:p>
      <w:pPr>
        <w:ind w:left="2040" w:hanging="654"/>
        <w:spacing w:after="0"/>
        <w:tabs>
          <w:tab w:leader="none" w:pos="20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Lease is in full force and effect and has not been modified, altered, or amended, except pursuant to any instruments described</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left="80" w:right="480" w:firstLine="1306"/>
        <w:spacing w:after="0" w:line="277" w:lineRule="auto"/>
        <w:tabs>
          <w:tab w:leader="none" w:pos="202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There are no offsets or credits against Base Rent or Additional Rent, nor has any Base Rent or Additional Rent been prepaid except as provided pursuant to the terms of the Lease.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40" w:hanging="654"/>
        <w:spacing w:after="0"/>
        <w:tabs>
          <w:tab w:leader="none" w:pos="20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Tenant has no notice of any prior assignment, hypothecation, or pledge of the Lease or any rents due under the Lease.</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[Tenant]</w:t>
      </w:r>
    </w:p>
    <w:p>
      <w:pPr>
        <w:spacing w:after="0" w:line="9" w:lineRule="exact"/>
        <w:rPr>
          <w:sz w:val="20"/>
          <w:szCs w:val="20"/>
          <w:color w:val="auto"/>
        </w:rPr>
      </w:pPr>
    </w:p>
    <w:p>
      <w:pPr>
        <w:ind w:left="572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Julie Brooks</w:t>
      </w:r>
    </w:p>
    <w:p>
      <w:pPr>
        <w:spacing w:after="0" w:line="9" w:lineRule="exact"/>
        <w:rPr>
          <w:sz w:val="20"/>
          <w:szCs w:val="20"/>
          <w:color w:val="auto"/>
        </w:rPr>
      </w:pPr>
    </w:p>
    <w:p>
      <w:pPr>
        <w:ind w:left="5720"/>
        <w:spacing w:after="0"/>
        <w:tabs>
          <w:tab w:leader="none" w:pos="6320" w:val="left"/>
        </w:tabs>
        <w:rPr>
          <w:sz w:val="20"/>
          <w:szCs w:val="20"/>
          <w:color w:val="auto"/>
        </w:rPr>
      </w:pPr>
      <w:r>
        <w:rPr>
          <w:rFonts w:ascii="Arial" w:cs="Arial" w:eastAsia="Arial" w:hAnsi="Arial"/>
          <w:sz w:val="18"/>
          <w:szCs w:val="18"/>
          <w:color w:val="auto"/>
        </w:rPr>
        <w:t>Title:</w:t>
        <w:tab/>
        <w:t>EVP,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32245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24530" cy="889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-130810</wp:posOffset>
            </wp:positionV>
            <wp:extent cx="322453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TENANT ESTOPPEL CERTIFICATE</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Tenant:</w:t>
      </w:r>
    </w:p>
    <w:p>
      <w:pPr>
        <w:spacing w:after="0" w:line="23" w:lineRule="exact"/>
        <w:rPr>
          <w:sz w:val="20"/>
          <w:szCs w:val="20"/>
          <w:color w:val="auto"/>
        </w:rPr>
      </w:pPr>
    </w:p>
    <w:p>
      <w:pPr>
        <w:ind w:left="5720"/>
        <w:spacing w:after="0"/>
        <w:tabs>
          <w:tab w:leader="none" w:pos="7220" w:val="left"/>
        </w:tabs>
        <w:rPr>
          <w:sz w:val="20"/>
          <w:szCs w:val="20"/>
          <w:color w:val="auto"/>
        </w:rPr>
      </w:pPr>
      <w:r>
        <w:rPr>
          <w:rFonts w:ascii="Arial" w:cs="Arial" w:eastAsia="Arial" w:hAnsi="Arial"/>
          <w:sz w:val="18"/>
          <w:szCs w:val="18"/>
          <w:color w:val="auto"/>
        </w:rPr>
        <w:t>Premises:</w:t>
      </w:r>
      <w:r>
        <w:rPr>
          <w:sz w:val="20"/>
          <w:szCs w:val="20"/>
          <w:color w:val="auto"/>
        </w:rPr>
        <w:tab/>
      </w:r>
      <w:r>
        <w:rPr>
          <w:rFonts w:ascii="Arial" w:cs="Arial" w:eastAsia="Arial" w:hAnsi="Arial"/>
          <w:sz w:val="18"/>
          <w:szCs w:val="18"/>
          <w:color w:val="auto"/>
        </w:rPr>
        <w:t>Suites 100, 200 and 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-130810</wp:posOffset>
            </wp:positionV>
            <wp:extent cx="26498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6000 Shoreline Court</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lender or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20" w:firstLine="2538"/>
        <w:spacing w:after="0" w:line="257" w:lineRule="auto"/>
        <w:rPr>
          <w:sz w:val="20"/>
          <w:szCs w:val="20"/>
          <w:color w:val="auto"/>
        </w:rPr>
      </w:pPr>
      <w:r>
        <w:rPr>
          <w:rFonts w:ascii="Arial" w:cs="Arial" w:eastAsia="Arial" w:hAnsi="Arial"/>
          <w:sz w:val="18"/>
          <w:szCs w:val="18"/>
          <w:color w:val="auto"/>
        </w:rPr>
        <w:t>(“Tenant”) acknowledges that (“Lender”) is or is about to become the holder of a loan (the “Loan”) secured by a mortgage covering the interest of AMERICAN FUND US INVESTMENTS LP, a Delaware limited partnership (“Landlord”) in the building located at 6000 Shoreline Court, South San Francisco, California 94080 (the “Building”). Landlord has requested Tenant execute and deliver this Tenant Estoppel Certificate to Lender. Tenant acknowledges that Lender, and its successors and assigns, will rely upon the certifications by Tenant in this Tenant Estoppel Certificate in connection with the Loan.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Tenant hereby certifies to Lender and its successors and assigns,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3300" w:type="dxa"/>
            <w:vAlign w:val="bottom"/>
          </w:tcPr>
          <w:p>
            <w:pPr>
              <w:ind w:left="260"/>
              <w:spacing w:after="0"/>
              <w:rPr>
                <w:sz w:val="20"/>
                <w:szCs w:val="20"/>
                <w:color w:val="auto"/>
              </w:rPr>
            </w:pPr>
            <w:r>
              <w:rPr>
                <w:rFonts w:ascii="Arial" w:cs="Arial" w:eastAsia="Arial" w:hAnsi="Arial"/>
                <w:sz w:val="18"/>
                <w:szCs w:val="18"/>
                <w:color w:val="auto"/>
                <w:w w:val="99"/>
              </w:rPr>
              <w:t>Tenant currently leases approximately</w:t>
            </w:r>
          </w:p>
        </w:tc>
        <w:tc>
          <w:tcPr>
            <w:tcW w:w="3200" w:type="dxa"/>
            <w:vAlign w:val="bottom"/>
            <w:gridSpan w:val="3"/>
          </w:tcPr>
          <w:p>
            <w:pPr>
              <w:jc w:val="right"/>
              <w:spacing w:after="0"/>
              <w:rPr>
                <w:sz w:val="20"/>
                <w:szCs w:val="20"/>
                <w:color w:val="auto"/>
              </w:rPr>
            </w:pPr>
            <w:r>
              <w:rPr>
                <w:rFonts w:ascii="Arial" w:cs="Arial" w:eastAsia="Arial" w:hAnsi="Arial"/>
                <w:sz w:val="18"/>
                <w:szCs w:val="18"/>
                <w:color w:val="auto"/>
                <w:w w:val="99"/>
              </w:rPr>
              <w:t>rentable square feet (“Premises”) on the</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Pr>
          <w:p>
            <w:pPr>
              <w:ind w:left="300"/>
              <w:spacing w:after="0"/>
              <w:rPr>
                <w:sz w:val="20"/>
                <w:szCs w:val="20"/>
                <w:color w:val="auto"/>
              </w:rPr>
            </w:pPr>
            <w:r>
              <w:rPr>
                <w:rFonts w:ascii="Arial" w:cs="Arial" w:eastAsia="Arial" w:hAnsi="Arial"/>
                <w:sz w:val="18"/>
                <w:szCs w:val="18"/>
                <w:color w:val="auto"/>
                <w:w w:val="93"/>
              </w:rPr>
              <w:t>) floor of the</w:t>
            </w:r>
          </w:p>
        </w:tc>
      </w:tr>
      <w:tr>
        <w:trPr>
          <w:trHeight w:val="222"/>
        </w:trPr>
        <w:tc>
          <w:tcPr>
            <w:tcW w:w="6920" w:type="dxa"/>
            <w:vAlign w:val="bottom"/>
            <w:gridSpan w:val="5"/>
          </w:tcPr>
          <w:p>
            <w:pPr>
              <w:spacing w:after="0"/>
              <w:rPr>
                <w:sz w:val="20"/>
                <w:szCs w:val="20"/>
                <w:color w:val="auto"/>
              </w:rPr>
            </w:pPr>
            <w:r>
              <w:rPr>
                <w:rFonts w:ascii="Arial" w:cs="Arial" w:eastAsia="Arial" w:hAnsi="Arial"/>
                <w:sz w:val="18"/>
                <w:szCs w:val="18"/>
                <w:color w:val="auto"/>
              </w:rPr>
              <w:t>Building pursuant to the terms and conditions of the Office Building Lease dated</w:t>
            </w:r>
          </w:p>
        </w:tc>
        <w:tc>
          <w:tcPr>
            <w:tcW w:w="640" w:type="dxa"/>
            <w:vAlign w:val="bottom"/>
            <w:tcBorders>
              <w:top w:val="single" w:sz="8" w:color="auto"/>
            </w:tcBorders>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 20</w:t>
            </w:r>
          </w:p>
        </w:tc>
        <w:tc>
          <w:tcPr>
            <w:tcW w:w="2680" w:type="dxa"/>
            <w:vAlign w:val="bottom"/>
            <w:gridSpan w:val="2"/>
          </w:tcPr>
          <w:p>
            <w:pPr>
              <w:ind w:left="20"/>
              <w:spacing w:after="0"/>
              <w:rPr>
                <w:sz w:val="20"/>
                <w:szCs w:val="20"/>
                <w:color w:val="auto"/>
              </w:rPr>
            </w:pPr>
            <w:r>
              <w:rPr>
                <w:rFonts w:ascii="Arial" w:cs="Arial" w:eastAsia="Arial" w:hAnsi="Arial"/>
                <w:sz w:val="18"/>
                <w:szCs w:val="18"/>
                <w:color w:val="auto"/>
                <w:w w:val="95"/>
              </w:rPr>
              <w:t>between Landlord and Tenant (the</w:t>
            </w:r>
          </w:p>
        </w:tc>
      </w:tr>
      <w:tr>
        <w:trPr>
          <w:trHeight w:val="190"/>
        </w:trPr>
        <w:tc>
          <w:tcPr>
            <w:tcW w:w="6920" w:type="dxa"/>
            <w:vAlign w:val="bottom"/>
            <w:gridSpan w:val="5"/>
          </w:tcPr>
          <w:p>
            <w:pPr>
              <w:spacing w:after="0" w:line="190" w:lineRule="exact"/>
              <w:rPr>
                <w:sz w:val="20"/>
                <w:szCs w:val="20"/>
                <w:color w:val="auto"/>
              </w:rPr>
            </w:pPr>
            <w:r>
              <w:rPr>
                <w:rFonts w:ascii="Arial" w:cs="Arial" w:eastAsia="Arial" w:hAnsi="Arial"/>
                <w:sz w:val="18"/>
                <w:szCs w:val="18"/>
                <w:color w:val="auto"/>
              </w:rPr>
              <w:t>“Lease”). Except for the Lease and [LIST OTHER DOCUMENTS IF ANY</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3"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 there are no agreements (written or oral) or documents executed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Landlord and Tenant which are binding on Landlord in connection with the lease of the Premises. The Lease is valid, binding and in full force and effect,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has not been modified or amended in any manner whatsoever except as described herein.</w:t>
      </w:r>
    </w:p>
    <w:p>
      <w:pPr>
        <w:spacing w:after="0" w:line="211"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2. The term of the Lease [commenced] [shall commence] on and including any presently exercised option or renewal term, ends on , subject to any rights of Tenant to early termination or extension expressly set forth in the Lease. Tenant has no right to extend the term of the Lease except to the extent expressly set forth in the Lease.</w:t>
      </w:r>
    </w:p>
    <w:p>
      <w:pPr>
        <w:spacing w:after="0" w:line="181" w:lineRule="exact"/>
        <w:rPr>
          <w:sz w:val="20"/>
          <w:szCs w:val="20"/>
          <w:color w:val="auto"/>
        </w:rPr>
      </w:pPr>
    </w:p>
    <w:p>
      <w:pPr>
        <w:ind w:right="100" w:firstLine="1305"/>
        <w:spacing w:after="0" w:line="277" w:lineRule="auto"/>
        <w:tabs>
          <w:tab w:leader="none" w:pos="194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[ONLY IF DELIVERY HAS OCCURRED] Landlord has delivered possession of the Premises to Tenant, and Tenant has accepted possession of, and currently occupies, the Premises.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ind w:left="1300"/>
              <w:spacing w:after="0"/>
              <w:rPr>
                <w:sz w:val="20"/>
                <w:szCs w:val="20"/>
                <w:color w:val="auto"/>
              </w:rPr>
            </w:pPr>
            <w:r>
              <w:rPr>
                <w:rFonts w:ascii="Arial" w:cs="Arial" w:eastAsia="Arial" w:hAnsi="Arial"/>
                <w:sz w:val="18"/>
                <w:szCs w:val="18"/>
                <w:color w:val="auto"/>
              </w:rPr>
              <w:t>4.</w:t>
            </w:r>
          </w:p>
        </w:tc>
        <w:tc>
          <w:tcPr>
            <w:tcW w:w="7820" w:type="dxa"/>
            <w:vAlign w:val="bottom"/>
            <w:gridSpan w:val="4"/>
          </w:tcPr>
          <w:p>
            <w:pPr>
              <w:ind w:left="260"/>
              <w:spacing w:after="0"/>
              <w:rPr>
                <w:sz w:val="20"/>
                <w:szCs w:val="20"/>
                <w:color w:val="auto"/>
              </w:rPr>
            </w:pPr>
            <w:r>
              <w:rPr>
                <w:rFonts w:ascii="Arial" w:cs="Arial" w:eastAsia="Arial" w:hAnsi="Arial"/>
                <w:sz w:val="18"/>
                <w:szCs w:val="18"/>
                <w:color w:val="auto"/>
                <w:w w:val="98"/>
              </w:rPr>
              <w:t>[ONLY IF RENT HAS COMMENCED]The current monthly base rent payable under the Lease is</w:t>
            </w:r>
          </w:p>
        </w:tc>
        <w:tc>
          <w:tcPr>
            <w:tcW w:w="1940" w:type="dxa"/>
            <w:vAlign w:val="bottom"/>
          </w:tcPr>
          <w:p>
            <w:pPr>
              <w:ind w:left="760"/>
              <w:spacing w:after="0"/>
              <w:rPr>
                <w:sz w:val="20"/>
                <w:szCs w:val="20"/>
                <w:color w:val="auto"/>
              </w:rPr>
            </w:pPr>
            <w:r>
              <w:rPr>
                <w:rFonts w:ascii="Arial" w:cs="Arial" w:eastAsia="Arial" w:hAnsi="Arial"/>
                <w:sz w:val="18"/>
                <w:szCs w:val="18"/>
                <w:color w:val="auto"/>
                <w:w w:val="95"/>
              </w:rPr>
              <w:t>and the current</w:t>
            </w: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w w:val="98"/>
              </w:rPr>
              <w:t>monthly payment payable under the Lease on account of taxes is</w:t>
            </w:r>
          </w:p>
        </w:tc>
        <w:tc>
          <w:tcPr>
            <w:tcW w:w="4360" w:type="dxa"/>
            <w:vAlign w:val="bottom"/>
            <w:gridSpan w:val="2"/>
          </w:tcPr>
          <w:p>
            <w:pPr>
              <w:ind w:left="760"/>
              <w:spacing w:after="0"/>
              <w:rPr>
                <w:sz w:val="20"/>
                <w:szCs w:val="20"/>
                <w:color w:val="auto"/>
              </w:rPr>
            </w:pPr>
            <w:r>
              <w:rPr>
                <w:rFonts w:ascii="Arial" w:cs="Arial" w:eastAsia="Arial" w:hAnsi="Arial"/>
                <w:sz w:val="18"/>
                <w:szCs w:val="18"/>
                <w:color w:val="auto"/>
              </w:rPr>
              <w:t>and on account of operating expenses is</w:t>
            </w:r>
          </w:p>
        </w:tc>
        <w:tc>
          <w:tcPr>
            <w:tcW w:w="1940" w:type="dxa"/>
            <w:vAlign w:val="bottom"/>
          </w:tcPr>
          <w:p>
            <w:pPr>
              <w:ind w:left="500"/>
              <w:spacing w:after="0"/>
              <w:rPr>
                <w:sz w:val="20"/>
                <w:szCs w:val="20"/>
                <w:color w:val="auto"/>
              </w:rPr>
            </w:pPr>
            <w:r>
              <w:rPr>
                <w:rFonts w:ascii="Arial" w:cs="Arial" w:eastAsia="Arial" w:hAnsi="Arial"/>
                <w:sz w:val="18"/>
                <w:szCs w:val="18"/>
                <w:color w:val="auto"/>
              </w:rPr>
              <w:t>. Tenant’s</w:t>
            </w:r>
          </w:p>
        </w:tc>
      </w:tr>
      <w:tr>
        <w:trPr>
          <w:trHeight w:val="216"/>
        </w:trPr>
        <w:tc>
          <w:tcPr>
            <w:tcW w:w="6600" w:type="dxa"/>
            <w:vAlign w:val="bottom"/>
            <w:gridSpan w:val="4"/>
          </w:tcPr>
          <w:p>
            <w:pPr>
              <w:spacing w:after="0"/>
              <w:rPr>
                <w:sz w:val="20"/>
                <w:szCs w:val="20"/>
                <w:color w:val="auto"/>
              </w:rPr>
            </w:pPr>
            <w:r>
              <w:rPr>
                <w:rFonts w:ascii="Arial" w:cs="Arial" w:eastAsia="Arial" w:hAnsi="Arial"/>
                <w:sz w:val="18"/>
                <w:szCs w:val="18"/>
                <w:color w:val="auto"/>
                <w:w w:val="92"/>
              </w:rPr>
              <w:t>percentage share of operating expenses (including, without limitation, real estate taxes) is</w:t>
            </w:r>
          </w:p>
        </w:tc>
        <w:tc>
          <w:tcPr>
            <w:tcW w:w="4860" w:type="dxa"/>
            <w:vAlign w:val="bottom"/>
            <w:gridSpan w:val="2"/>
          </w:tcPr>
          <w:p>
            <w:pPr>
              <w:ind w:left="160"/>
              <w:spacing w:after="0"/>
              <w:rPr>
                <w:sz w:val="20"/>
                <w:szCs w:val="20"/>
                <w:color w:val="auto"/>
              </w:rPr>
            </w:pPr>
            <w:r>
              <w:rPr>
                <w:rFonts w:ascii="Arial" w:cs="Arial" w:eastAsia="Arial" w:hAnsi="Arial"/>
                <w:sz w:val="18"/>
                <w:szCs w:val="18"/>
                <w:color w:val="auto"/>
                <w:w w:val="96"/>
              </w:rPr>
              <w:t>%. Rent and all other charges payable under the Lease on or</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before the</w:t>
            </w:r>
          </w:p>
        </w:tc>
        <w:tc>
          <w:tcPr>
            <w:tcW w:w="1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32"/>
        </w:trPr>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40" w:type="dxa"/>
            <w:vAlign w:val="bottom"/>
          </w:tcPr>
          <w:p>
            <w:pPr>
              <w:jc w:val="right"/>
              <w:ind w:right="750"/>
              <w:spacing w:after="0"/>
              <w:rPr>
                <w:sz w:val="20"/>
                <w:szCs w:val="20"/>
                <w:color w:val="auto"/>
              </w:rPr>
            </w:pPr>
            <w:r>
              <w:rPr>
                <w:rFonts w:ascii="Arial" w:cs="Arial" w:eastAsia="Arial" w:hAnsi="Arial"/>
                <w:sz w:val="18"/>
                <w:szCs w:val="18"/>
                <w:color w:val="auto"/>
              </w:rPr>
              <w:t>1</w:t>
            </w:r>
          </w:p>
        </w:tc>
        <w:tc>
          <w:tcPr>
            <w:tcW w:w="29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32"/>
        </w:trPr>
        <w:tc>
          <w:tcPr>
            <w:tcW w:w="3060" w:type="dxa"/>
            <w:vAlign w:val="bottom"/>
            <w:tcBorders>
              <w:bottom w:val="single" w:sz="8" w:color="808080"/>
            </w:tcBorders>
            <w:gridSpan w:val="2"/>
          </w:tcPr>
          <w:p>
            <w:pPr>
              <w:spacing w:after="0"/>
              <w:rPr>
                <w:sz w:val="11"/>
                <w:szCs w:val="11"/>
                <w:color w:val="auto"/>
              </w:rPr>
            </w:pPr>
          </w:p>
        </w:tc>
        <w:tc>
          <w:tcPr>
            <w:tcW w:w="8400" w:type="dxa"/>
            <w:vAlign w:val="bottom"/>
            <w:tcBorders>
              <w:bottom w:val="single" w:sz="8" w:color="808080"/>
            </w:tcBorders>
            <w:gridSpan w:val="4"/>
          </w:tcPr>
          <w:p>
            <w:pPr>
              <w:spacing w:after="0"/>
              <w:rPr>
                <w:sz w:val="11"/>
                <w:szCs w:val="11"/>
                <w:color w:val="auto"/>
              </w:rPr>
            </w:pPr>
          </w:p>
        </w:tc>
      </w:tr>
      <w:tr>
        <w:trPr>
          <w:trHeight w:val="780"/>
        </w:trPr>
        <w:tc>
          <w:tcPr>
            <w:tcW w:w="3060" w:type="dxa"/>
            <w:vAlign w:val="bottom"/>
            <w:gridSpan w:val="2"/>
          </w:tcPr>
          <w:p>
            <w:pPr>
              <w:spacing w:after="0"/>
              <w:rPr>
                <w:sz w:val="20"/>
                <w:szCs w:val="20"/>
                <w:color w:val="auto"/>
              </w:rPr>
            </w:pPr>
            <w:r>
              <w:rPr>
                <w:rFonts w:ascii="Arial" w:cs="Arial" w:eastAsia="Arial" w:hAnsi="Arial"/>
                <w:sz w:val="18"/>
                <w:szCs w:val="18"/>
                <w:color w:val="auto"/>
              </w:rPr>
              <w:t>date hereof have been paid through</w:t>
            </w:r>
          </w:p>
        </w:tc>
        <w:tc>
          <w:tcPr>
            <w:tcW w:w="8400" w:type="dxa"/>
            <w:vAlign w:val="bottom"/>
            <w:gridSpan w:val="4"/>
          </w:tcPr>
          <w:p>
            <w:pPr>
              <w:ind w:left="520"/>
              <w:spacing w:after="0"/>
              <w:rPr>
                <w:sz w:val="20"/>
                <w:szCs w:val="20"/>
                <w:color w:val="auto"/>
              </w:rPr>
            </w:pPr>
            <w:r>
              <w:rPr>
                <w:rFonts w:ascii="Arial" w:cs="Arial" w:eastAsia="Arial" w:hAnsi="Arial"/>
                <w:sz w:val="18"/>
                <w:szCs w:val="18"/>
                <w:color w:val="auto"/>
                <w:w w:val="90"/>
              </w:rPr>
              <w:t>. No amounts of monthly base rent payable under the Lease have been prepaid except through the end of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right="100"/>
        <w:spacing w:after="0" w:line="261" w:lineRule="auto"/>
        <w:rPr>
          <w:sz w:val="20"/>
          <w:szCs w:val="20"/>
          <w:color w:val="auto"/>
        </w:rPr>
      </w:pPr>
      <w:r>
        <w:rPr>
          <w:rFonts w:ascii="Arial" w:cs="Arial" w:eastAsia="Arial" w:hAnsi="Arial"/>
          <w:sz w:val="18"/>
          <w:szCs w:val="18"/>
          <w:color w:val="auto"/>
        </w:rPr>
        <w:t>current calendar month, and no other charges payable under the Lease have been prepaid for any period, other than estimated payments of operating expenses and taxes.</w:t>
      </w:r>
    </w:p>
    <w:p>
      <w:pPr>
        <w:spacing w:after="0" w:line="184" w:lineRule="exact"/>
        <w:rPr>
          <w:sz w:val="20"/>
          <w:szCs w:val="20"/>
          <w:color w:val="auto"/>
        </w:rPr>
      </w:pPr>
    </w:p>
    <w:p>
      <w:pPr>
        <w:ind w:left="1300"/>
        <w:spacing w:after="0"/>
        <w:tabs>
          <w:tab w:leader="none" w:pos="1940" w:val="left"/>
          <w:tab w:leader="none" w:pos="84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Except as set forth below, all reconciliations of operating expenses for calendar year</w:t>
      </w:r>
      <w:r>
        <w:rPr>
          <w:sz w:val="20"/>
          <w:szCs w:val="20"/>
          <w:color w:val="auto"/>
        </w:rPr>
        <w:tab/>
      </w:r>
      <w:r>
        <w:rPr>
          <w:rFonts w:ascii="Arial" w:cs="Arial" w:eastAsia="Arial" w:hAnsi="Arial"/>
          <w:sz w:val="16"/>
          <w:szCs w:val="16"/>
          <w:color w:val="auto"/>
        </w:rPr>
        <w:t>and all previous calendar years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Expenses</w:t>
      </w:r>
      <w:r>
        <w:rPr>
          <w:rFonts w:ascii="Arial" w:cs="Arial" w:eastAsia="Arial" w:hAnsi="Arial"/>
          <w:sz w:val="16"/>
          <w:szCs w:val="16"/>
          <w:color w:val="auto"/>
        </w:rPr>
        <w:t>”) with payments made by Tenant therefor have been made and a report thereof delivered to Tenant. Except as set forth below, Tenant has 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made and has no objections to such reconciliation, and waives all claims against Landlord for any overpayment of or other amounts with respect to the</w:t>
      </w:r>
    </w:p>
    <w:p>
      <w:pPr>
        <w:spacing w:after="0" w:line="21" w:lineRule="exact"/>
        <w:rPr>
          <w:sz w:val="20"/>
          <w:szCs w:val="20"/>
          <w:color w:val="auto"/>
        </w:rPr>
      </w:pPr>
    </w:p>
    <w:p>
      <w:pPr>
        <w:spacing w:after="0"/>
        <w:tabs>
          <w:tab w:leader="none" w:pos="7820" w:val="left"/>
        </w:tabs>
        <w:rPr>
          <w:sz w:val="20"/>
          <w:szCs w:val="20"/>
          <w:color w:val="auto"/>
        </w:rPr>
      </w:pPr>
      <w:r>
        <w:rPr>
          <w:rFonts w:ascii="Arial" w:cs="Arial" w:eastAsia="Arial" w:hAnsi="Arial"/>
          <w:sz w:val="18"/>
          <w:szCs w:val="18"/>
          <w:color w:val="auto"/>
        </w:rPr>
        <w:t>Expenses. LIST EXCEPTIONS:</w:t>
      </w:r>
      <w:r>
        <w:rPr>
          <w:sz w:val="20"/>
          <w:szCs w:val="20"/>
          <w:color w:val="auto"/>
        </w:rPr>
        <w:tab/>
      </w:r>
      <w:r>
        <w:rPr>
          <w:rFonts w:ascii="Arial" w:cs="Arial" w:eastAsia="Arial" w:hAnsi="Arial"/>
          <w:sz w:val="14"/>
          <w:szCs w:val="14"/>
          <w:color w:val="auto"/>
        </w:rPr>
        <w:t>.</w:t>
      </w:r>
    </w:p>
    <w:p>
      <w:pPr>
        <w:sectPr>
          <w:pgSz w:w="11900" w:h="16838" w:orient="portrait"/>
          <w:cols w:equalWidth="0" w:num="1">
            <w:col w:w="11460"/>
          </w:cols>
          <w:pgMar w:left="240" w:top="125" w:right="199" w:bottom="126" w:gutter="0" w:footer="0" w:header="0"/>
        </w:sectPr>
      </w:pPr>
    </w:p>
    <w:bookmarkStart w:id="90" w:name="page91"/>
    <w:bookmarkEnd w:id="90"/>
    <w:p>
      <w:pPr>
        <w:ind w:right="200" w:firstLine="1305"/>
        <w:spacing w:after="0" w:line="264" w:lineRule="auto"/>
        <w:tabs>
          <w:tab w:leader="none" w:pos="194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Except to the extent expressly set forth in the Lease, Tenant has no options, rights of offer, rights of refusal or other rights to purchase all or any portion of the Building. Tenant has no options, rights of offer, rights of refusal or other rights to expand the Premises or lease any other premises in the Building, except to the extent expressly set forth in the Lease.</w:t>
      </w:r>
    </w:p>
    <w:p>
      <w:pPr>
        <w:spacing w:after="0" w:line="181" w:lineRule="exact"/>
        <w:rPr>
          <w:rFonts w:ascii="Arial" w:cs="Arial" w:eastAsia="Arial" w:hAnsi="Arial"/>
          <w:sz w:val="18"/>
          <w:szCs w:val="18"/>
          <w:color w:val="auto"/>
        </w:rPr>
      </w:pPr>
    </w:p>
    <w:p>
      <w:pPr>
        <w:ind w:right="220" w:firstLine="1305"/>
        <w:spacing w:after="0" w:line="288" w:lineRule="auto"/>
        <w:tabs>
          <w:tab w:leader="none" w:pos="194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Except as set forth below, to Tenant’s actual knowledge, Tenant has no current claims against Landlord under the terms of the Lease requiring Landlord to perform any improvements or repairs to the Premises, and all allowances, reimbursements or other obligations of Landlord for the payment of monies to or for the benefit of Tenant have been fully paid, all in accordance with the terms of the Lease. LIST EXCEPTIONS:</w:t>
      </w:r>
    </w:p>
    <w:p>
      <w:pPr>
        <w:ind w:left="234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right="220" w:firstLine="1305"/>
        <w:spacing w:after="0" w:line="286" w:lineRule="auto"/>
        <w:tabs>
          <w:tab w:leader="none" w:pos="194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Except as set forth below, to Tenant’s actual knowledge, neither Landlord nor Tenant is in default in the performance of any covenant, agreement or condition contained in the Lease, and no event has occurred and no condition exists which, with the giving of notice or the lapse of time, or both, would constitute a default by any party under the Lease. Except as set forth below, to Tenant’s actual knowledge, Tenant has no defenses, counterclaims, liens or claims of offset or credit under the Lease or against rents, or any other claims against Landlord. LIST EXCEPTIONS:</w:t>
      </w:r>
    </w:p>
    <w:p>
      <w:pPr>
        <w:spacing w:after="0" w:line="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1960" w:hanging="655"/>
        <w:spacing w:after="0"/>
        <w:tabs>
          <w:tab w:leader="none" w:pos="19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Tenant is not the subject of any bankruptcy, insolvency or similar proceeding in any federal, state or other court or jurisdiction.</w:t>
      </w:r>
    </w:p>
    <w:p>
      <w:pPr>
        <w:spacing w:after="0" w:line="80" w:lineRule="exact"/>
        <w:rPr>
          <w:rFonts w:ascii="Arial" w:cs="Arial" w:eastAsia="Arial" w:hAnsi="Arial"/>
          <w:sz w:val="16"/>
          <w:szCs w:val="16"/>
          <w:color w:val="auto"/>
        </w:rPr>
      </w:pPr>
    </w:p>
    <w:p>
      <w:pPr>
        <w:ind w:left="1940" w:hanging="635"/>
        <w:spacing w:after="0"/>
        <w:tabs>
          <w:tab w:leader="none" w:pos="19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Except as set forth below, Tenant is in possession of the premises and has not subleased any portion of the Premises or assigned or</w:t>
      </w:r>
    </w:p>
    <w:p>
      <w:pPr>
        <w:spacing w:after="0" w:line="200" w:lineRule="exact"/>
        <w:rPr>
          <w:sz w:val="20"/>
          <w:szCs w:val="20"/>
          <w:color w:val="auto"/>
        </w:rPr>
      </w:pPr>
    </w:p>
    <w:p>
      <w:pPr>
        <w:spacing w:after="0"/>
        <w:tabs>
          <w:tab w:leader="none" w:pos="9500" w:val="left"/>
        </w:tabs>
        <w:rPr>
          <w:sz w:val="20"/>
          <w:szCs w:val="20"/>
          <w:color w:val="auto"/>
        </w:rPr>
      </w:pPr>
      <w:r>
        <w:rPr>
          <w:rFonts w:ascii="Arial" w:cs="Arial" w:eastAsia="Arial" w:hAnsi="Arial"/>
          <w:sz w:val="18"/>
          <w:szCs w:val="18"/>
          <w:color w:val="auto"/>
        </w:rPr>
        <w:t>otherwise transferred any of its rights under the Lease. LIST EXCEPTIONS:</w:t>
      </w:r>
      <w:r>
        <w:rPr>
          <w:sz w:val="20"/>
          <w:szCs w:val="20"/>
          <w:color w:val="auto"/>
        </w:rPr>
        <w:tab/>
      </w:r>
      <w:r>
        <w:rPr>
          <w:rFonts w:ascii="Arial" w:cs="Arial" w:eastAsia="Arial" w:hAnsi="Arial"/>
          <w:sz w:val="14"/>
          <w:szCs w:val="14"/>
          <w:color w:val="auto"/>
        </w:rPr>
        <w:t>.</w:t>
      </w:r>
    </w:p>
    <w:p>
      <w:pPr>
        <w:sectPr>
          <w:pgSz w:w="11900" w:h="16838" w:orient="portrait"/>
          <w:cols w:equalWidth="0" w:num="1">
            <w:col w:w="11380"/>
          </w:cols>
          <w:pgMar w:left="240" w:top="125" w:right="279" w:bottom="0" w:gutter="0" w:footer="0" w:header="0"/>
        </w:sectPr>
      </w:pP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5"/>
          <w:szCs w:val="15"/>
          <w:color w:val="auto"/>
        </w:rPr>
        <w:t>Tenant has deposited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with Landlord as a security deposit or letter of credit.</w:t>
      </w:r>
    </w:p>
    <w:p>
      <w:pPr>
        <w:spacing w:after="0" w:line="200" w:lineRule="exact"/>
        <w:rPr>
          <w:sz w:val="20"/>
          <w:szCs w:val="20"/>
          <w:color w:val="auto"/>
        </w:rPr>
      </w:pPr>
    </w:p>
    <w:p>
      <w:pPr>
        <w:sectPr>
          <w:pgSz w:w="11900" w:h="16838" w:orient="portrait"/>
          <w:cols w:equalWidth="0" w:num="2">
            <w:col w:w="4080" w:space="720"/>
            <w:col w:w="6580"/>
          </w:cols>
          <w:pgMar w:left="240" w:top="125" w:right="279" w:bottom="0" w:gutter="0" w:footer="0" w:header="0"/>
          <w:type w:val="continuous"/>
        </w:sectPr>
      </w:pPr>
    </w:p>
    <w:p>
      <w:pPr>
        <w:spacing w:after="0" w:line="48" w:lineRule="exact"/>
        <w:rPr>
          <w:sz w:val="20"/>
          <w:szCs w:val="20"/>
          <w:color w:val="auto"/>
        </w:rPr>
      </w:pPr>
    </w:p>
    <w:p>
      <w:pPr>
        <w:ind w:left="5660" w:right="1020" w:hanging="4355"/>
        <w:spacing w:after="0" w:line="528" w:lineRule="auto"/>
        <w:tabs>
          <w:tab w:leader="none" w:pos="193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Except as set forth below, no parties have guaranteed the performance of any of tenant’s obligations under the Lease. 2</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940" w:hanging="635"/>
        <w:spacing w:after="0"/>
        <w:tabs>
          <w:tab w:leader="none" w:pos="19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individual executing this Tenant Estoppel Certificate has the authority to do so on behalf of Tenant and to bind Tenant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terms hereof.</w:t>
      </w:r>
    </w:p>
    <w:p>
      <w:pPr>
        <w:spacing w:after="0" w:line="200" w:lineRule="exact"/>
        <w:rPr>
          <w:sz w:val="20"/>
          <w:szCs w:val="20"/>
          <w:color w:val="auto"/>
        </w:rPr>
      </w:pPr>
    </w:p>
    <w:p>
      <w:pPr>
        <w:spacing w:after="0" w:line="240"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-130175</wp:posOffset>
            </wp:positionV>
            <wp:extent cx="36106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5715</wp:posOffset>
            </wp:positionV>
            <wp:extent cx="33274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32245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BUILDING RULES AND REGULATIONS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Tenant shall faithfully observe and comply with the following Rules and Regulations to the extent the same do not conflict with the Lease, and in the event of any conflict between the following or any other Rules and Regulations promulgated by Landlord, on the one hand, and the Lease, on the other, the Lease shall control. Landlord shall enforce the following and any other Rules and Regulations promulgated by Landlord against the tenants and occupants of the Building on a uniform basis.</w:t>
      </w:r>
    </w:p>
    <w:p>
      <w:pPr>
        <w:spacing w:after="0" w:line="187" w:lineRule="exact"/>
        <w:rPr>
          <w:sz w:val="20"/>
          <w:szCs w:val="20"/>
          <w:color w:val="auto"/>
        </w:rPr>
      </w:pPr>
    </w:p>
    <w:p>
      <w:pPr>
        <w:ind w:firstLine="1305"/>
        <w:spacing w:after="0" w:line="257" w:lineRule="auto"/>
        <w:tabs>
          <w:tab w:leader="none" w:pos="194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Tenant shall not alter any lock or install any new or additional locks or bolts on any doors or windows of the Premises without obtaining Landlord’s prior written consent (not to be unreasonably withheld, conditioned or delayed. Tenant shall bear the cost of any lock changes or repairs required by Tenant. Not less than a Building-standard amount (based on the square footage of the Premises) of keys (including card-keys) to the Building, Premises and parking facilities will be furnished to Tenant by Landlord at Landlord’s sole expense, and any additional keys required by Tenant must be obtained from Landlord at a reasonable cost to be established by Landlord.</w:t>
      </w:r>
    </w:p>
    <w:p>
      <w:pPr>
        <w:spacing w:after="0" w:line="188" w:lineRule="exact"/>
        <w:rPr>
          <w:rFonts w:ascii="Arial" w:cs="Arial" w:eastAsia="Arial" w:hAnsi="Arial"/>
          <w:sz w:val="18"/>
          <w:szCs w:val="18"/>
          <w:color w:val="auto"/>
        </w:rPr>
      </w:pPr>
    </w:p>
    <w:p>
      <w:pPr>
        <w:ind w:right="100" w:firstLine="1305"/>
        <w:spacing w:after="0" w:line="277" w:lineRule="auto"/>
        <w:tabs>
          <w:tab w:leader="none" w:pos="194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All doors opening to public corridors shall be kept closed at all times except for normal ingress and egress to the Premises, unless electrical hold backs have been installed.</w:t>
      </w:r>
    </w:p>
    <w:p>
      <w:pPr>
        <w:spacing w:after="0" w:line="170" w:lineRule="exact"/>
        <w:rPr>
          <w:rFonts w:ascii="Arial" w:cs="Arial" w:eastAsia="Arial" w:hAnsi="Arial"/>
          <w:sz w:val="18"/>
          <w:szCs w:val="18"/>
          <w:color w:val="auto"/>
        </w:rPr>
      </w:pPr>
    </w:p>
    <w:p>
      <w:pPr>
        <w:ind w:firstLine="1305"/>
        <w:spacing w:after="0" w:line="287" w:lineRule="auto"/>
        <w:tabs>
          <w:tab w:leader="none" w:pos="194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Landlord reserves the right to close and keep locked all entrance and exit doors of the Building and to exclude from the Building between the hours of 6:00 p.m. and 7:00 a.m. and at all hours on Saturday, Sunday and Holidays all persons who do not present a pass or card key to the Building approved by Landlord; provided, however, that Landlord shall not exclude any contractors of Tenant requiring access to the Building during such hours to perform emergency repairs. Tenant, its employees and agents must be sure that the doors to the Premises are securely closed and locked when leaving the Premises if it is after the normal hours of business for the Building. Any tenant, its employees, agents or any other persons entering or leaving the Building at any time when it is so locked, or any time when it is considered to be after normal business hours for the Building may be required to sign the Building register when so doing. After-hours access by Tenant’s authorized employees may be provided by card-key access or other procedures adopted by Landlord from time to time; provided, however, that Tenant’s authorized employees shall have access to the Building, Premises and parking facilities 24/7. Landlord and its agents shall in no case be liable for damages for any error with regard to the admission to or exclusion from the Building or Land of any person. In case of invasion, mob, riot, public excitement, or other commotion, Landlord reserves the right to prevent access to the Building and/or Land during the continuance of same by any means it deems appropriate for the safety and protection of life and property.</w:t>
      </w:r>
    </w:p>
    <w:p>
      <w:pPr>
        <w:spacing w:after="0" w:line="172" w:lineRule="exact"/>
        <w:rPr>
          <w:rFonts w:ascii="Arial" w:cs="Arial" w:eastAsia="Arial" w:hAnsi="Arial"/>
          <w:sz w:val="16"/>
          <w:szCs w:val="16"/>
          <w:color w:val="auto"/>
        </w:rPr>
      </w:pPr>
    </w:p>
    <w:p>
      <w:pPr>
        <w:ind w:right="40" w:firstLine="1305"/>
        <w:spacing w:after="0" w:line="259" w:lineRule="auto"/>
        <w:tabs>
          <w:tab w:leader="none" w:pos="194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Landlord shall have the right to approve the weight, size and position of all safes and other types of heavy objects brought into the Building by Tenant, such approval not to be unreasonably withheld, conditioned or delayed. Safes and other heavy objects shall, if considered necessary by Landlord, stand on supports of such thickness as is necessary to properly distribute the weight. Subject to Paragraphs 16(g) and 21, all damage done to any part of the</w:t>
      </w:r>
    </w:p>
    <w:p>
      <w:pPr>
        <w:sectPr>
          <w:pgSz w:w="11900" w:h="16838" w:orient="portrait"/>
          <w:cols w:equalWidth="0" w:num="1">
            <w:col w:w="11380"/>
          </w:cols>
          <w:pgMar w:left="240" w:top="125" w:right="279" w:bottom="0" w:gutter="0" w:footer="0" w:header="0"/>
          <w:type w:val="continuous"/>
        </w:sectPr>
      </w:pPr>
    </w:p>
    <w:bookmarkStart w:id="91" w:name="page92"/>
    <w:bookmarkEnd w:id="91"/>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Building and/or Land or its contents by Tenant moving or maintaining any such safe or other heavy object shall be the sole responsibility of Tenant and any expense of said damage or injury shall be borne by Tenant.</w:t>
      </w:r>
    </w:p>
    <w:p>
      <w:pPr>
        <w:spacing w:after="0" w:line="170" w:lineRule="exact"/>
        <w:rPr>
          <w:sz w:val="20"/>
          <w:szCs w:val="20"/>
          <w:color w:val="auto"/>
        </w:rPr>
      </w:pPr>
    </w:p>
    <w:p>
      <w:pPr>
        <w:ind w:right="140" w:firstLine="1305"/>
        <w:spacing w:after="0" w:line="257" w:lineRule="auto"/>
        <w:tabs>
          <w:tab w:leader="none" w:pos="194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 safes or other heavy objects will be brought into or removed from the Building or carried up or down in the elevators, by Tenant, except upon prior notice to Landlord, and in such manner, in such specific elevator, and between such hours as shall be reasonably designated by Landlord. Tenant shall provide Landlord with not less than 24 hours prior notice of the need to utilize an elevator for any such purpose, so as to provide Landlord with a reasonable period to schedule such use and to install such padding or take such other actions or prescribe such procedures as are appropriate to protect against damage to the elevators or other parts of the Building.</w:t>
      </w:r>
    </w:p>
    <w:p>
      <w:pPr>
        <w:spacing w:after="0" w:line="188" w:lineRule="exact"/>
        <w:rPr>
          <w:rFonts w:ascii="Arial" w:cs="Arial" w:eastAsia="Arial" w:hAnsi="Arial"/>
          <w:sz w:val="18"/>
          <w:szCs w:val="18"/>
          <w:color w:val="auto"/>
        </w:rPr>
      </w:pPr>
    </w:p>
    <w:p>
      <w:pPr>
        <w:ind w:right="160" w:firstLine="1305"/>
        <w:spacing w:after="0" w:line="264" w:lineRule="auto"/>
        <w:tabs>
          <w:tab w:leader="none" w:pos="194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Landlord shall have the right to control and operate the public portions of the Building and Land, the public facilities, the heating and air conditioning serving the public portions of the Building, and any other facilities furnished for the common use of tenants, in such manner as is customary for comparable “first-class” buildings in the vicinity of the Building.</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Employees of Landlord shall not perform any work or do anything outside their regular duties unless under special instructions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from Landlord.</w:t>
      </w:r>
    </w:p>
    <w:p>
      <w:pPr>
        <w:spacing w:after="0" w:line="210" w:lineRule="exact"/>
        <w:rPr>
          <w:rFonts w:ascii="Arial" w:cs="Arial" w:eastAsia="Arial" w:hAnsi="Arial"/>
          <w:sz w:val="17"/>
          <w:szCs w:val="17"/>
          <w:color w:val="auto"/>
        </w:rPr>
      </w:pPr>
    </w:p>
    <w:p>
      <w:pPr>
        <w:ind w:right="20" w:firstLine="1305"/>
        <w:spacing w:after="0" w:line="277" w:lineRule="auto"/>
        <w:tabs>
          <w:tab w:leader="none" w:pos="194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Tenant shall not harass, solicit or canvass any occupant of the Building and shall reasonably cooperate with Landlord or Landlord’s agents at no cost to Tenant to prevent same.</w:t>
      </w:r>
    </w:p>
    <w:p>
      <w:pPr>
        <w:spacing w:after="0" w:line="170" w:lineRule="exact"/>
        <w:rPr>
          <w:rFonts w:ascii="Arial" w:cs="Arial" w:eastAsia="Arial" w:hAnsi="Arial"/>
          <w:sz w:val="18"/>
          <w:szCs w:val="18"/>
          <w:color w:val="auto"/>
        </w:rPr>
      </w:pPr>
    </w:p>
    <w:p>
      <w:pPr>
        <w:ind w:right="180" w:firstLine="1305"/>
        <w:spacing w:after="0" w:line="286" w:lineRule="auto"/>
        <w:tabs>
          <w:tab w:leader="none" w:pos="194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toilet rooms, urinals, wash bowls and other apparatus shall not be used for any purpose other than that for which they were constructed, and no foreign substance of any kind whatsoever shall be thrown therein. The expense of any breakage, stoppage or damage resulting from the violation of this rule shall be home by the tenant who, or whose employees or agents, shall have caused it.</w:t>
      </w:r>
    </w:p>
    <w:p>
      <w:pPr>
        <w:spacing w:after="0" w:line="165" w:lineRule="exact"/>
        <w:rPr>
          <w:rFonts w:ascii="Arial" w:cs="Arial" w:eastAsia="Arial" w:hAnsi="Arial"/>
          <w:sz w:val="17"/>
          <w:szCs w:val="17"/>
          <w:color w:val="auto"/>
        </w:rPr>
      </w:pPr>
    </w:p>
    <w:p>
      <w:pPr>
        <w:ind w:firstLine="1305"/>
        <w:spacing w:after="0" w:line="257" w:lineRule="auto"/>
        <w:tabs>
          <w:tab w:leader="none" w:pos="19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Tenant shall not overload the floor of the Premises, and, except in connection with alterations and improvements performed in accordance with Tenant’s Lease, shall not mark, drive nails or screws, or drill into the partitions, woodwork or plaster in any way deface the Premises or any part thereof without Landlord’s consent first had and obtained; provided, however, Landlord’s prior consent shall not be required with respect to Tenant’s placement of pictures and other normal office wall hangings on the interior walls of the Premises (but at the end of the Term, Tenant shall repair any holes and other damage to the Premises resulting therefrom).</w:t>
      </w:r>
    </w:p>
    <w:p>
      <w:pPr>
        <w:spacing w:after="0" w:line="188" w:lineRule="exact"/>
        <w:rPr>
          <w:rFonts w:ascii="Arial" w:cs="Arial" w:eastAsia="Arial" w:hAnsi="Arial"/>
          <w:sz w:val="18"/>
          <w:szCs w:val="18"/>
          <w:color w:val="auto"/>
        </w:rPr>
      </w:pPr>
    </w:p>
    <w:p>
      <w:pPr>
        <w:ind w:right="140" w:firstLine="1305"/>
        <w:spacing w:after="0" w:line="277" w:lineRule="auto"/>
        <w:tabs>
          <w:tab w:leader="none" w:pos="193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Except for vending machines intended for the sole use of Tenant’s employees and invitees, no vending machine shall be installed, maintained or operated upon the Premises without the written consent of Landlord.</w:t>
      </w:r>
    </w:p>
    <w:p>
      <w:pPr>
        <w:spacing w:after="0" w:line="170" w:lineRule="exact"/>
        <w:rPr>
          <w:rFonts w:ascii="Arial" w:cs="Arial" w:eastAsia="Arial" w:hAnsi="Arial"/>
          <w:sz w:val="18"/>
          <w:szCs w:val="18"/>
          <w:color w:val="auto"/>
        </w:rPr>
      </w:pPr>
    </w:p>
    <w:p>
      <w:pPr>
        <w:ind w:right="180" w:firstLine="1305"/>
        <w:spacing w:after="0" w:line="264" w:lineRule="auto"/>
        <w:tabs>
          <w:tab w:leader="none" w:pos="19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With the exception of Tenant’s own dedicated systems for its labs, Tenant shall not use any method of heating or air conditioning other than that which may be supplied by Landlord, without the prior written consent of Landlord. The foregoing shall not prohibit the use of small space heaters or fans.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firstLine="1305"/>
        <w:spacing w:after="0" w:line="264" w:lineRule="auto"/>
        <w:tabs>
          <w:tab w:leader="none" w:pos="19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With the exception of the Emergency Generator and Connecting Equipment, Tenant shall not use or keep in or on the Premises or the Land any kerosene, gasoline or other inflammable or combustible fluid or material. Tenant shall not use or keep any foul or noxious gas or substance in or on the Premises nor interfere in any way with other tenants or those having business therein.</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Tenant shall not bring into or keep within the Land or the Premises any animals or birds other than service animals.</w:t>
      </w:r>
    </w:p>
    <w:p>
      <w:pPr>
        <w:spacing w:after="0" w:line="225" w:lineRule="exact"/>
        <w:rPr>
          <w:rFonts w:ascii="Arial" w:cs="Arial" w:eastAsia="Arial" w:hAnsi="Arial"/>
          <w:sz w:val="18"/>
          <w:szCs w:val="18"/>
          <w:color w:val="auto"/>
        </w:rPr>
      </w:pPr>
    </w:p>
    <w:p>
      <w:pPr>
        <w:ind w:firstLine="1305"/>
        <w:spacing w:after="0" w:line="257" w:lineRule="auto"/>
        <w:tabs>
          <w:tab w:leader="none" w:pos="19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cooking of food other than in microwave ovens shall be done or permitted by any tenant on the Premises, nor shall the Premises be used for lodging or for any illegal purposes. Notwithstanding the foregoing, Underwriters’ laboratory-approved equipment and microwave ovens may be used in the Premises for heating food and brewing coffee, tea, hot chocolate and similar beverages, provided that such use is in accordance with all applicable federal, state and city laws, codes, ordinances, rules and regulations, and does not cause odors which are reasonably objectionable to Landlord and other tenants.</w:t>
      </w:r>
    </w:p>
    <w:p>
      <w:pPr>
        <w:spacing w:after="0" w:line="188" w:lineRule="exact"/>
        <w:rPr>
          <w:rFonts w:ascii="Arial" w:cs="Arial" w:eastAsia="Arial" w:hAnsi="Arial"/>
          <w:sz w:val="18"/>
          <w:szCs w:val="18"/>
          <w:color w:val="auto"/>
        </w:rPr>
      </w:pPr>
    </w:p>
    <w:p>
      <w:pPr>
        <w:ind w:right="160" w:firstLine="1305"/>
        <w:spacing w:after="0" w:line="259" w:lineRule="auto"/>
        <w:tabs>
          <w:tab w:leader="none" w:pos="19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Landlord will reasonably approve where and how telephone and telegraph wires are to be introduced to the Premises. Except in connection with alterations and improvements performed in accordance with Tenant’s Lease, no boring or cutting for wires shall be allowed without the consent of Landlord. The location of telephone call boxes and other office equipment permanently affixed to the Premises shall be subject to the reasonable approval of Landlord.</w:t>
      </w:r>
    </w:p>
    <w:p>
      <w:pPr>
        <w:spacing w:after="0" w:line="186" w:lineRule="exact"/>
        <w:rPr>
          <w:rFonts w:ascii="Arial" w:cs="Arial" w:eastAsia="Arial" w:hAnsi="Arial"/>
          <w:sz w:val="18"/>
          <w:szCs w:val="18"/>
          <w:color w:val="auto"/>
        </w:rPr>
      </w:pPr>
    </w:p>
    <w:p>
      <w:pPr>
        <w:ind w:right="340" w:firstLine="1305"/>
        <w:spacing w:after="0" w:line="342" w:lineRule="auto"/>
        <w:tabs>
          <w:tab w:leader="none" w:pos="19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Landlord reserves the right to exclude or expel from the Building and/or Land any person who, in the judgment of Landlord, is intoxicated or under the influence of liquor or drugs, or who shall in any manner do any act in violation of any of these Rules and Regulations.</w:t>
      </w:r>
    </w:p>
    <w:p>
      <w:pPr>
        <w:spacing w:after="0" w:line="123" w:lineRule="exact"/>
        <w:rPr>
          <w:rFonts w:ascii="Arial" w:cs="Arial" w:eastAsia="Arial" w:hAnsi="Arial"/>
          <w:sz w:val="16"/>
          <w:szCs w:val="16"/>
          <w:color w:val="auto"/>
        </w:rPr>
      </w:pPr>
    </w:p>
    <w:p>
      <w:pPr>
        <w:ind w:right="180" w:firstLine="1305"/>
        <w:spacing w:after="0" w:line="277" w:lineRule="auto"/>
        <w:tabs>
          <w:tab w:leader="none" w:pos="19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Tenant, its employees and agents shall not loiter in the entrances or corridors, nor in any way obstruct the sidewalks, lobby, halls, stairways or elevators, and shall use the same only as a means of ingress and egress for the Premises.</w:t>
      </w:r>
    </w:p>
    <w:p>
      <w:pPr>
        <w:spacing w:after="0" w:line="170" w:lineRule="exact"/>
        <w:rPr>
          <w:rFonts w:ascii="Arial" w:cs="Arial" w:eastAsia="Arial" w:hAnsi="Arial"/>
          <w:sz w:val="18"/>
          <w:szCs w:val="18"/>
          <w:color w:val="auto"/>
        </w:rPr>
      </w:pPr>
    </w:p>
    <w:p>
      <w:pPr>
        <w:jc w:val="both"/>
        <w:ind w:right="80" w:firstLine="1305"/>
        <w:spacing w:after="0" w:line="279" w:lineRule="auto"/>
        <w:tabs>
          <w:tab w:leader="none" w:pos="19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Tenant shall store all its trash and garbage within the interior of the Premises. No material shall be placed in the trash boxes or receptacles if such material is of such nature that it may not be disposed of in the ordinary and customary manner of removing and disposing of trash and garbage in the city in which the Building is located without violation of any law or ordinance governing such disposal. All trash, garbage and refuse disposal shall be made only through entry-ways and elevators provided for such purposes at such times as Landlord shall designate.</w:t>
      </w:r>
    </w:p>
    <w:p>
      <w:pPr>
        <w:spacing w:after="0" w:line="171" w:lineRule="exact"/>
        <w:rPr>
          <w:rFonts w:ascii="Arial" w:cs="Arial" w:eastAsia="Arial" w:hAnsi="Arial"/>
          <w:sz w:val="17"/>
          <w:szCs w:val="17"/>
          <w:color w:val="auto"/>
        </w:rPr>
      </w:pPr>
    </w:p>
    <w:p>
      <w:pPr>
        <w:ind w:left="1940" w:hanging="635"/>
        <w:spacing w:after="0"/>
        <w:tabs>
          <w:tab w:leader="none" w:pos="19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Tenant shall comply with all safety, fire protection and evacuation procedures and regulations established by Landlord or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governmental agency.</w:t>
      </w:r>
    </w:p>
    <w:p>
      <w:pPr>
        <w:sectPr>
          <w:pgSz w:w="11900" w:h="16838" w:orient="portrait"/>
          <w:cols w:equalWidth="0" w:num="1">
            <w:col w:w="11420"/>
          </w:cols>
          <w:pgMar w:left="240" w:top="341" w:right="239" w:bottom="0" w:gutter="0" w:footer="0" w:header="0"/>
        </w:sectPr>
      </w:pPr>
    </w:p>
    <w:bookmarkStart w:id="92" w:name="page93"/>
    <w:bookmarkEnd w:id="92"/>
    <w:p>
      <w:pPr>
        <w:ind w:left="1940" w:hanging="635"/>
        <w:spacing w:after="0"/>
        <w:tabs>
          <w:tab w:leader="none" w:pos="19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Tenant shall keep doors locked and other means of entry to the Premises closed, when the Premises are not occupied.</w:t>
      </w:r>
    </w:p>
    <w:p>
      <w:pPr>
        <w:spacing w:after="0" w:line="225" w:lineRule="exact"/>
        <w:rPr>
          <w:rFonts w:ascii="Arial" w:cs="Arial" w:eastAsia="Arial" w:hAnsi="Arial"/>
          <w:sz w:val="18"/>
          <w:szCs w:val="18"/>
          <w:color w:val="auto"/>
        </w:rPr>
      </w:pPr>
    </w:p>
    <w:p>
      <w:pPr>
        <w:ind w:right="60" w:firstLine="1305"/>
        <w:spacing w:after="0" w:line="277" w:lineRule="auto"/>
        <w:tabs>
          <w:tab w:leader="none" w:pos="19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 awnings or other projection shall be attached to the outside walls of the Building without the prior written consent of Landlord. No non-Building standard curtains, blinds,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shades or screens shall be attached to or hung in, or used in connection with, any window or door of the Premises without the prior written consent of Landlord, not to be unreasonably withheld, conditioned or delayed. The sashes, sash doors, skylights, windows, and doors that reflect or admit light and air into the halls, passageways or other public places in the Building shall not be covered or obstructed by Tenant, nor shall any bottles, parcels or other articles be placed on the windowsills. All electrical ceiling fixtures hung in offices or spaces along the perimeter of the Building must be fluorescent and/or of a quality, type, design and bulb color approved by Landlord, not to be unreasonably withheld, conditioned or delayed.</w:t>
      </w:r>
    </w:p>
    <w:p>
      <w:pPr>
        <w:spacing w:after="0" w:line="173" w:lineRule="exact"/>
        <w:rPr>
          <w:sz w:val="20"/>
          <w:szCs w:val="20"/>
          <w:color w:val="auto"/>
        </w:rPr>
      </w:pPr>
    </w:p>
    <w:p>
      <w:pPr>
        <w:ind w:left="1940" w:hanging="635"/>
        <w:spacing w:after="0"/>
        <w:tabs>
          <w:tab w:leader="none" w:pos="19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washing and/or detailing of or, the installation of windshields, radios, telephones in or general work on, automobiles shall not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allowed on the Land.</w:t>
      </w:r>
    </w:p>
    <w:p>
      <w:pPr>
        <w:spacing w:after="0" w:line="210" w:lineRule="exact"/>
        <w:rPr>
          <w:rFonts w:ascii="Arial" w:cs="Arial" w:eastAsia="Arial" w:hAnsi="Arial"/>
          <w:sz w:val="16"/>
          <w:szCs w:val="16"/>
          <w:color w:val="auto"/>
        </w:rPr>
      </w:pPr>
    </w:p>
    <w:p>
      <w:pPr>
        <w:ind w:right="80" w:firstLine="1305"/>
        <w:spacing w:after="0" w:line="270" w:lineRule="auto"/>
        <w:tabs>
          <w:tab w:leader="none" w:pos="19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term “personal goods or services vendors” as used herein means persons who periodically enter the Building of which the Premises are a part for the purpose of selling goods or services to a tenant, other than goods or services which are used by the Tenant only for the purpose of conducting its business in the Premises. “Personal goods or services” include, but are not limited to, drinking water and other beverages, food, barbering services and shoe-shining services. Landlord reserves the right to prohibit personal goods and services vendors from access to the Building except upon Landlord’s prior written consent and upon such reasonable terms and conditions, including, but not limited to, the payment of a reasonable fee and provision for insurance coverage, as are related to the safety, care and cleanliness of the Building, the preservation of good order thereon, and the relief of any financial or other burden on Landlord or other tenants occasioned by the presence of such vendors or the sale by them of personal goods or services to Tenant or its employees. Under no circumstance shall the personal goods or services vendors display their products in a public or common area, including corridors and elevator lobbies. If necessary for the accomplishment of these purposes, Landlord may exclude a particular vendor entirely or limit the number of vendors who may be present at any one time in the Building</w:t>
      </w:r>
    </w:p>
    <w:p>
      <w:pPr>
        <w:spacing w:after="0" w:line="177" w:lineRule="exact"/>
        <w:rPr>
          <w:rFonts w:ascii="Arial" w:cs="Arial" w:eastAsia="Arial" w:hAnsi="Arial"/>
          <w:sz w:val="17"/>
          <w:szCs w:val="17"/>
          <w:color w:val="auto"/>
        </w:rPr>
      </w:pPr>
    </w:p>
    <w:p>
      <w:pPr>
        <w:ind w:left="1940" w:hanging="635"/>
        <w:spacing w:after="0"/>
        <w:tabs>
          <w:tab w:leader="none" w:pos="19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Tenant must comply with reasonable requests by the Landlord concerning the informing of their employees of items of importance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Landlord.</w:t>
      </w:r>
    </w:p>
    <w:p>
      <w:pPr>
        <w:spacing w:after="0" w:line="210" w:lineRule="exact"/>
        <w:rPr>
          <w:rFonts w:ascii="Arial" w:cs="Arial" w:eastAsia="Arial" w:hAnsi="Arial"/>
          <w:sz w:val="16"/>
          <w:szCs w:val="16"/>
          <w:color w:val="auto"/>
        </w:rPr>
      </w:pPr>
    </w:p>
    <w:p>
      <w:pPr>
        <w:ind w:left="1940" w:hanging="635"/>
        <w:spacing w:after="0"/>
        <w:tabs>
          <w:tab w:leader="none" w:pos="19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Tenant shall comply with any non-smoking ordinance applicable to the Premises or Building adopted by any applicable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governmental authority.</w:t>
      </w:r>
    </w:p>
    <w:p>
      <w:pPr>
        <w:spacing w:after="0" w:line="210" w:lineRule="exact"/>
        <w:rPr>
          <w:rFonts w:ascii="Arial" w:cs="Arial" w:eastAsia="Arial" w:hAnsi="Arial"/>
          <w:sz w:val="18"/>
          <w:szCs w:val="18"/>
          <w:color w:val="auto"/>
        </w:rPr>
      </w:pPr>
    </w:p>
    <w:p>
      <w:pPr>
        <w:ind w:firstLine="1305"/>
        <w:spacing w:after="0" w:line="293" w:lineRule="auto"/>
        <w:tabs>
          <w:tab w:leader="none" w:pos="19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Landlord reserves the right at any time to reasonably change or rescind any one or more of these Rules and Regulations, or to make such other and further reasonable, non-discriminatory and uniformly enforced Rules and Regulations delivered to Tenant in writing as in Landlord’s judgment may from time to time be necessary for the management, safety, care and cleanliness of the Premises and Building, and for the preservation of good order therein, as well as for the convenience of other occupants and tenants therein, provided such changes and Rules and Regulations do not interfere with the Permitted Use or conflict with the terms of the Lease. Landlord shall not be responsible to Tenant or to any other person for the nonobservance of the Rules and Regulations by another tenant or other person, Tenant shall be deemed to have read these Rules and Regulations.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TENANT’S PROPERTY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H</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u w:val="single" w:color="auto"/>
          <w:color w:val="auto"/>
        </w:rPr>
        <w:t>FORM OF LETTER OF CREDIT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IRREVOCABLE STANDBY LETTER OF CREDIT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14605</wp:posOffset>
            </wp:positionV>
            <wp:extent cx="27101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ISSUING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3003 TASMAN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2ND FLOOR, MAIL SORT HF210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 95054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BENEFICIARY: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FUND US INVESTMENTS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REAL ESTATE CAPITAL PARTNERS</w:t>
      </w:r>
    </w:p>
    <w:p>
      <w:pPr>
        <w:spacing w:after="0" w:line="205" w:lineRule="auto"/>
        <w:rPr>
          <w:sz w:val="20"/>
          <w:szCs w:val="20"/>
          <w:color w:val="auto"/>
        </w:rPr>
      </w:pPr>
      <w:r>
        <w:rPr>
          <w:rFonts w:ascii="Arial" w:cs="Arial" w:eastAsia="Arial" w:hAnsi="Arial"/>
          <w:sz w:val="18"/>
          <w:szCs w:val="18"/>
          <w:color w:val="auto"/>
        </w:rPr>
        <w:t>114 WEST 47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23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KARIN E. SHEWER</w:t>
      </w:r>
    </w:p>
    <w:p>
      <w:pPr>
        <w:sectPr>
          <w:pgSz w:w="11900" w:h="16838" w:orient="portrait"/>
          <w:cols w:equalWidth="0" w:num="1">
            <w:col w:w="11420"/>
          </w:cols>
          <w:pgMar w:left="240" w:top="125" w:right="239" w:bottom="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FACSIMILE NO.: 212-843-6120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REAL ESTATE CAPITAL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13241 WOODLAND PARK ROAD,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HERNDON, VA 20171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703-481-7100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703-481-7101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APPLICANT: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VERACYTE, INC., A DELAWARE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rPr>
              <w:t>AMOUNT:</w:t>
            </w:r>
          </w:p>
        </w:tc>
        <w:tc>
          <w:tcPr>
            <w:tcW w:w="9080" w:type="dxa"/>
            <w:vAlign w:val="bottom"/>
            <w:gridSpan w:val="2"/>
          </w:tcPr>
          <w:p>
            <w:pPr>
              <w:jc w:val="right"/>
              <w:ind w:right="250"/>
              <w:spacing w:after="0"/>
              <w:rPr>
                <w:sz w:val="20"/>
                <w:szCs w:val="20"/>
                <w:color w:val="auto"/>
              </w:rPr>
            </w:pPr>
            <w:r>
              <w:rPr>
                <w:rFonts w:ascii="Arial" w:cs="Arial" w:eastAsia="Arial" w:hAnsi="Arial"/>
                <w:sz w:val="18"/>
                <w:szCs w:val="18"/>
                <w:color w:val="auto"/>
                <w:w w:val="98"/>
              </w:rPr>
              <w:t>US$ SIX HUNDRED THREE THOUSAND TWO HUNDRED FIFTY-ONE AND 25/100 DOLLARS ($603,251.25)</w:t>
            </w:r>
          </w:p>
        </w:tc>
      </w:tr>
      <w:tr>
        <w:trPr>
          <w:trHeight w:val="432"/>
        </w:trPr>
        <w:tc>
          <w:tcPr>
            <w:tcW w:w="7580" w:type="dxa"/>
            <w:vAlign w:val="bottom"/>
            <w:gridSpan w:val="3"/>
          </w:tcPr>
          <w:p>
            <w:pPr>
              <w:spacing w:after="0"/>
              <w:rPr>
                <w:sz w:val="20"/>
                <w:szCs w:val="20"/>
                <w:color w:val="auto"/>
              </w:rPr>
            </w:pPr>
            <w:r>
              <w:rPr>
                <w:rFonts w:ascii="Arial" w:cs="Arial" w:eastAsia="Arial" w:hAnsi="Arial"/>
                <w:sz w:val="18"/>
                <w:szCs w:val="18"/>
                <w:color w:val="auto"/>
              </w:rPr>
              <w:t>EXPIRATION DATE: JULY 31, 2016</w:t>
            </w:r>
          </w:p>
        </w:tc>
        <w:tc>
          <w:tcPr>
            <w:tcW w:w="3880" w:type="dxa"/>
            <w:vAlign w:val="bottom"/>
          </w:tcPr>
          <w:p>
            <w:pPr>
              <w:spacing w:after="0"/>
              <w:rPr>
                <w:sz w:val="24"/>
                <w:szCs w:val="24"/>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LOCATION:</w:t>
            </w:r>
          </w:p>
        </w:tc>
        <w:tc>
          <w:tcPr>
            <w:tcW w:w="6440" w:type="dxa"/>
            <w:vAlign w:val="bottom"/>
            <w:gridSpan w:val="2"/>
          </w:tcPr>
          <w:p>
            <w:pPr>
              <w:jc w:val="right"/>
              <w:ind w:right="3110"/>
              <w:spacing w:after="0"/>
              <w:rPr>
                <w:sz w:val="20"/>
                <w:szCs w:val="20"/>
                <w:color w:val="auto"/>
              </w:rPr>
            </w:pPr>
            <w:r>
              <w:rPr>
                <w:rFonts w:ascii="Arial" w:cs="Arial" w:eastAsia="Arial" w:hAnsi="Arial"/>
                <w:sz w:val="18"/>
                <w:szCs w:val="18"/>
                <w:color w:val="auto"/>
              </w:rPr>
              <w:t>SANTA CLARA, CALIFORNIA</w:t>
            </w:r>
          </w:p>
        </w:tc>
        <w:tc>
          <w:tcPr>
            <w:tcW w:w="388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0" w:type="dxa"/>
            <w:vAlign w:val="bottom"/>
          </w:tcPr>
          <w:p>
            <w:pPr>
              <w:jc w:val="right"/>
              <w:ind w:right="1730"/>
              <w:spacing w:after="0"/>
              <w:rPr>
                <w:sz w:val="20"/>
                <w:szCs w:val="20"/>
                <w:color w:val="auto"/>
              </w:rPr>
            </w:pPr>
            <w:r>
              <w:rPr>
                <w:rFonts w:ascii="Arial" w:cs="Arial" w:eastAsia="Arial" w:hAnsi="Arial"/>
                <w:sz w:val="18"/>
                <w:szCs w:val="18"/>
                <w:color w:val="auto"/>
              </w:rPr>
              <w:t>1</w:t>
            </w:r>
          </w:p>
        </w:tc>
        <w:tc>
          <w:tcPr>
            <w:tcW w:w="3880" w:type="dxa"/>
            <w:vAlign w:val="bottom"/>
          </w:tcPr>
          <w:p>
            <w:pPr>
              <w:spacing w:after="0"/>
              <w:rPr>
                <w:sz w:val="24"/>
                <w:szCs w:val="24"/>
                <w:color w:val="auto"/>
              </w:rPr>
            </w:pPr>
          </w:p>
        </w:tc>
      </w:tr>
      <w:tr>
        <w:trPr>
          <w:trHeight w:val="132"/>
        </w:trPr>
        <w:tc>
          <w:tcPr>
            <w:tcW w:w="2380" w:type="dxa"/>
            <w:vAlign w:val="bottom"/>
            <w:tcBorders>
              <w:bottom w:val="single" w:sz="8" w:color="808080"/>
            </w:tcBorders>
            <w:gridSpan w:val="2"/>
          </w:tcPr>
          <w:p>
            <w:pPr>
              <w:spacing w:after="0"/>
              <w:rPr>
                <w:sz w:val="11"/>
                <w:szCs w:val="11"/>
                <w:color w:val="auto"/>
              </w:rPr>
            </w:pPr>
          </w:p>
        </w:tc>
        <w:tc>
          <w:tcPr>
            <w:tcW w:w="5200" w:type="dxa"/>
            <w:vAlign w:val="bottom"/>
            <w:tcBorders>
              <w:bottom w:val="single" w:sz="8" w:color="808080"/>
            </w:tcBorders>
          </w:tcPr>
          <w:p>
            <w:pPr>
              <w:spacing w:after="0"/>
              <w:rPr>
                <w:sz w:val="11"/>
                <w:szCs w:val="11"/>
                <w:color w:val="auto"/>
              </w:rPr>
            </w:pPr>
          </w:p>
        </w:tc>
        <w:tc>
          <w:tcPr>
            <w:tcW w:w="3880" w:type="dxa"/>
            <w:vAlign w:val="bottom"/>
            <w:tcBorders>
              <w:bottom w:val="single" w:sz="8" w:color="808080"/>
            </w:tcBorders>
          </w:tcPr>
          <w:p>
            <w:pPr>
              <w:spacing w:after="0"/>
              <w:rPr>
                <w:sz w:val="11"/>
                <w:szCs w:val="11"/>
                <w:color w:val="auto"/>
              </w:rPr>
            </w:pPr>
          </w:p>
        </w:tc>
      </w:tr>
      <w:tr>
        <w:trPr>
          <w:trHeight w:val="780"/>
        </w:trPr>
        <w:tc>
          <w:tcPr>
            <w:tcW w:w="2380" w:type="dxa"/>
            <w:vAlign w:val="bottom"/>
            <w:gridSpan w:val="2"/>
          </w:tcPr>
          <w:p>
            <w:pPr>
              <w:spacing w:after="0"/>
              <w:rPr>
                <w:sz w:val="20"/>
                <w:szCs w:val="20"/>
                <w:color w:val="auto"/>
              </w:rPr>
            </w:pPr>
            <w:r>
              <w:rPr>
                <w:rFonts w:ascii="Arial" w:cs="Arial" w:eastAsia="Arial" w:hAnsi="Arial"/>
                <w:sz w:val="18"/>
                <w:szCs w:val="18"/>
                <w:color w:val="auto"/>
              </w:rPr>
              <w:t>DEAR SIR/MADAM:</w:t>
            </w:r>
          </w:p>
        </w:tc>
        <w:tc>
          <w:tcPr>
            <w:tcW w:w="52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432"/>
        </w:trPr>
        <w:tc>
          <w:tcPr>
            <w:tcW w:w="7580" w:type="dxa"/>
            <w:vAlign w:val="bottom"/>
            <w:gridSpan w:val="3"/>
          </w:tcPr>
          <w:p>
            <w:pPr>
              <w:spacing w:after="0"/>
              <w:rPr>
                <w:sz w:val="20"/>
                <w:szCs w:val="20"/>
                <w:color w:val="auto"/>
              </w:rPr>
            </w:pPr>
            <w:r>
              <w:rPr>
                <w:rFonts w:ascii="Arial" w:cs="Arial" w:eastAsia="Arial" w:hAnsi="Arial"/>
                <w:sz w:val="18"/>
                <w:szCs w:val="18"/>
                <w:color w:val="auto"/>
                <w:w w:val="99"/>
              </w:rPr>
              <w:t>WE HEREBY ESTABLISH OUR IRREVOCABLE STANDBY LETTER OF CREDIT NO. SVBSF</w:t>
            </w:r>
          </w:p>
        </w:tc>
        <w:tc>
          <w:tcPr>
            <w:tcW w:w="3880" w:type="dxa"/>
            <w:vAlign w:val="bottom"/>
          </w:tcPr>
          <w:p>
            <w:pPr>
              <w:jc w:val="right"/>
              <w:ind w:right="250"/>
              <w:spacing w:after="0"/>
              <w:rPr>
                <w:sz w:val="20"/>
                <w:szCs w:val="20"/>
                <w:color w:val="auto"/>
              </w:rPr>
            </w:pPr>
            <w:r>
              <w:rPr>
                <w:rFonts w:ascii="Arial" w:cs="Arial" w:eastAsia="Arial" w:hAnsi="Arial"/>
                <w:sz w:val="18"/>
                <w:szCs w:val="18"/>
                <w:color w:val="auto"/>
              </w:rPr>
              <w:t>IN YOUR FAVOR AVAILABLE BY YOUR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DRAFTS DRAWN ON US AT SIGHT IN THE FORM OF EXHIBIT “A” ATTACHED AND ACCOMPANIED BY THE FOLLOWING DOCUMENTS:</w:t>
      </w:r>
    </w:p>
    <w:p>
      <w:pPr>
        <w:spacing w:after="0" w:line="211"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ORIGINAL OF THIS LETTER OF CREDIT AND ALL AMENDMENT(S), IF 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BENEFICIARY’S SIGNED STATEMENT STATING AS FOLLOWS:</w:t>
      </w:r>
    </w:p>
    <w:p>
      <w:pPr>
        <w:spacing w:after="0" w:line="46" w:lineRule="exact"/>
        <w:rPr>
          <w:sz w:val="20"/>
          <w:szCs w:val="20"/>
          <w:color w:val="auto"/>
        </w:rPr>
      </w:pPr>
    </w:p>
    <w:p>
      <w:pPr>
        <w:ind w:left="1320" w:hanging="664"/>
        <w:spacing w:after="0"/>
        <w:tabs>
          <w:tab w:leader="none" w:pos="13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“SUCH AMOUNT IS DUE TO THE BENEFICIARY AS LANDLORD UNDER THE TERMS AND CONDITIONS OF THAT CERTAIN</w:t>
      </w:r>
    </w:p>
    <w:p>
      <w:pPr>
        <w:spacing w:after="0" w:line="200"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LEASE AGREEMENT DATED FOR PREMISES LOCATED AT 6000 SHORELINE COURT, SOUTH SAN FRANCISCO, CALIFORNIA; OR</w:t>
      </w:r>
    </w:p>
    <w:p>
      <w:pPr>
        <w:spacing w:after="0" w:line="200" w:lineRule="exact"/>
        <w:rPr>
          <w:sz w:val="20"/>
          <w:szCs w:val="20"/>
          <w:color w:val="auto"/>
        </w:rPr>
      </w:pPr>
    </w:p>
    <w:p>
      <w:pPr>
        <w:spacing w:after="0" w:line="226" w:lineRule="exact"/>
        <w:rPr>
          <w:sz w:val="20"/>
          <w:szCs w:val="20"/>
          <w:color w:val="auto"/>
        </w:rPr>
      </w:pPr>
    </w:p>
    <w:p>
      <w:pPr>
        <w:ind w:right="700" w:firstLine="656"/>
        <w:spacing w:after="0" w:line="277" w:lineRule="auto"/>
        <w:tabs>
          <w:tab w:leader="none" w:pos="130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BANK HAS NOTIFIED US THAT THIS LETTER OF CREDIT WILL NOT BE EXTENDED BEYOND THE CURRENT EXPIRATION DATE OF THIS LETTER OF CREDIT;” 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“TENANT HAS FILED A VOLUNTARY PETITION UNDER THE FEDERAL BANKRUPTCY CODE;” OR</w:t>
      </w:r>
    </w:p>
    <w:p>
      <w:pPr>
        <w:spacing w:after="0" w:line="225" w:lineRule="exact"/>
        <w:rPr>
          <w:rFonts w:ascii="Arial" w:cs="Arial" w:eastAsia="Arial" w:hAnsi="Arial"/>
          <w:sz w:val="18"/>
          <w:szCs w:val="18"/>
          <w:color w:val="auto"/>
        </w:rPr>
      </w:pPr>
    </w:p>
    <w:p>
      <w:pPr>
        <w:ind w:right="700" w:firstLine="656"/>
        <w:spacing w:after="0" w:line="501" w:lineRule="auto"/>
        <w:tabs>
          <w:tab w:leader="none" w:pos="131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INVOLUNTARY PETITION HAS BEEN FILED AGAINST TENANT UNDER THE FEDERAL BANKRUPTCY CODE”. PARTIAL DRAWS AND MULTIPLE PRESENTATIONS ARE ALLOWED.</w:t>
      </w:r>
    </w:p>
    <w:p>
      <w:pPr>
        <w:ind w:right="800"/>
        <w:spacing w:after="0" w:line="277" w:lineRule="auto"/>
        <w:rPr>
          <w:sz w:val="20"/>
          <w:szCs w:val="20"/>
          <w:color w:val="auto"/>
        </w:rPr>
      </w:pPr>
      <w:r>
        <w:rPr>
          <w:rFonts w:ascii="Arial" w:cs="Arial" w:eastAsia="Arial" w:hAnsi="Arial"/>
          <w:sz w:val="18"/>
          <w:szCs w:val="18"/>
          <w:color w:val="auto"/>
        </w:rPr>
        <w:t>THIS ORIGINAL LETTER OF CREDIT MUST ACCOMPANY ANY DRAWINGS HEREUNDER FOR ENDORSEMENT OF THE DRAWING AMOUNT AND WILL BE RETURNED TO THE BENEFICIARY UNLESS IT IS FULLY UTILIZED.</w:t>
      </w:r>
    </w:p>
    <w:p>
      <w:pPr>
        <w:spacing w:after="0" w:line="17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THIS LETTER OF CREDIT SHALL BE AUTOMATICALLY EXTENDED FOR AN ADDITIONAL PERIOD OF ONE YEAR, WITHOUT AMENDMENT, FROM THE PRESENT OR EACH FUTURE EXPIRATION DATE UNLESS AT LEAST THIRTY (30) DAYS PRIOR TO THE THEN CURRENT EXPIRATION DATE WE SEND YOU A NOTICE BY REGISTERED MAIL OR OVERNIGHT COURIER SERVICE AT THE ABOVE ADDRESS THAT THIS LETTER OF CREDIT WILL NOT BE EXTENDED BEYOND THE CURRENT EXPIRATION DATE. IN NO EVENT SHALL THIS LETTER OF CREDIT BE AUTOMATICALLY EXTENDED BEYOND JULY 31, 2026.</w:t>
      </w:r>
    </w:p>
    <w:p>
      <w:pPr>
        <w:spacing w:after="0" w:line="188"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THIS LETTER OF CREDIT IS TRANSFERABLE ONE OR MORE TIMES, BUT IN EACH INSTANCE ONLY TO A SINGLE BENEFICIARY AS TRANSFEREE AND ONLY UP TO THE THEN AVAILABLE AMOUNT, ASSUMING SUCH TRANSFER TO SUCH TRANSFEREE WOULD BE IN COMPLIANCE WITH THEN APPLICABLE LAW AND REGULATION, INCLUDING BUT NOT LIMITED TO THE REGULATIONS OF THE U. 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DEPARTMENT OF TREASURY AND U. S. DEPARTMENT OF COMMERCE. AT THE TIME OF TRANSFER, THE ORIGINAL LETTER OF CREDIT AND ORIGINAL AMENDMENT(S), IF ANY, MUST BE SURRENDERED TO US AT OUR ADDRESS INDICATED IN THIS LETTER OF CREDIT TOGETHER WITH OUR TRANSFER FORM ATTACHED HERETO AS EXHIBIT “B” DULY EXECUTED. THE CORRECTNESS OF THE SIGNATURE AND TITLE OF THE PERSON SIGNING THE TRANSFER FORM MUST BE VERIFIED BY BENEFICIARY’S BANK. [SELECT ONE: BENEFICIARY OR APPLICANT] SHALL PAY OUR TRANSFER FEE OF ¼ OF 1% OF THE TRANSFER AMOUNT (MINIMUM US$250.00) UNDER THIS LETTER OF CREDIT. EACH TRANSFER SHALL BE EVIDENCED BY OUR ENDORSEMENT ON THE REVERSE OF THE LETTER OF CREDIT AND WE SHALL FORWARD THE ORIGINAL OF THE LETTER OF CREDIT SO ENDORSED TO THE TRANSFEREE.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DRAFT(S) AND DOCUMENTS MUST INDICATE THE NUMBER AND DATE OF THIS LETTER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DOCUMENTS MUST BE FORWARDED TO US BY OVERNIGHT DELIVERY SERVICE TO: SILICON VALLEY BANK, 3003 TASMAN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95054, ATTN: INTERNATIONAL DIVISION.</w:t>
      </w:r>
    </w:p>
    <w:p>
      <w:pPr>
        <w:sectPr>
          <w:pgSz w:w="11900" w:h="16838" w:orient="portrait"/>
          <w:cols w:equalWidth="0" w:num="1">
            <w:col w:w="11460"/>
          </w:cols>
          <w:pgMar w:left="240" w:top="125" w:right="199" w:bottom="0" w:gutter="0" w:footer="0" w:header="0"/>
        </w:sectPr>
      </w:pPr>
    </w:p>
    <w:bookmarkStart w:id="94" w:name="page95"/>
    <w:bookmarkEnd w:id="94"/>
    <w:p>
      <w:pPr>
        <w:ind w:right="140"/>
        <w:spacing w:after="0" w:line="259" w:lineRule="auto"/>
        <w:rPr>
          <w:sz w:val="20"/>
          <w:szCs w:val="20"/>
          <w:color w:val="auto"/>
        </w:rPr>
      </w:pPr>
      <w:r>
        <w:rPr>
          <w:rFonts w:ascii="Arial" w:cs="Arial" w:eastAsia="Arial" w:hAnsi="Arial"/>
          <w:sz w:val="18"/>
          <w:szCs w:val="18"/>
          <w:color w:val="auto"/>
        </w:rPr>
        <w:t>WE HEREBY AGREE WITH THE BENEFICIARY THAT THE DRAFTS DRAWN UNDER AND IN ACCORDANCE WITH THE TERMS AND CONDITIONS OF THIS LETTER OF CREDIT SHALL BE DULY HONORED UPON PRESENTATION TO US ON OR BEFORE THE EXPIRATION DATE OF THIS LETTER OF CREDIT, WITHOUT INQUIRY AS TO THE ACCURACY THEREOF AND REGARDLESS OF WHETHER APPLICANT DISPUTES THE CONTENT OF ANY SUCH DOCUMENTS OR CERTIFICATIONS.</w:t>
      </w:r>
    </w:p>
    <w:p>
      <w:pPr>
        <w:spacing w:after="0" w:line="18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IF ANY INSTRUCTIONS ACCOMPANYING A DRAWING UNDER THIS LETTER OF CREDIT REQUEST THAT PAYMENT IS TO BE MADE BY TRANSFER TO YOUR ACCOUNT WITH ANOTHER BANK, WE WILL ONLY EFFECT SUCH PAYMENT BY FED WIRE TO A U.S. REGULATED BANK, AND WE AND/OR SUCH OTHER BANK MAY RELY ON AN ACCOUNT NUMBER SPECIFIED IN SUCH INSTRUCTIONS EVEN IF THE NUMBER IDENTIFIES A PERSON OR ENTITY DIFFERENT FROM THE INTENDED PAYEE.</w:t>
      </w:r>
    </w:p>
    <w:p>
      <w:pPr>
        <w:spacing w:after="0" w:line="187"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THIS LETTER OF CREDIT IS SUBJECT TO THE INTERNATIONAL STANDBY PRACTICES (ISP98), INTERNATIONAL CHAMBER OF COMMERCE, PUBLICATION NO. 590.</w:t>
      </w:r>
    </w:p>
    <w:p>
      <w:pPr>
        <w:spacing w:after="0" w:line="400" w:lineRule="exact"/>
        <w:rPr>
          <w:sz w:val="20"/>
          <w:szCs w:val="20"/>
          <w:color w:val="auto"/>
        </w:rPr>
      </w:pPr>
    </w:p>
    <w:p>
      <w:pPr>
        <w:ind w:left="1760"/>
        <w:spacing w:after="0"/>
        <w:tabs>
          <w:tab w:leader="none" w:pos="7440" w:val="left"/>
        </w:tabs>
        <w:rPr>
          <w:sz w:val="20"/>
          <w:szCs w:val="20"/>
          <w:color w:val="auto"/>
        </w:rPr>
      </w:pPr>
      <w:r>
        <w:rPr>
          <w:rFonts w:ascii="Arial" w:cs="Arial" w:eastAsia="Arial" w:hAnsi="Arial"/>
          <w:sz w:val="18"/>
          <w:szCs w:val="18"/>
          <w:color w:val="auto"/>
        </w:rPr>
        <w:t>AUTHORIZED SIGNATURE</w:t>
      </w:r>
      <w:r>
        <w:rPr>
          <w:sz w:val="20"/>
          <w:szCs w:val="20"/>
          <w:color w:val="auto"/>
        </w:rPr>
        <w:tab/>
      </w:r>
      <w:r>
        <w:rPr>
          <w:rFonts w:ascii="Arial" w:cs="Arial" w:eastAsia="Arial" w:hAnsi="Arial"/>
          <w:sz w:val="17"/>
          <w:szCs w:val="17"/>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IRREVOCABLE STANDBY LETTER OF CREDIT NUMBER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120" w:type="dxa"/>
            <w:vAlign w:val="bottom"/>
            <w:gridSpan w:val="5"/>
          </w:tcPr>
          <w:p>
            <w:pPr>
              <w:ind w:left="1000"/>
              <w:spacing w:after="0"/>
              <w:rPr>
                <w:sz w:val="20"/>
                <w:szCs w:val="20"/>
                <w:color w:val="auto"/>
              </w:rPr>
            </w:pPr>
            <w:r>
              <w:rPr>
                <w:rFonts w:ascii="Arial" w:cs="Arial" w:eastAsia="Arial" w:hAnsi="Arial"/>
                <w:sz w:val="18"/>
                <w:szCs w:val="18"/>
                <w:b w:val="1"/>
                <w:bCs w:val="1"/>
                <w:color w:val="auto"/>
              </w:rPr>
              <w:t>EXHIBIT “A”</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360" w:type="dxa"/>
            <w:vAlign w:val="bottom"/>
            <w:gridSpan w:val="2"/>
          </w:tcPr>
          <w:p>
            <w:pPr>
              <w:ind w:left="400"/>
              <w:spacing w:after="0"/>
              <w:rPr>
                <w:sz w:val="20"/>
                <w:szCs w:val="20"/>
                <w:color w:val="auto"/>
              </w:rPr>
            </w:pPr>
            <w:r>
              <w:rPr>
                <w:rFonts w:ascii="Arial" w:cs="Arial" w:eastAsia="Arial" w:hAnsi="Arial"/>
                <w:sz w:val="18"/>
                <w:szCs w:val="18"/>
                <w:color w:val="auto"/>
              </w:rPr>
              <w:t>REF. NO.</w:t>
            </w:r>
          </w:p>
        </w:tc>
        <w:tc>
          <w:tcPr>
            <w:tcW w:w="4700" w:type="dxa"/>
            <w:vAlign w:val="bottom"/>
            <w:tcBorders>
              <w:bottom w:val="single" w:sz="8" w:color="auto"/>
            </w:tcBorders>
            <w:gridSpan w:val="2"/>
          </w:tcPr>
          <w:p>
            <w:pPr>
              <w:spacing w:after="0"/>
              <w:rPr>
                <w:sz w:val="24"/>
                <w:szCs w:val="24"/>
                <w:color w:val="auto"/>
              </w:rPr>
            </w:pPr>
          </w:p>
        </w:tc>
      </w:tr>
      <w:tr>
        <w:trPr>
          <w:trHeight w:val="426"/>
        </w:trPr>
        <w:tc>
          <w:tcPr>
            <w:tcW w:w="3820" w:type="dxa"/>
            <w:vAlign w:val="bottom"/>
            <w:gridSpan w:val="2"/>
          </w:tcPr>
          <w:p>
            <w:pPr>
              <w:spacing w:after="0"/>
              <w:rPr>
                <w:sz w:val="20"/>
                <w:szCs w:val="20"/>
                <w:color w:val="auto"/>
              </w:rPr>
            </w:pPr>
            <w:r>
              <w:rPr>
                <w:rFonts w:ascii="Arial" w:cs="Arial" w:eastAsia="Arial" w:hAnsi="Arial"/>
                <w:sz w:val="18"/>
                <w:szCs w:val="18"/>
                <w:color w:val="auto"/>
              </w:rPr>
              <w:t>AT SIGHT OF THIS DRAFT</w:t>
            </w: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3820" w:type="dxa"/>
            <w:vAlign w:val="bottom"/>
            <w:gridSpan w:val="2"/>
          </w:tcPr>
          <w:p>
            <w:pPr>
              <w:spacing w:after="0"/>
              <w:rPr>
                <w:sz w:val="20"/>
                <w:szCs w:val="20"/>
                <w:color w:val="auto"/>
              </w:rPr>
            </w:pPr>
            <w:r>
              <w:rPr>
                <w:rFonts w:ascii="Arial" w:cs="Arial" w:eastAsia="Arial" w:hAnsi="Arial"/>
                <w:sz w:val="18"/>
                <w:szCs w:val="18"/>
                <w:color w:val="auto"/>
              </w:rPr>
              <w:t>PAY TO THE ORDER OF</w:t>
            </w:r>
          </w:p>
        </w:tc>
        <w:tc>
          <w:tcPr>
            <w:tcW w:w="7120" w:type="dxa"/>
            <w:vAlign w:val="bottom"/>
            <w:gridSpan w:val="5"/>
          </w:tcPr>
          <w:p>
            <w:pPr>
              <w:ind w:left="940"/>
              <w:spacing w:after="0"/>
              <w:rPr>
                <w:sz w:val="20"/>
                <w:szCs w:val="20"/>
                <w:color w:val="auto"/>
              </w:rPr>
            </w:pPr>
            <w:r>
              <w:rPr>
                <w:rFonts w:ascii="Arial" w:cs="Arial" w:eastAsia="Arial" w:hAnsi="Arial"/>
                <w:sz w:val="18"/>
                <w:szCs w:val="18"/>
                <w:color w:val="auto"/>
              </w:rPr>
              <w:t>US$</w:t>
            </w:r>
          </w:p>
        </w:tc>
      </w:tr>
      <w:tr>
        <w:trPr>
          <w:trHeight w:val="432"/>
        </w:trPr>
        <w:tc>
          <w:tcPr>
            <w:tcW w:w="3820" w:type="dxa"/>
            <w:vAlign w:val="bottom"/>
            <w:gridSpan w:val="2"/>
          </w:tcPr>
          <w:p>
            <w:pPr>
              <w:spacing w:after="0"/>
              <w:rPr>
                <w:sz w:val="20"/>
                <w:szCs w:val="20"/>
                <w:color w:val="auto"/>
              </w:rPr>
            </w:pPr>
            <w:r>
              <w:rPr>
                <w:rFonts w:ascii="Arial" w:cs="Arial" w:eastAsia="Arial" w:hAnsi="Arial"/>
                <w:sz w:val="18"/>
                <w:szCs w:val="18"/>
                <w:color w:val="auto"/>
              </w:rPr>
              <w:t>US DOLLARS</w:t>
            </w: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10940" w:type="dxa"/>
            <w:vAlign w:val="bottom"/>
            <w:gridSpan w:val="7"/>
          </w:tcPr>
          <w:p>
            <w:pPr>
              <w:ind w:left="60"/>
              <w:spacing w:after="0"/>
              <w:rPr>
                <w:sz w:val="20"/>
                <w:szCs w:val="20"/>
                <w:color w:val="auto"/>
              </w:rPr>
            </w:pPr>
            <w:r>
              <w:rPr>
                <w:rFonts w:ascii="Arial" w:cs="Arial" w:eastAsia="Arial" w:hAnsi="Arial"/>
                <w:sz w:val="18"/>
                <w:szCs w:val="18"/>
                <w:color w:val="auto"/>
              </w:rPr>
              <w:t>DRAWN UNDER SILICON VALLEY BANK, SANTA CLARA, CALIFORNIA, STANDBY</w:t>
            </w:r>
          </w:p>
        </w:tc>
      </w:tr>
      <w:tr>
        <w:trPr>
          <w:trHeight w:val="230"/>
        </w:trPr>
        <w:tc>
          <w:tcPr>
            <w:tcW w:w="3820" w:type="dxa"/>
            <w:vAlign w:val="bottom"/>
            <w:gridSpan w:val="2"/>
          </w:tcPr>
          <w:p>
            <w:pPr>
              <w:ind w:left="60"/>
              <w:spacing w:after="0"/>
              <w:rPr>
                <w:sz w:val="20"/>
                <w:szCs w:val="20"/>
                <w:color w:val="auto"/>
              </w:rPr>
            </w:pPr>
            <w:r>
              <w:rPr>
                <w:rFonts w:ascii="Arial" w:cs="Arial" w:eastAsia="Arial" w:hAnsi="Arial"/>
                <w:sz w:val="18"/>
                <w:szCs w:val="18"/>
                <w:color w:val="auto"/>
              </w:rPr>
              <w:t>LETTER OF CREDIT NUMBER NO.</w:t>
            </w:r>
          </w:p>
        </w:tc>
        <w:tc>
          <w:tcPr>
            <w:tcW w:w="1060" w:type="dxa"/>
            <w:vAlign w:val="bottom"/>
          </w:tcPr>
          <w:p>
            <w:pPr>
              <w:spacing w:after="0"/>
              <w:rPr>
                <w:sz w:val="20"/>
                <w:szCs w:val="20"/>
                <w:color w:val="auto"/>
              </w:rPr>
            </w:pPr>
          </w:p>
        </w:tc>
        <w:tc>
          <w:tcPr>
            <w:tcW w:w="6060" w:type="dxa"/>
            <w:vAlign w:val="bottom"/>
            <w:gridSpan w:val="4"/>
          </w:tcPr>
          <w:p>
            <w:pPr>
              <w:ind w:left="140"/>
              <w:spacing w:after="0"/>
              <w:rPr>
                <w:sz w:val="20"/>
                <w:szCs w:val="20"/>
                <w:color w:val="auto"/>
              </w:rPr>
            </w:pPr>
            <w:r>
              <w:rPr>
                <w:rFonts w:ascii="Arial" w:cs="Arial" w:eastAsia="Arial" w:hAnsi="Arial"/>
                <w:sz w:val="18"/>
                <w:szCs w:val="18"/>
                <w:color w:val="auto"/>
              </w:rPr>
              <w:t>DATED</w:t>
            </w:r>
          </w:p>
        </w:tc>
      </w:tr>
      <w:tr>
        <w:trPr>
          <w:trHeight w:val="634"/>
        </w:trPr>
        <w:tc>
          <w:tcPr>
            <w:tcW w:w="3820" w:type="dxa"/>
            <w:vAlign w:val="bottom"/>
            <w:gridSpan w:val="2"/>
          </w:tcPr>
          <w:p>
            <w:pPr>
              <w:spacing w:after="0"/>
              <w:rPr>
                <w:sz w:val="20"/>
                <w:szCs w:val="20"/>
                <w:color w:val="auto"/>
              </w:rPr>
            </w:pPr>
            <w:r>
              <w:rPr>
                <w:rFonts w:ascii="Arial" w:cs="Arial" w:eastAsia="Arial" w:hAnsi="Arial"/>
                <w:sz w:val="18"/>
                <w:szCs w:val="18"/>
                <w:color w:val="auto"/>
              </w:rPr>
              <w:t>TO: SILICON VALLEY BANK</w:t>
            </w: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820" w:type="dxa"/>
            <w:vAlign w:val="bottom"/>
            <w:gridSpan w:val="2"/>
          </w:tcPr>
          <w:p>
            <w:pPr>
              <w:ind w:left="320"/>
              <w:spacing w:after="0"/>
              <w:rPr>
                <w:sz w:val="20"/>
                <w:szCs w:val="20"/>
                <w:color w:val="auto"/>
              </w:rPr>
            </w:pPr>
            <w:r>
              <w:rPr>
                <w:rFonts w:ascii="Arial" w:cs="Arial" w:eastAsia="Arial" w:hAnsi="Arial"/>
                <w:sz w:val="18"/>
                <w:szCs w:val="18"/>
                <w:color w:val="auto"/>
              </w:rPr>
              <w:t>3003 TASMAN DRIVE</w:t>
            </w: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4"/>
        </w:trPr>
        <w:tc>
          <w:tcPr>
            <w:tcW w:w="3820" w:type="dxa"/>
            <w:vAlign w:val="bottom"/>
            <w:gridSpan w:val="2"/>
          </w:tcPr>
          <w:p>
            <w:pPr>
              <w:ind w:left="320"/>
              <w:spacing w:after="0"/>
              <w:rPr>
                <w:sz w:val="20"/>
                <w:szCs w:val="20"/>
                <w:color w:val="auto"/>
              </w:rPr>
            </w:pPr>
            <w:r>
              <w:rPr>
                <w:rFonts w:ascii="Arial" w:cs="Arial" w:eastAsia="Arial" w:hAnsi="Arial"/>
                <w:sz w:val="18"/>
                <w:szCs w:val="18"/>
                <w:color w:val="auto"/>
              </w:rPr>
              <w:t>SANTA CLARA, CA 95054</w:t>
            </w: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80" w:type="dxa"/>
            <w:vAlign w:val="bottom"/>
          </w:tcPr>
          <w:p>
            <w:pPr>
              <w:ind w:left="1020"/>
              <w:spacing w:after="0"/>
              <w:rPr>
                <w:sz w:val="20"/>
                <w:szCs w:val="20"/>
                <w:color w:val="auto"/>
              </w:rPr>
            </w:pPr>
            <w:r>
              <w:rPr>
                <w:rFonts w:ascii="Arial" w:cs="Arial" w:eastAsia="Arial" w:hAnsi="Arial"/>
                <w:sz w:val="18"/>
                <w:szCs w:val="18"/>
                <w:color w:val="auto"/>
              </w:rPr>
              <w:t>(BENEFICIARY’S NAME)</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-127635</wp:posOffset>
            </wp:positionV>
            <wp:extent cx="33616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GUIDELINES TO PREPARE THE DRAFT</w:t>
      </w:r>
    </w:p>
    <w:p>
      <w:pPr>
        <w:spacing w:after="0" w:line="229"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DATE: ISSUANCE DATE OF DRAFT.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REF. NO.: BENEFICIARY’S REFERENCE NUMBER, IF ANY.</w:t>
      </w:r>
    </w:p>
    <w:p>
      <w:pPr>
        <w:spacing w:after="0" w:line="9" w:lineRule="exact"/>
        <w:rPr>
          <w:rFonts w:ascii="Arial" w:cs="Arial" w:eastAsia="Arial" w:hAnsi="Arial"/>
          <w:sz w:val="18"/>
          <w:szCs w:val="18"/>
          <w:color w:val="auto"/>
        </w:rPr>
      </w:pPr>
    </w:p>
    <w:p>
      <w:pPr>
        <w:ind w:left="340" w:right="4200" w:hanging="332"/>
        <w:spacing w:after="0" w:line="250"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PAY TO THE ORDER OF: NAME OF BENEFICIARY AS INDICATED IN THE L/C (MAKE SURE BENEFICIARY ENDORSES IT ON THE REVERSE SIDE).</w:t>
      </w: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US$: AMOUNT OF DRAWING IN FIGURES.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USDOLLARS: AMOUNT OF DRAWING IN WORDS.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LETTER OF CREDIT NUMBER: SILICON VALLEY BANK’S STANDBY L/C NUMBER THAT PERTAINS TO THE DRAWING.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DATED: ISSUANCE DATE OF THE STANDBY L/C.</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BENEFICIARY’S NAME: NAME OF BENEFICIARY AS INDICATED IN THE L/C.</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AUTHORIZED SIGNATURE: SIGNED BY AN AUTHORIZED SIGNER OF BENEFICIARY.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00" w:type="dxa"/>
            <w:vAlign w:val="bottom"/>
            <w:gridSpan w:val="5"/>
          </w:tcPr>
          <w:p>
            <w:pPr>
              <w:spacing w:after="0"/>
              <w:rPr>
                <w:sz w:val="20"/>
                <w:szCs w:val="20"/>
                <w:color w:val="auto"/>
              </w:rPr>
            </w:pPr>
            <w:r>
              <w:rPr>
                <w:rFonts w:ascii="Arial" w:cs="Arial" w:eastAsia="Arial" w:hAnsi="Arial"/>
                <w:sz w:val="18"/>
                <w:szCs w:val="18"/>
                <w:color w:val="auto"/>
              </w:rPr>
              <w:t>IF YOU HAVE QUESTIONS RELATED TO THIS STANDBY LETTER OF CREDIT PLEASE CONTACT US AT</w:t>
            </w:r>
          </w:p>
        </w:tc>
        <w:tc>
          <w:tcPr>
            <w:tcW w:w="2160" w:type="dxa"/>
            <w:vAlign w:val="bottom"/>
          </w:tcPr>
          <w:p>
            <w:pPr>
              <w:jc w:val="right"/>
              <w:ind w:right="1770"/>
              <w:spacing w:after="0"/>
              <w:rPr>
                <w:sz w:val="20"/>
                <w:szCs w:val="20"/>
                <w:color w:val="auto"/>
              </w:rPr>
            </w:pPr>
            <w:r>
              <w:rPr>
                <w:rFonts w:ascii="Arial" w:cs="Arial" w:eastAsia="Arial" w:hAnsi="Arial"/>
                <w:sz w:val="18"/>
                <w:szCs w:val="18"/>
                <w:color w:val="auto"/>
              </w:rPr>
              <w:t>.</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IRREVOCABLE STANDBY LETTER OF CREDIT NUMBER</w:t>
            </w:r>
          </w:p>
        </w:tc>
        <w:tc>
          <w:tcPr>
            <w:tcW w:w="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80" w:type="dxa"/>
            <w:vAlign w:val="bottom"/>
            <w:gridSpan w:val="2"/>
          </w:tcPr>
          <w:p>
            <w:pPr>
              <w:jc w:val="center"/>
              <w:ind w:right="370"/>
              <w:spacing w:after="0"/>
              <w:rPr>
                <w:sz w:val="20"/>
                <w:szCs w:val="20"/>
                <w:color w:val="auto"/>
              </w:rPr>
            </w:pPr>
            <w:r>
              <w:rPr>
                <w:rFonts w:ascii="Arial" w:cs="Arial" w:eastAsia="Arial" w:hAnsi="Arial"/>
                <w:sz w:val="18"/>
                <w:szCs w:val="18"/>
                <w:color w:val="auto"/>
                <w:w w:val="99"/>
              </w:rPr>
              <w:t>4</w:t>
            </w:r>
          </w:p>
        </w:tc>
        <w:tc>
          <w:tcPr>
            <w:tcW w:w="22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32"/>
        </w:trPr>
        <w:tc>
          <w:tcPr>
            <w:tcW w:w="760" w:type="dxa"/>
            <w:vAlign w:val="bottom"/>
            <w:tcBorders>
              <w:bottom w:val="single" w:sz="8" w:color="808080"/>
            </w:tcBorders>
          </w:tcPr>
          <w:p>
            <w:pPr>
              <w:spacing w:after="0"/>
              <w:rPr>
                <w:sz w:val="11"/>
                <w:szCs w:val="11"/>
                <w:color w:val="auto"/>
              </w:rPr>
            </w:pPr>
          </w:p>
        </w:tc>
        <w:tc>
          <w:tcPr>
            <w:tcW w:w="40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22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r>
      <w:tr>
        <w:trPr>
          <w:trHeight w:val="780"/>
        </w:trPr>
        <w:tc>
          <w:tcPr>
            <w:tcW w:w="7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8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rPr>
              <w:t>EXHIBIT “B”</w:t>
            </w:r>
          </w:p>
        </w:tc>
        <w:tc>
          <w:tcPr>
            <w:tcW w:w="22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8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9"/>
              </w:rPr>
              <w:t>TRANSFER FORM</w:t>
            </w:r>
          </w:p>
        </w:tc>
        <w:tc>
          <w:tcPr>
            <w:tcW w:w="22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0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11"/>
        </w:trPr>
        <w:tc>
          <w:tcPr>
            <w:tcW w:w="4800" w:type="dxa"/>
            <w:vAlign w:val="bottom"/>
            <w:gridSpan w:val="2"/>
          </w:tcPr>
          <w:p>
            <w:pPr>
              <w:spacing w:after="0"/>
              <w:rPr>
                <w:sz w:val="20"/>
                <w:szCs w:val="20"/>
                <w:color w:val="auto"/>
              </w:rPr>
            </w:pPr>
            <w:r>
              <w:rPr>
                <w:rFonts w:ascii="Arial" w:cs="Arial" w:eastAsia="Arial" w:hAnsi="Arial"/>
                <w:sz w:val="18"/>
                <w:szCs w:val="18"/>
                <w:color w:val="auto"/>
              </w:rPr>
              <w:t>TO:   SILICON VALLEY BANK</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16"/>
        </w:trPr>
        <w:tc>
          <w:tcPr>
            <w:tcW w:w="4800" w:type="dxa"/>
            <w:vAlign w:val="bottom"/>
            <w:gridSpan w:val="2"/>
          </w:tcPr>
          <w:p>
            <w:pPr>
              <w:ind w:left="520"/>
              <w:spacing w:after="0"/>
              <w:rPr>
                <w:sz w:val="20"/>
                <w:szCs w:val="20"/>
                <w:color w:val="auto"/>
              </w:rPr>
            </w:pPr>
            <w:r>
              <w:rPr>
                <w:rFonts w:ascii="Arial" w:cs="Arial" w:eastAsia="Arial" w:hAnsi="Arial"/>
                <w:sz w:val="18"/>
                <w:szCs w:val="18"/>
                <w:color w:val="auto"/>
              </w:rPr>
              <w:t>3003 TASMAN DRIVE</w:t>
            </w:r>
          </w:p>
        </w:tc>
        <w:tc>
          <w:tcPr>
            <w:tcW w:w="9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RE: IRREVOCABLE STANDBY LETTER OF CREDIT</w:t>
            </w:r>
          </w:p>
        </w:tc>
      </w:tr>
      <w:tr>
        <w:trPr>
          <w:trHeight w:val="216"/>
        </w:trPr>
        <w:tc>
          <w:tcPr>
            <w:tcW w:w="4800" w:type="dxa"/>
            <w:vAlign w:val="bottom"/>
            <w:gridSpan w:val="2"/>
          </w:tcPr>
          <w:p>
            <w:pPr>
              <w:ind w:left="520"/>
              <w:spacing w:after="0"/>
              <w:rPr>
                <w:sz w:val="20"/>
                <w:szCs w:val="20"/>
                <w:color w:val="auto"/>
              </w:rPr>
            </w:pPr>
            <w:r>
              <w:rPr>
                <w:rFonts w:ascii="Arial" w:cs="Arial" w:eastAsia="Arial" w:hAnsi="Arial"/>
                <w:sz w:val="18"/>
                <w:szCs w:val="18"/>
                <w:color w:val="auto"/>
              </w:rPr>
              <w:t>SANTA CLARA, CA 95054</w:t>
            </w:r>
          </w:p>
        </w:tc>
        <w:tc>
          <w:tcPr>
            <w:tcW w:w="9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NO.</w:t>
            </w:r>
          </w:p>
        </w:tc>
        <w:tc>
          <w:tcPr>
            <w:tcW w:w="2220" w:type="dxa"/>
            <w:vAlign w:val="bottom"/>
          </w:tcPr>
          <w:p>
            <w:pPr>
              <w:ind w:left="200"/>
              <w:spacing w:after="0"/>
              <w:rPr>
                <w:sz w:val="20"/>
                <w:szCs w:val="20"/>
                <w:color w:val="auto"/>
              </w:rPr>
            </w:pPr>
            <w:r>
              <w:rPr>
                <w:rFonts w:ascii="Arial" w:cs="Arial" w:eastAsia="Arial" w:hAnsi="Arial"/>
                <w:sz w:val="18"/>
                <w:szCs w:val="18"/>
                <w:color w:val="auto"/>
              </w:rPr>
              <w:t>ISSUED BY</w:t>
            </w:r>
          </w:p>
        </w:tc>
        <w:tc>
          <w:tcPr>
            <w:tcW w:w="2160" w:type="dxa"/>
            <w:vAlign w:val="bottom"/>
          </w:tcPr>
          <w:p>
            <w:pPr>
              <w:spacing w:after="0"/>
              <w:rPr>
                <w:sz w:val="18"/>
                <w:szCs w:val="18"/>
                <w:color w:val="auto"/>
              </w:rPr>
            </w:pPr>
          </w:p>
        </w:tc>
      </w:tr>
      <w:tr>
        <w:trPr>
          <w:trHeight w:val="216"/>
        </w:trPr>
        <w:tc>
          <w:tcPr>
            <w:tcW w:w="4800" w:type="dxa"/>
            <w:vAlign w:val="bottom"/>
            <w:gridSpan w:val="2"/>
          </w:tcPr>
          <w:p>
            <w:pPr>
              <w:ind w:left="520"/>
              <w:spacing w:after="0"/>
              <w:rPr>
                <w:sz w:val="20"/>
                <w:szCs w:val="20"/>
                <w:color w:val="auto"/>
              </w:rPr>
            </w:pPr>
            <w:r>
              <w:rPr>
                <w:rFonts w:ascii="Arial" w:cs="Arial" w:eastAsia="Arial" w:hAnsi="Arial"/>
                <w:sz w:val="18"/>
                <w:szCs w:val="18"/>
                <w:color w:val="auto"/>
              </w:rPr>
              <w:t>ATTN:INTERNATIONAL DIVISION.</w:t>
            </w:r>
          </w:p>
        </w:tc>
        <w:tc>
          <w:tcPr>
            <w:tcW w:w="9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SILICON VALLEY BANK, SANTA CLARA</w:t>
            </w:r>
          </w:p>
        </w:tc>
        <w:tc>
          <w:tcPr>
            <w:tcW w:w="2160" w:type="dxa"/>
            <w:vAlign w:val="bottom"/>
          </w:tcPr>
          <w:p>
            <w:pPr>
              <w:spacing w:after="0"/>
              <w:rPr>
                <w:sz w:val="18"/>
                <w:szCs w:val="18"/>
                <w:color w:val="auto"/>
              </w:rPr>
            </w:pPr>
          </w:p>
        </w:tc>
      </w:tr>
      <w:tr>
        <w:trPr>
          <w:trHeight w:val="230"/>
        </w:trPr>
        <w:tc>
          <w:tcPr>
            <w:tcW w:w="4800" w:type="dxa"/>
            <w:vAlign w:val="bottom"/>
            <w:gridSpan w:val="2"/>
          </w:tcPr>
          <w:p>
            <w:pPr>
              <w:ind w:left="520"/>
              <w:spacing w:after="0"/>
              <w:rPr>
                <w:sz w:val="20"/>
                <w:szCs w:val="20"/>
                <w:color w:val="auto"/>
              </w:rPr>
            </w:pPr>
            <w:r>
              <w:rPr>
                <w:rFonts w:ascii="Arial" w:cs="Arial" w:eastAsia="Arial" w:hAnsi="Arial"/>
                <w:sz w:val="18"/>
                <w:szCs w:val="18"/>
                <w:color w:val="auto"/>
              </w:rPr>
              <w:t>STANDBY LETTERS OF CREDIT</w:t>
            </w:r>
          </w:p>
        </w:tc>
        <w:tc>
          <w:tcPr>
            <w:tcW w:w="9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L/C AMOUNT:</w:t>
            </w:r>
          </w:p>
        </w:tc>
        <w:tc>
          <w:tcPr>
            <w:tcW w:w="222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-1905000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-1905000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UNDERSIGNED BENEFICIARY HEREBY IRREVOCABLY TRANSFERS TO:</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RIGHTS OF THE UNDERSIGNED BENEFICIARY TO DRAW UNDER THE ABOVE LETTER OF CREDIT UP TO ITS AVAILABLE AMOUNT AS SHOWN ABOVE AS OF THE DATE OF THIS TRANSFER.</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DIRECTLY TO THE TRANSFEREE WITHOUT NECESSITY OF ANY CONSENT OF OR NOTICE TO THE UNDERSIGNED BENEFICIARY.</w:t>
      </w:r>
    </w:p>
    <w:p>
      <w:pPr>
        <w:spacing w:after="0" w:line="188"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ORIGINAL OF SUCH LETTER OF CREDIT IS RETURNED HEREWITH, AND WE ASK YOU TO ENDORSE THE TRANSFER ON THE REVERSE THEREOF, AND FORWARD IT DIRECTLY TO THE TRANSFEREE WITH YOUR CUSTOMARY NOTICE OF TRANSFER.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5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(BENEFICIARY’S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(SIGNATURE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AUTHENTICATED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name(s), title(s), and signature(s) conform to that/those on file with us for the company and the signature(s) is/are authorized to execute this instrument.</w:t>
      </w:r>
    </w:p>
    <w:p>
      <w:pPr>
        <w:spacing w:after="0" w:line="2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further confirm that the company has been identified applying the appropriate due diligence and enhanced due diligence as required by BSA and all its subsequent amendments.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660"/>
        <w:spacing w:after="0"/>
        <w:rPr>
          <w:sz w:val="20"/>
          <w:szCs w:val="20"/>
          <w:color w:val="auto"/>
        </w:rPr>
      </w:pPr>
      <w:r>
        <w:rPr>
          <w:rFonts w:ascii="Arial" w:cs="Arial" w:eastAsia="Arial" w:hAnsi="Arial"/>
          <w:sz w:val="18"/>
          <w:szCs w:val="18"/>
          <w:color w:val="auto"/>
        </w:rPr>
        <w:t>(Name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jc w:val="center"/>
        <w:ind w:right="5660"/>
        <w:spacing w:after="0"/>
        <w:rPr>
          <w:sz w:val="20"/>
          <w:szCs w:val="20"/>
          <w:color w:val="auto"/>
        </w:rPr>
      </w:pPr>
      <w:r>
        <w:rPr>
          <w:rFonts w:ascii="Arial" w:cs="Arial" w:eastAsia="Arial" w:hAnsi="Arial"/>
          <w:sz w:val="18"/>
          <w:szCs w:val="18"/>
          <w:color w:val="auto"/>
        </w:rPr>
        <w:t>(Address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jc w:val="center"/>
        <w:ind w:right="5660"/>
        <w:spacing w:after="0"/>
        <w:rPr>
          <w:sz w:val="20"/>
          <w:szCs w:val="20"/>
          <w:color w:val="auto"/>
        </w:rPr>
      </w:pPr>
      <w:r>
        <w:rPr>
          <w:rFonts w:ascii="Arial" w:cs="Arial" w:eastAsia="Arial" w:hAnsi="Arial"/>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(Authorized 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566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Bonnie Anderson, certify that:</w:t>
      </w:r>
    </w:p>
    <w:p>
      <w:pPr>
        <w:spacing w:after="0" w:line="225" w:lineRule="exact"/>
        <w:rPr>
          <w:sz w:val="20"/>
          <w:szCs w:val="20"/>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1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64" w:lineRule="auto"/>
        <w:tabs>
          <w:tab w:leader="none" w:pos="129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60" w:firstLine="645"/>
        <w:spacing w:after="0" w:line="286" w:lineRule="auto"/>
        <w:tabs>
          <w:tab w:leader="none" w:pos="1948" w:val="left"/>
        </w:tabs>
        <w:numPr>
          <w:ilvl w:val="1"/>
          <w:numId w:val="1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5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firstLine="645"/>
        <w:spacing w:after="0" w:line="342" w:lineRule="auto"/>
        <w:tabs>
          <w:tab w:leader="none" w:pos="196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20" w:firstLine="645"/>
        <w:spacing w:after="0" w:line="264" w:lineRule="auto"/>
        <w:tabs>
          <w:tab w:leader="none" w:pos="195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260" w:firstLine="645"/>
        <w:spacing w:after="0" w:line="308" w:lineRule="auto"/>
        <w:tabs>
          <w:tab w:leader="none" w:pos="1948" w:val="left"/>
        </w:tabs>
        <w:numPr>
          <w:ilvl w:val="1"/>
          <w:numId w:val="1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5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2015</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Bonnie H. Anderson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Shelly Guyer, certify that:</w:t>
      </w:r>
    </w:p>
    <w:p>
      <w:pPr>
        <w:spacing w:after="0" w:line="225" w:lineRule="exact"/>
        <w:rPr>
          <w:sz w:val="20"/>
          <w:szCs w:val="20"/>
          <w:color w:val="auto"/>
        </w:rPr>
      </w:pPr>
    </w:p>
    <w:p>
      <w:pPr>
        <w:ind w:left="1300" w:hanging="64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1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64" w:lineRule="auto"/>
        <w:tabs>
          <w:tab w:leader="none" w:pos="129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60" w:firstLine="645"/>
        <w:spacing w:after="0" w:line="286" w:lineRule="auto"/>
        <w:tabs>
          <w:tab w:leader="none" w:pos="1948" w:val="left"/>
        </w:tabs>
        <w:numPr>
          <w:ilvl w:val="1"/>
          <w:numId w:val="1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5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firstLine="645"/>
        <w:spacing w:after="0" w:line="342" w:lineRule="auto"/>
        <w:tabs>
          <w:tab w:leader="none" w:pos="1961" w:val="left"/>
        </w:tabs>
        <w:numPr>
          <w:ilvl w:val="1"/>
          <w:numId w:val="1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20" w:firstLine="645"/>
        <w:spacing w:after="0" w:line="264" w:lineRule="auto"/>
        <w:tabs>
          <w:tab w:leader="none" w:pos="195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260" w:firstLine="645"/>
        <w:spacing w:after="0" w:line="308" w:lineRule="auto"/>
        <w:tabs>
          <w:tab w:leader="none" w:pos="1948" w:val="left"/>
        </w:tabs>
        <w:numPr>
          <w:ilvl w:val="1"/>
          <w:numId w:val="1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5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2015</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Shelly D. Guyer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4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June 30, 2015,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1960" w:hanging="655"/>
        <w:spacing w:after="0"/>
        <w:tabs>
          <w:tab w:leader="none" w:pos="1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Bonnie H. Anderson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4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June 30, 2015,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1960" w:hanging="655"/>
        <w:spacing w:after="0"/>
        <w:tabs>
          <w:tab w:leader="none" w:pos="1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Shelly D. Guyer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BA5D23"/>
    <w:multiLevelType w:val="hybridMultilevel"/>
    <w:lvl w:ilvl="0">
      <w:lvlJc w:val="left"/>
      <w:lvlText w:val="x"/>
      <w:numFmt w:val="bullet"/>
      <w:start w:val="1"/>
    </w:lvl>
  </w:abstractNum>
  <w:abstractNum w:abstractNumId="1">
    <w:nsid w:val="661E3F1E"/>
    <w:multiLevelType w:val="hybridMultilevel"/>
    <w:lvl w:ilvl="0">
      <w:lvlJc w:val="left"/>
      <w:lvlText w:val="o"/>
      <w:numFmt w:val="bullet"/>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
      <w:numFmt w:val="bullet"/>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
      <w:numFmt w:val="bullet"/>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1)"/>
      <w:numFmt w:val="lowerLetter"/>
      <w:start w:val="1"/>
    </w:lvl>
    <w:lvl w:ilvl="1">
      <w:lvlJc w:val="left"/>
      <w:lvlText w:val="(%2)"/>
      <w:numFmt w:val="lowerRoman"/>
      <w:start w:val="1"/>
    </w:lvl>
  </w:abstractNum>
  <w:abstractNum w:abstractNumId="17">
    <w:nsid w:val="6A5EE64"/>
    <w:multiLevelType w:val="hybridMultilevel"/>
    <w:lvl w:ilvl="0">
      <w:lvlJc w:val="left"/>
      <w:lvlText w:val="(%1)"/>
      <w:numFmt w:val="lowerLetter"/>
      <w:start w:val="8"/>
    </w:lvl>
  </w:abstractNum>
  <w:abstractNum w:abstractNumId="18">
    <w:nsid w:val="14330624"/>
    <w:multiLevelType w:val="hybridMultilevel"/>
    <w:lvl w:ilvl="0">
      <w:lvlJc w:val="left"/>
      <w:lvlText w:val="(%1)"/>
      <w:numFmt w:val="lowerRoman"/>
      <w:start w:val="1"/>
    </w:lvl>
  </w:abstractNum>
  <w:abstractNum w:abstractNumId="19">
    <w:nsid w:val="7FFFCA11"/>
    <w:multiLevelType w:val="hybridMultilevel"/>
    <w:lvl w:ilvl="0">
      <w:lvlJc w:val="left"/>
      <w:lvlText w:val="(%1)"/>
      <w:numFmt w:val="lowerLetter"/>
      <w:start w:val="10"/>
    </w:lvl>
  </w:abstractNum>
  <w:abstractNum w:abstractNumId="20">
    <w:nsid w:val="1A27709E"/>
    <w:multiLevelType w:val="hybridMultilevel"/>
    <w:lvl w:ilvl="0">
      <w:lvlJc w:val="left"/>
      <w:lvlText w:val="(%1)"/>
      <w:numFmt w:val="lowerLetter"/>
      <w:start w:val="18"/>
    </w:lvl>
  </w:abstractNum>
  <w:abstractNum w:abstractNumId="21">
    <w:nsid w:val="71EA1109"/>
    <w:multiLevelType w:val="hybridMultilevel"/>
    <w:lvl w:ilvl="0">
      <w:lvlJc w:val="left"/>
      <w:lvlText w:val="(%1)"/>
      <w:numFmt w:val="lowerLetter"/>
      <w:start w:val="20"/>
    </w:lvl>
  </w:abstractNum>
  <w:abstractNum w:abstractNumId="22">
    <w:nsid w:val="100F59DC"/>
    <w:multiLevelType w:val="hybridMultilevel"/>
    <w:lvl w:ilvl="0">
      <w:lvlJc w:val="left"/>
      <w:lvlText w:val="(%1)"/>
      <w:numFmt w:val="lowerLetter"/>
      <w:start w:val="18"/>
    </w:lvl>
  </w:abstractNum>
  <w:abstractNum w:abstractNumId="23">
    <w:nsid w:val="7FB7E0AA"/>
    <w:multiLevelType w:val="hybridMultilevel"/>
    <w:lvl w:ilvl="0">
      <w:lvlJc w:val="left"/>
      <w:lvlText w:val="(%1)"/>
      <w:numFmt w:val="lowerLetter"/>
      <w:start w:val="1"/>
    </w:lvl>
  </w:abstractNum>
  <w:abstractNum w:abstractNumId="24">
    <w:nsid w:val="6EB5BD4"/>
    <w:multiLevelType w:val="hybridMultilevel"/>
    <w:lvl w:ilvl="0">
      <w:lvlJc w:val="left"/>
      <w:lvlText w:val="(%1)"/>
      <w:numFmt w:val="lowerLetter"/>
      <w:start w:val="1"/>
    </w:lvl>
  </w:abstractNum>
  <w:abstractNum w:abstractNumId="25">
    <w:nsid w:val="6F6DD9AC"/>
    <w:multiLevelType w:val="hybridMultilevel"/>
    <w:lvl w:ilvl="0">
      <w:lvlJc w:val="left"/>
      <w:lvlText w:val="(%1)"/>
      <w:numFmt w:val="lowerLetter"/>
      <w:start w:val="1"/>
    </w:lvl>
  </w:abstractNum>
  <w:abstractNum w:abstractNumId="26">
    <w:nsid w:val="94211F2"/>
    <w:multiLevelType w:val="hybridMultilevel"/>
    <w:lvl w:ilvl="0">
      <w:lvlJc w:val="left"/>
      <w:lvlText w:val="(%1)"/>
      <w:numFmt w:val="lowerLetter"/>
      <w:start w:val="1"/>
    </w:lvl>
  </w:abstractNum>
  <w:abstractNum w:abstractNumId="27">
    <w:nsid w:val="885E1B"/>
    <w:multiLevelType w:val="hybridMultilevel"/>
    <w:lvl w:ilvl="0">
      <w:lvlJc w:val="left"/>
      <w:lvlText w:val="(%1)"/>
      <w:numFmt w:val="lowerLetter"/>
      <w:start w:val="2"/>
    </w:lvl>
  </w:abstractNum>
  <w:abstractNum w:abstractNumId="28">
    <w:nsid w:val="76272110"/>
    <w:multiLevelType w:val="hybridMultilevel"/>
    <w:lvl w:ilvl="0">
      <w:lvlJc w:val="left"/>
      <w:lvlText w:val="(%1)"/>
      <w:numFmt w:val="lowerLetter"/>
      <w:start w:val="1"/>
    </w:lvl>
  </w:abstractNum>
  <w:abstractNum w:abstractNumId="29">
    <w:nsid w:val="4C04A8AF"/>
    <w:multiLevelType w:val="hybridMultilevel"/>
    <w:lvl w:ilvl="0">
      <w:lvlJc w:val="left"/>
      <w:lvlText w:val="(%1)"/>
      <w:numFmt w:val="lowerLetter"/>
      <w:start w:val="1"/>
    </w:lvl>
    <w:lvl w:ilvl="1">
      <w:lvlJc w:val="left"/>
      <w:lvlText w:val="(%2)"/>
      <w:numFmt w:val="lowerRoman"/>
      <w:start w:val="1"/>
    </w:lvl>
  </w:abstractNum>
  <w:abstractNum w:abstractNumId="30">
    <w:nsid w:val="1716703B"/>
    <w:multiLevelType w:val="hybridMultilevel"/>
    <w:lvl w:ilvl="0">
      <w:lvlJc w:val="left"/>
      <w:lvlText w:val="(%1)"/>
      <w:numFmt w:val="lowerLetter"/>
      <w:start w:val="4"/>
    </w:lvl>
  </w:abstractNum>
  <w:abstractNum w:abstractNumId="31">
    <w:nsid w:val="14E17E33"/>
    <w:multiLevelType w:val="hybridMultilevel"/>
    <w:lvl w:ilvl="0">
      <w:lvlJc w:val="left"/>
      <w:lvlText w:val="(%1)"/>
      <w:numFmt w:val="lowerLetter"/>
      <w:start w:val="1"/>
    </w:lvl>
    <w:lvl w:ilvl="1">
      <w:lvlJc w:val="left"/>
      <w:lvlText w:val="(%2)"/>
      <w:numFmt w:val="lowerRoman"/>
      <w:start w:val="1"/>
    </w:lvl>
  </w:abstractNum>
  <w:abstractNum w:abstractNumId="32">
    <w:nsid w:val="3222E7CD"/>
    <w:multiLevelType w:val="hybridMultilevel"/>
    <w:lvl w:ilvl="0">
      <w:lvlJc w:val="left"/>
      <w:lvlText w:val="(%1)"/>
      <w:numFmt w:val="lowerLetter"/>
      <w:start w:val="2"/>
    </w:lvl>
  </w:abstractNum>
  <w:abstractNum w:abstractNumId="33">
    <w:nsid w:val="74DE0EE3"/>
    <w:multiLevelType w:val="hybridMultilevel"/>
    <w:lvl w:ilvl="0">
      <w:lvlJc w:val="left"/>
      <w:lvlText w:val="(%1)"/>
      <w:numFmt w:val="lowerLetter"/>
      <w:start w:val="1"/>
    </w:lvl>
  </w:abstractNum>
  <w:abstractNum w:abstractNumId="34">
    <w:nsid w:val="68EBC550"/>
    <w:multiLevelType w:val="hybridMultilevel"/>
    <w:lvl w:ilvl="0">
      <w:lvlJc w:val="left"/>
      <w:lvlText w:val="(%1)"/>
      <w:numFmt w:val="lowerLetter"/>
      <w:start w:val="1"/>
    </w:lvl>
  </w:abstractNum>
  <w:abstractNum w:abstractNumId="35">
    <w:nsid w:val="2DF6D648"/>
    <w:multiLevelType w:val="hybridMultilevel"/>
    <w:lvl w:ilvl="0">
      <w:lvlJc w:val="left"/>
      <w:lvlText w:val="*"/>
      <w:numFmt w:val="bullet"/>
      <w:start w:val="1"/>
    </w:lvl>
    <w:lvl w:ilvl="1">
      <w:lvlJc w:val="left"/>
      <w:lvlText w:val="(%2)"/>
      <w:numFmt w:val="lowerLetter"/>
      <w:start w:val="4"/>
    </w:lvl>
  </w:abstractNum>
  <w:abstractNum w:abstractNumId="36">
    <w:nsid w:val="46B7D447"/>
    <w:multiLevelType w:val="hybridMultilevel"/>
    <w:lvl w:ilvl="0">
      <w:lvlJc w:val="left"/>
      <w:lvlText w:val="(%1)"/>
      <w:numFmt w:val="lowerLetter"/>
      <w:start w:val="11"/>
    </w:lvl>
  </w:abstractNum>
  <w:abstractNum w:abstractNumId="37">
    <w:nsid w:val="4A2AC315"/>
    <w:multiLevelType w:val="hybridMultilevel"/>
    <w:lvl w:ilvl="0">
      <w:lvlJc w:val="left"/>
      <w:lvlText w:val="(%1)"/>
      <w:numFmt w:val="lowerLetter"/>
      <w:start w:val="18"/>
    </w:lvl>
  </w:abstractNum>
  <w:abstractNum w:abstractNumId="38">
    <w:nsid w:val="39EE015C"/>
    <w:multiLevelType w:val="hybridMultilevel"/>
    <w:lvl w:ilvl="0">
      <w:lvlJc w:val="left"/>
      <w:lvlText w:val="(%1)"/>
      <w:numFmt w:val="lowerLetter"/>
      <w:start w:val="21"/>
    </w:lvl>
  </w:abstractNum>
  <w:abstractNum w:abstractNumId="39">
    <w:nsid w:val="57FC4FBB"/>
    <w:multiLevelType w:val="hybridMultilevel"/>
    <w:lvl w:ilvl="0">
      <w:lvlJc w:val="left"/>
      <w:lvlText w:val="%1."/>
      <w:numFmt w:val="upperLetter"/>
      <w:start w:val="1"/>
    </w:lvl>
  </w:abstractNum>
  <w:abstractNum w:abstractNumId="40">
    <w:nsid w:val="CC1016F"/>
    <w:multiLevelType w:val="hybridMultilevel"/>
    <w:lvl w:ilvl="0">
      <w:lvlJc w:val="left"/>
      <w:lvlText w:val="%1."/>
      <w:numFmt w:val="upperLetter"/>
      <w:start w:val="3"/>
    </w:lvl>
  </w:abstractNum>
  <w:abstractNum w:abstractNumId="41">
    <w:nsid w:val="43F18422"/>
    <w:multiLevelType w:val="hybridMultilevel"/>
    <w:lvl w:ilvl="0">
      <w:lvlJc w:val="left"/>
      <w:lvlText w:val="(%1)"/>
      <w:numFmt w:val="lowerLetter"/>
      <w:start w:val="1"/>
    </w:lvl>
  </w:abstractNum>
  <w:abstractNum w:abstractNumId="42">
    <w:nsid w:val="60EF0119"/>
    <w:multiLevelType w:val="hybridMultilevel"/>
    <w:lvl w:ilvl="0">
      <w:lvlJc w:val="left"/>
      <w:lvlText w:val="(%1)"/>
      <w:numFmt w:val="lowerLetter"/>
      <w:start w:val="61"/>
    </w:lvl>
    <w:lvl w:ilvl="1">
      <w:lvlJc w:val="left"/>
      <w:lvlText w:val="(%2)"/>
      <w:numFmt w:val="lowerLetter"/>
      <w:start w:val="2"/>
    </w:lvl>
  </w:abstractNum>
  <w:abstractNum w:abstractNumId="43">
    <w:nsid w:val="26F324BA"/>
    <w:multiLevelType w:val="hybridMultilevel"/>
    <w:lvl w:ilvl="0">
      <w:lvlJc w:val="left"/>
      <w:lvlText w:val="%1"/>
      <w:numFmt w:val="decimal"/>
      <w:start w:val="1"/>
    </w:lvl>
    <w:lvl w:ilvl="1">
      <w:lvlJc w:val="left"/>
      <w:lvlText w:val="(%2)"/>
      <w:numFmt w:val="lowerLetter"/>
      <w:start w:val="3"/>
    </w:lvl>
  </w:abstractNum>
  <w:abstractNum w:abstractNumId="44">
    <w:nsid w:val="7F01579B"/>
    <w:multiLevelType w:val="hybridMultilevel"/>
    <w:lvl w:ilvl="0">
      <w:lvlJc w:val="left"/>
      <w:lvlText w:val="(%1)"/>
      <w:numFmt w:val="decimal"/>
      <w:start w:val="15"/>
    </w:lvl>
    <w:lvl w:ilvl="1">
      <w:lvlJc w:val="left"/>
      <w:lvlText w:val="%2"/>
      <w:numFmt w:val="lowerLetter"/>
      <w:start w:val="1"/>
    </w:lvl>
  </w:abstractNum>
  <w:abstractNum w:abstractNumId="45">
    <w:nsid w:val="49DA307D"/>
    <w:multiLevelType w:val="hybridMultilevel"/>
    <w:lvl w:ilvl="0">
      <w:lvlJc w:val="left"/>
      <w:lvlText w:val="(%1)"/>
      <w:numFmt w:val="lowerLetter"/>
      <w:start w:val="4"/>
    </w:lvl>
  </w:abstractNum>
  <w:abstractNum w:abstractNumId="46">
    <w:nsid w:val="7055A5F5"/>
    <w:multiLevelType w:val="hybridMultilevel"/>
    <w:lvl w:ilvl="0">
      <w:lvlJc w:val="left"/>
      <w:lvlText w:val="(%1)"/>
      <w:numFmt w:val="lowerLetter"/>
      <w:start w:val="1"/>
    </w:lvl>
  </w:abstractNum>
  <w:abstractNum w:abstractNumId="47">
    <w:nsid w:val="5FB8370B"/>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48">
    <w:nsid w:val="50801EE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49">
    <w:nsid w:val="488AC1A"/>
    <w:multiLevelType w:val="hybridMultilevel"/>
    <w:lvl w:ilvl="0">
      <w:lvlJc w:val="left"/>
      <w:lvlText w:val="%1."/>
      <w:numFmt w:val="decimal"/>
      <w:start w:val="11"/>
    </w:lvl>
  </w:abstractNum>
  <w:abstractNum w:abstractNumId="50">
    <w:nsid w:val="5FB8011C"/>
    <w:multiLevelType w:val="hybridMultilevel"/>
    <w:lvl w:ilvl="0">
      <w:lvlJc w:val="left"/>
      <w:lvlText w:val="%1."/>
      <w:numFmt w:val="decimal"/>
      <w:start w:val="17"/>
    </w:lvl>
  </w:abstractNum>
  <w:abstractNum w:abstractNumId="51">
    <w:nsid w:val="6AA78F7F"/>
    <w:multiLevelType w:val="hybridMultilevel"/>
    <w:lvl w:ilvl="0">
      <w:lvlJc w:val="left"/>
      <w:lvlText w:val="%1."/>
      <w:numFmt w:val="decimal"/>
      <w:start w:val="18"/>
    </w:lvl>
  </w:abstractNum>
  <w:abstractNum w:abstractNumId="52">
    <w:nsid w:val="7672BD23"/>
    <w:multiLevelType w:val="hybridMultilevel"/>
    <w:lvl w:ilvl="0">
      <w:lvlJc w:val="left"/>
      <w:lvlText w:val="%1"/>
      <w:numFmt w:val="lowerLetter"/>
      <w:start w:val="1"/>
    </w:lvl>
    <w:lvl w:ilvl="1">
      <w:lvlJc w:val="left"/>
      <w:lvlText w:val="%2."/>
      <w:numFmt w:val="decimal"/>
      <w:start w:val="25"/>
    </w:lvl>
  </w:abstractNum>
  <w:abstractNum w:abstractNumId="53">
    <w:nsid w:val="6FC75AF8"/>
    <w:multiLevelType w:val="hybridMultilevel"/>
    <w:lvl w:ilvl="0">
      <w:lvlJc w:val="left"/>
      <w:lvlText w:val="(%1)"/>
      <w:numFmt w:val="lowerLetter"/>
      <w:start w:val="3"/>
    </w:lvl>
    <w:lvl w:ilvl="1">
      <w:lvlJc w:val="left"/>
      <w:lvlText w:val="%2"/>
      <w:numFmt w:val="decimal"/>
      <w:start w:val="1"/>
    </w:lvl>
  </w:abstractNum>
  <w:abstractNum w:abstractNumId="54">
    <w:nsid w:val="6A5F7029"/>
    <w:multiLevelType w:val="hybridMultilevel"/>
    <w:lvl w:ilvl="0">
      <w:lvlJc w:val="left"/>
      <w:lvlText w:val="(%1)"/>
      <w:numFmt w:val="lowerLetter"/>
      <w:start w:val="4"/>
    </w:lvl>
  </w:abstractNum>
  <w:abstractNum w:abstractNumId="55">
    <w:nsid w:val="7D5E18F8"/>
    <w:multiLevelType w:val="hybridMultilevel"/>
    <w:lvl w:ilvl="0">
      <w:lvlJc w:val="left"/>
      <w:lvlText w:val="(%1)"/>
      <w:numFmt w:val="lowerLetter"/>
      <w:start w:val="6"/>
    </w:lvl>
  </w:abstractNum>
  <w:abstractNum w:abstractNumId="56">
    <w:nsid w:val="5F3534A4"/>
    <w:multiLevelType w:val="hybridMultilevel"/>
    <w:lvl w:ilvl="0">
      <w:lvlJc w:val="left"/>
      <w:lvlText w:val="(%1)"/>
      <w:numFmt w:val="lowerLetter"/>
      <w:start w:val="1"/>
    </w:lvl>
  </w:abstractNum>
  <w:abstractNum w:abstractNumId="57">
    <w:nsid w:val="73A1821B"/>
    <w:multiLevelType w:val="hybridMultilevel"/>
    <w:lvl w:ilvl="0">
      <w:lvlJc w:val="left"/>
      <w:lvlText w:val="(%1)"/>
      <w:numFmt w:val="decimal"/>
      <w:start w:val="3"/>
    </w:lvl>
  </w:abstractNum>
  <w:abstractNum w:abstractNumId="58">
    <w:nsid w:val="7DE67713"/>
    <w:multiLevelType w:val="hybridMultilevel"/>
    <w:lvl w:ilvl="0">
      <w:lvlJc w:val="left"/>
      <w:lvlText w:val="(%1)"/>
      <w:numFmt w:val="decimal"/>
      <w:start w:val="1"/>
    </w:lvl>
  </w:abstractNum>
  <w:abstractNum w:abstractNumId="59">
    <w:nsid w:val="555C55B5"/>
    <w:multiLevelType w:val="hybridMultilevel"/>
    <w:lvl w:ilvl="0">
      <w:lvlJc w:val="left"/>
      <w:lvlText w:val="(%1)"/>
      <w:numFmt w:val="lowerLetter"/>
      <w:start w:val="1"/>
    </w:lvl>
  </w:abstractNum>
  <w:abstractNum w:abstractNumId="60">
    <w:nsid w:val="3FA62ACA"/>
    <w:multiLevelType w:val="hybridMultilevel"/>
    <w:lvl w:ilvl="0">
      <w:lvlJc w:val="left"/>
      <w:lvlText w:val="(%1)"/>
      <w:numFmt w:val="lowerLetter"/>
      <w:start w:val="2"/>
    </w:lvl>
  </w:abstractNum>
  <w:abstractNum w:abstractNumId="61">
    <w:nsid w:val="14FCE74E"/>
    <w:multiLevelType w:val="hybridMultilevel"/>
    <w:lvl w:ilvl="0">
      <w:lvlJc w:val="left"/>
      <w:lvlText w:val="%1"/>
      <w:numFmt w:val="decimal"/>
      <w:start w:val="1"/>
    </w:lvl>
    <w:lvl w:ilvl="1">
      <w:lvlJc w:val="left"/>
      <w:lvlText w:val="(%2)"/>
      <w:numFmt w:val="lowerLetter"/>
      <w:start w:val="2"/>
    </w:lvl>
  </w:abstractNum>
  <w:abstractNum w:abstractNumId="62">
    <w:nsid w:val="6A3DD3E8"/>
    <w:multiLevelType w:val="hybridMultilevel"/>
    <w:lvl w:ilvl="0">
      <w:lvlJc w:val="left"/>
      <w:lvlText w:val="(%1)"/>
      <w:numFmt w:val="decimal"/>
      <w:start w:val="20"/>
    </w:lvl>
    <w:lvl w:ilvl="1">
      <w:lvlJc w:val="left"/>
      <w:lvlText w:val="%2"/>
      <w:numFmt w:val="lowerLetter"/>
      <w:start w:val="1"/>
    </w:lvl>
  </w:abstractNum>
  <w:abstractNum w:abstractNumId="63">
    <w:nsid w:val="71C91298"/>
    <w:multiLevelType w:val="hybridMultilevel"/>
    <w:lvl w:ilvl="0">
      <w:lvlJc w:val="left"/>
      <w:lvlText w:val="%1"/>
      <w:numFmt w:val="lowerLetter"/>
      <w:start w:val="1"/>
    </w:lvl>
    <w:lvl w:ilvl="1">
      <w:lvlJc w:val="left"/>
      <w:lvlText w:val="(%2)"/>
      <w:numFmt w:val="lowerLetter"/>
      <w:start w:val="3"/>
    </w:lvl>
  </w:abstractNum>
  <w:abstractNum w:abstractNumId="64">
    <w:nsid w:val="9DAF632"/>
    <w:multiLevelType w:val="hybridMultilevel"/>
    <w:lvl w:ilvl="0">
      <w:lvlJc w:val="left"/>
      <w:lvlText w:val="(%1)"/>
      <w:numFmt w:val="lowerLetter"/>
      <w:start w:val="2"/>
    </w:lvl>
    <w:lvl w:ilvl="1">
      <w:lvlJc w:val="left"/>
      <w:lvlText w:val="%2"/>
      <w:numFmt w:val="lowerLetter"/>
      <w:start w:val="1"/>
    </w:lvl>
  </w:abstractNum>
  <w:abstractNum w:abstractNumId="65">
    <w:nsid w:val="53299938"/>
    <w:multiLevelType w:val="hybridMultilevel"/>
    <w:lvl w:ilvl="0">
      <w:lvlJc w:val="left"/>
      <w:lvlText w:val="%1"/>
      <w:numFmt w:val="decimal"/>
      <w:start w:val="1"/>
    </w:lvl>
    <w:lvl w:ilvl="1">
      <w:lvlJc w:val="left"/>
      <w:lvlText w:val="(%2)"/>
      <w:numFmt w:val="lowerLetter"/>
      <w:start w:val="5"/>
    </w:lvl>
  </w:abstractNum>
  <w:abstractNum w:abstractNumId="66">
    <w:nsid w:val="1FBFE8E0"/>
    <w:multiLevelType w:val="hybridMultilevel"/>
    <w:lvl w:ilvl="0">
      <w:lvlJc w:val="left"/>
      <w:lvlText w:val="(%1)"/>
      <w:numFmt w:val="decimal"/>
      <w:start w:val="10"/>
    </w:lvl>
    <w:lvl w:ilvl="1">
      <w:lvlJc w:val="left"/>
      <w:lvlText w:val="%2"/>
      <w:numFmt w:val="lowerLetter"/>
      <w:start w:val="1"/>
    </w:lvl>
  </w:abstractNum>
  <w:abstractNum w:abstractNumId="67">
    <w:nsid w:val="5092CA79"/>
    <w:multiLevelType w:val="hybridMultilevel"/>
    <w:lvl w:ilvl="0">
      <w:lvlJc w:val="left"/>
      <w:lvlText w:val="(%1)"/>
      <w:numFmt w:val="lowerLetter"/>
      <w:start w:val="1"/>
    </w:lvl>
  </w:abstractNum>
  <w:abstractNum w:abstractNumId="68">
    <w:nsid w:val="1D545C4D"/>
    <w:multiLevelType w:val="hybridMultilevel"/>
    <w:lvl w:ilvl="0">
      <w:lvlJc w:val="left"/>
      <w:lvlText w:val="(%1)"/>
      <w:numFmt w:val="lowerLetter"/>
      <w:start w:val="2"/>
    </w:lvl>
  </w:abstractNum>
  <w:abstractNum w:abstractNumId="69">
    <w:nsid w:val="59ADEA3D"/>
    <w:multiLevelType w:val="hybridMultilevel"/>
    <w:lvl w:ilvl="0">
      <w:lvlJc w:val="left"/>
      <w:lvlText w:val="(%1)"/>
      <w:numFmt w:val="lowerLetter"/>
      <w:start w:val="1"/>
    </w:lvl>
  </w:abstractNum>
  <w:abstractNum w:abstractNumId="70">
    <w:nsid w:val="288F1A34"/>
    <w:multiLevelType w:val="hybridMultilevel"/>
    <w:lvl w:ilvl="0">
      <w:lvlJc w:val="left"/>
      <w:lvlText w:val="(%1)"/>
      <w:numFmt w:val="lowerLetter"/>
      <w:start w:val="3"/>
    </w:lvl>
  </w:abstractNum>
  <w:abstractNum w:abstractNumId="71">
    <w:nsid w:val="2A155DBC"/>
    <w:multiLevelType w:val="hybridMultilevel"/>
    <w:lvl w:ilvl="0">
      <w:lvlJc w:val="left"/>
      <w:lvlText w:val="(%1)"/>
      <w:numFmt w:val="lowerRoman"/>
      <w:start w:val="3"/>
    </w:lvl>
  </w:abstractNum>
  <w:abstractNum w:abstractNumId="72">
    <w:nsid w:val="1D9F6E5F"/>
    <w:multiLevelType w:val="hybridMultilevel"/>
    <w:lvl w:ilvl="0">
      <w:lvlJc w:val="left"/>
      <w:lvlText w:val="(%1)"/>
      <w:numFmt w:val="lowerLetter"/>
      <w:start w:val="1"/>
    </w:lvl>
  </w:abstractNum>
  <w:abstractNum w:abstractNumId="73">
    <w:nsid w:val="97E1B4E"/>
    <w:multiLevelType w:val="hybridMultilevel"/>
    <w:lvl w:ilvl="0">
      <w:lvlJc w:val="left"/>
      <w:lvlText w:val="(%1)"/>
      <w:numFmt w:val="lowerLetter"/>
      <w:start w:val="3"/>
    </w:lvl>
  </w:abstractNum>
  <w:abstractNum w:abstractNumId="74">
    <w:nsid w:val="51088277"/>
    <w:multiLevelType w:val="hybridMultilevel"/>
    <w:lvl w:ilvl="0">
      <w:lvlJc w:val="left"/>
      <w:lvlText w:val="(%1)"/>
      <w:numFmt w:val="lowerLetter"/>
      <w:start w:val="4"/>
    </w:lvl>
    <w:lvl w:ilvl="1">
      <w:lvlJc w:val="left"/>
      <w:lvlText w:val="(%2)"/>
      <w:numFmt w:val="lowerRoman"/>
      <w:start w:val="1"/>
    </w:lvl>
  </w:abstractNum>
  <w:abstractNum w:abstractNumId="75">
    <w:nsid w:val="1CA0C5FA"/>
    <w:multiLevelType w:val="hybridMultilevel"/>
    <w:lvl w:ilvl="0">
      <w:lvlJc w:val="left"/>
      <w:lvlText w:val="(%1)"/>
      <w:numFmt w:val="lowerLetter"/>
      <w:start w:val="6"/>
    </w:lvl>
  </w:abstractNum>
  <w:abstractNum w:abstractNumId="76">
    <w:nsid w:val="53584BCB"/>
    <w:multiLevelType w:val="hybridMultilevel"/>
    <w:lvl w:ilvl="0">
      <w:lvlJc w:val="left"/>
      <w:lvlText w:val="(%1)"/>
      <w:numFmt w:val="lowerLetter"/>
      <w:start w:val="7"/>
    </w:lvl>
  </w:abstractNum>
  <w:abstractNum w:abstractNumId="77">
    <w:nsid w:val="415E286C"/>
    <w:multiLevelType w:val="hybridMultilevel"/>
    <w:lvl w:ilvl="0">
      <w:lvlJc w:val="left"/>
      <w:lvlText w:val="(%1)"/>
      <w:numFmt w:val="lowerLetter"/>
      <w:start w:val="8"/>
    </w:lvl>
  </w:abstractNum>
  <w:abstractNum w:abstractNumId="78">
    <w:nsid w:val="7C58FD05"/>
    <w:multiLevelType w:val="hybridMultilevel"/>
    <w:lvl w:ilvl="0">
      <w:lvlJc w:val="left"/>
      <w:lvlText w:val="(%1)"/>
      <w:numFmt w:val="lowerLetter"/>
      <w:start w:val="9"/>
    </w:lvl>
  </w:abstractNum>
  <w:abstractNum w:abstractNumId="79">
    <w:nsid w:val="23D86AAC"/>
    <w:multiLevelType w:val="hybridMultilevel"/>
    <w:lvl w:ilvl="0">
      <w:lvlJc w:val="left"/>
      <w:lvlText w:val="(%1)"/>
      <w:numFmt w:val="lowerLetter"/>
      <w:start w:val="12"/>
    </w:lvl>
    <w:lvl w:ilvl="1">
      <w:lvlJc w:val="left"/>
      <w:lvlText w:val="(%2)"/>
      <w:numFmt w:val="lowerRoman"/>
      <w:start w:val="1"/>
    </w:lvl>
  </w:abstractNum>
  <w:abstractNum w:abstractNumId="80">
    <w:nsid w:val="45E6D486"/>
    <w:multiLevelType w:val="hybridMultilevel"/>
    <w:lvl w:ilvl="0">
      <w:lvlJc w:val="left"/>
      <w:lvlText w:val="(%1)"/>
      <w:numFmt w:val="lowerRoman"/>
      <w:start w:val="3"/>
    </w:lvl>
  </w:abstractNum>
  <w:abstractNum w:abstractNumId="81">
    <w:nsid w:val="5C10FE21"/>
    <w:multiLevelType w:val="hybridMultilevel"/>
    <w:lvl w:ilvl="0">
      <w:lvlJc w:val="left"/>
      <w:lvlText w:val="(%1)"/>
      <w:numFmt w:val="lowerLetter"/>
      <w:start w:val="1"/>
    </w:lvl>
    <w:lvl w:ilvl="1">
      <w:lvlJc w:val="left"/>
      <w:lvlText w:val="(%2)"/>
      <w:numFmt w:val="lowerRoman"/>
      <w:start w:val="1"/>
    </w:lvl>
  </w:abstractNum>
  <w:abstractNum w:abstractNumId="82">
    <w:nsid w:val="E7FFA2B"/>
    <w:multiLevelType w:val="hybridMultilevel"/>
    <w:lvl w:ilvl="0">
      <w:lvlJc w:val="left"/>
      <w:lvlText w:val="%1"/>
      <w:numFmt w:val="lowerLetter"/>
      <w:start w:val="1"/>
    </w:lvl>
    <w:lvl w:ilvl="1">
      <w:lvlJc w:val="left"/>
      <w:lvlText w:val="(%2)"/>
      <w:numFmt w:val="lowerRoman"/>
      <w:start w:val="5"/>
    </w:lvl>
  </w:abstractNum>
  <w:abstractNum w:abstractNumId="83">
    <w:nsid w:val="3C5991AA"/>
    <w:multiLevelType w:val="hybridMultilevel"/>
    <w:lvl w:ilvl="0">
      <w:lvlJc w:val="left"/>
      <w:lvlText w:val="(%1)"/>
      <w:numFmt w:val="lowerLetter"/>
      <w:start w:val="3"/>
    </w:lvl>
    <w:lvl w:ilvl="1">
      <w:lvlJc w:val="left"/>
      <w:lvlText w:val="%2"/>
      <w:numFmt w:val="lowerRoman"/>
      <w:start w:val="1"/>
    </w:lvl>
  </w:abstractNum>
  <w:abstractNum w:abstractNumId="84">
    <w:nsid w:val="4BD8591A"/>
    <w:multiLevelType w:val="hybridMultilevel"/>
    <w:lvl w:ilvl="0">
      <w:lvlJc w:val="left"/>
      <w:lvlText w:val="(%1)"/>
      <w:numFmt w:val="lowerLetter"/>
      <w:start w:val="7"/>
    </w:lvl>
  </w:abstractNum>
  <w:abstractNum w:abstractNumId="85">
    <w:nsid w:val="78DF6A55"/>
    <w:multiLevelType w:val="hybridMultilevel"/>
    <w:lvl w:ilvl="0">
      <w:lvlJc w:val="left"/>
      <w:lvlText w:val="(%1)"/>
      <w:numFmt w:val="lowerLetter"/>
      <w:start w:val="1"/>
    </w:lvl>
  </w:abstractNum>
  <w:abstractNum w:abstractNumId="86">
    <w:nsid w:val="39B7AAA2"/>
    <w:multiLevelType w:val="hybridMultilevel"/>
    <w:lvl w:ilvl="0">
      <w:lvlJc w:val="left"/>
      <w:lvlText w:val="(%1)"/>
      <w:numFmt w:val="lowerLetter"/>
      <w:start w:val="50"/>
    </w:lvl>
    <w:lvl w:ilvl="1">
      <w:lvlJc w:val="left"/>
      <w:lvlText w:val="(%2)"/>
      <w:numFmt w:val="lowerLetter"/>
      <w:start w:val="3"/>
    </w:lvl>
  </w:abstractNum>
  <w:abstractNum w:abstractNumId="87">
    <w:nsid w:val="2B0D8DBE"/>
    <w:multiLevelType w:val="hybridMultilevel"/>
    <w:lvl w:ilvl="0">
      <w:lvlJc w:val="left"/>
      <w:lvlText w:val="(%1)"/>
      <w:numFmt w:val="lowerLetter"/>
      <w:start w:val="4"/>
    </w:lvl>
    <w:lvl w:ilvl="1">
      <w:lvlJc w:val="left"/>
      <w:lvlText w:val="(%2)"/>
      <w:numFmt w:val="lowerLetter"/>
      <w:start w:val="1"/>
    </w:lvl>
  </w:abstractNum>
  <w:abstractNum w:abstractNumId="88">
    <w:nsid w:val="6C80EC70"/>
    <w:multiLevelType w:val="hybridMultilevel"/>
    <w:lvl w:ilvl="0">
      <w:lvlJc w:val="left"/>
      <w:lvlText w:val="%1"/>
      <w:numFmt w:val="lowerLetter"/>
      <w:start w:val="1"/>
    </w:lvl>
    <w:lvl w:ilvl="1">
      <w:lvlJc w:val="left"/>
      <w:lvlText w:val="(%2)"/>
      <w:numFmt w:val="lowerLetter"/>
      <w:start w:val="3"/>
    </w:lvl>
  </w:abstractNum>
  <w:abstractNum w:abstractNumId="89">
    <w:nsid w:val="379E21B5"/>
    <w:multiLevelType w:val="hybridMultilevel"/>
    <w:lvl w:ilvl="0">
      <w:lvlJc w:val="left"/>
      <w:lvlText w:val="(%1)"/>
      <w:numFmt w:val="lowerLetter"/>
      <w:start w:val="22"/>
    </w:lvl>
    <w:lvl w:ilvl="1">
      <w:lvlJc w:val="left"/>
      <w:lvlText w:val="(%2)"/>
      <w:numFmt w:val="lowerLetter"/>
      <w:start w:val="4"/>
    </w:lvl>
  </w:abstractNum>
  <w:abstractNum w:abstractNumId="90">
    <w:nsid w:val="69E373"/>
    <w:multiLevelType w:val="hybridMultilevel"/>
    <w:lvl w:ilvl="0">
      <w:lvlJc w:val="left"/>
      <w:lvlText w:val="(%1)"/>
      <w:numFmt w:val="lowerLetter"/>
      <w:start w:val="1"/>
    </w:lvl>
  </w:abstractNum>
  <w:abstractNum w:abstractNumId="91">
    <w:nsid w:val="2C27173B"/>
    <w:multiLevelType w:val="hybridMultilevel"/>
    <w:lvl w:ilvl="0">
      <w:lvlJc w:val="left"/>
      <w:lvlText w:val="%1"/>
      <w:numFmt w:val="upperLetter"/>
      <w:start w:val="1"/>
    </w:lvl>
    <w:lvl w:ilvl="1">
      <w:lvlJc w:val="left"/>
      <w:lvlText w:val="(%2)"/>
      <w:numFmt w:val="lowerLetter"/>
      <w:start w:val="3"/>
    </w:lvl>
  </w:abstractNum>
  <w:abstractNum w:abstractNumId="92">
    <w:nsid w:val="4C9B0904"/>
    <w:multiLevelType w:val="hybridMultilevel"/>
    <w:lvl w:ilvl="0">
      <w:lvlJc w:val="left"/>
      <w:lvlText w:val="(%1)"/>
      <w:numFmt w:val="upperLetter"/>
      <w:start w:val="1"/>
    </w:lvl>
    <w:lvl w:ilvl="1">
      <w:lvlJc w:val="left"/>
      <w:lvlText w:val="(%2)"/>
      <w:numFmt w:val="lowerLetter"/>
      <w:start w:val="4"/>
    </w:lvl>
  </w:abstractNum>
  <w:abstractNum w:abstractNumId="93">
    <w:nsid w:val="6AA7B75C"/>
    <w:multiLevelType w:val="hybridMultilevel"/>
    <w:lvl w:ilvl="0">
      <w:lvlJc w:val="left"/>
      <w:lvlText w:val="(%1)"/>
      <w:numFmt w:val="lowerLetter"/>
      <w:start w:val="1"/>
    </w:lvl>
  </w:abstractNum>
  <w:abstractNum w:abstractNumId="94">
    <w:nsid w:val="1DF029D3"/>
    <w:multiLevelType w:val="hybridMultilevel"/>
    <w:lvl w:ilvl="0">
      <w:lvlJc w:val="left"/>
      <w:lvlText w:val="(%1)"/>
      <w:numFmt w:val="lowerLetter"/>
      <w:start w:val="1"/>
    </w:lvl>
  </w:abstractNum>
  <w:abstractNum w:abstractNumId="95">
    <w:nsid w:val="5675FF36"/>
    <w:multiLevelType w:val="hybridMultilevel"/>
    <w:lvl w:ilvl="0">
      <w:lvlJc w:val="left"/>
      <w:lvlText w:val="(%1)"/>
      <w:numFmt w:val="lowerRoman"/>
      <w:start w:val="1"/>
    </w:lvl>
  </w:abstractNum>
  <w:abstractNum w:abstractNumId="96">
    <w:nsid w:val="3DD15094"/>
    <w:multiLevelType w:val="hybridMultilevel"/>
    <w:lvl w:ilvl="0">
      <w:lvlJc w:val="left"/>
      <w:lvlText w:val="(%1)"/>
      <w:numFmt w:val="lowerLetter"/>
      <w:start w:val="3"/>
    </w:lvl>
  </w:abstractNum>
  <w:abstractNum w:abstractNumId="97">
    <w:nsid w:val="3DB012B3"/>
    <w:multiLevelType w:val="hybridMultilevel"/>
    <w:lvl w:ilvl="0">
      <w:lvlJc w:val="left"/>
      <w:lvlText w:val="(%1)"/>
      <w:numFmt w:val="lowerLetter"/>
      <w:start w:val="1"/>
    </w:lvl>
  </w:abstractNum>
  <w:abstractNum w:abstractNumId="98">
    <w:nsid w:val="2708C9AF"/>
    <w:multiLevelType w:val="hybridMultilevel"/>
    <w:lvl w:ilvl="0">
      <w:lvlJc w:val="left"/>
      <w:lvlText w:val="(%1)"/>
      <w:numFmt w:val="lowerRoman"/>
      <w:start w:val="2"/>
    </w:lvl>
  </w:abstractNum>
  <w:abstractNum w:abstractNumId="99">
    <w:nsid w:val="5B25ACE2"/>
    <w:multiLevelType w:val="hybridMultilevel"/>
    <w:lvl w:ilvl="0">
      <w:lvlJc w:val="left"/>
      <w:lvlText w:val="(%1)"/>
      <w:numFmt w:val="lowerLetter"/>
      <w:start w:val="1"/>
    </w:lvl>
  </w:abstractNum>
  <w:abstractNum w:abstractNumId="100">
    <w:nsid w:val="175DFCF0"/>
    <w:multiLevelType w:val="hybridMultilevel"/>
    <w:lvl w:ilvl="0">
      <w:lvlJc w:val="left"/>
      <w:lvlText w:val="(%1)"/>
      <w:numFmt w:val="lowerLetter"/>
      <w:start w:val="3"/>
    </w:lvl>
    <w:lvl w:ilvl="1">
      <w:lvlJc w:val="left"/>
      <w:lvlText w:val="(%2)"/>
      <w:numFmt w:val="lowerLetter"/>
      <w:start w:val="9"/>
    </w:lvl>
  </w:abstractNum>
  <w:abstractNum w:abstractNumId="101">
    <w:nsid w:val="4F97E3E4"/>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102">
    <w:nsid w:val="53B0A9E"/>
    <w:multiLevelType w:val="hybridMultilevel"/>
    <w:lvl w:ilvl="0">
      <w:lvlJc w:val="left"/>
      <w:lvlText w:val="(%1)"/>
      <w:numFmt w:val="decimal"/>
      <w:start w:val="10"/>
    </w:lvl>
    <w:lvl w:ilvl="1">
      <w:lvlJc w:val="left"/>
      <w:lvlText w:val="(%2)"/>
      <w:numFmt w:val="lowerRoman"/>
      <w:start w:val="3"/>
    </w:lvl>
    <w:lvl w:ilvl="2">
      <w:lvlJc w:val="left"/>
      <w:lvlText w:val="(%3)"/>
      <w:numFmt w:val="decimal"/>
      <w:start w:val="1"/>
    </w:lvl>
  </w:abstractNum>
  <w:abstractNum w:abstractNumId="103">
    <w:nsid w:val="34FD6B4F"/>
    <w:multiLevelType w:val="hybridMultilevel"/>
    <w:lvl w:ilvl="0">
      <w:lvlJc w:val="left"/>
      <w:lvlText w:val="(%1)"/>
      <w:numFmt w:val="lowerLetter"/>
      <w:start w:val="1"/>
    </w:lvl>
  </w:abstractNum>
  <w:abstractNum w:abstractNumId="104">
    <w:nsid w:val="5915FF32"/>
    <w:multiLevelType w:val="hybridMultilevel"/>
    <w:lvl w:ilvl="0">
      <w:lvlJc w:val="left"/>
      <w:lvlText w:val="(%1)"/>
      <w:numFmt w:val="lowerLetter"/>
      <w:start w:val="1"/>
    </w:lvl>
    <w:lvl w:ilvl="1">
      <w:lvlJc w:val="left"/>
      <w:lvlText w:val="(%2)"/>
      <w:numFmt w:val="lowerLetter"/>
      <w:start w:val="9"/>
    </w:lvl>
  </w:abstractNum>
  <w:abstractNum w:abstractNumId="105">
    <w:nsid w:val="56438D15"/>
    <w:multiLevelType w:val="hybridMultilevel"/>
    <w:lvl w:ilvl="0">
      <w:lvlJc w:val="left"/>
      <w:lvlText w:val="(%1)"/>
      <w:numFmt w:val="lowerRoman"/>
      <w:start w:val="2"/>
    </w:lvl>
  </w:abstractNum>
  <w:abstractNum w:abstractNumId="106">
    <w:nsid w:val="519E3149"/>
    <w:multiLevelType w:val="hybridMultilevel"/>
    <w:lvl w:ilvl="0">
      <w:lvlJc w:val="left"/>
      <w:lvlText w:val="(%1)"/>
      <w:numFmt w:val="lowerLetter"/>
      <w:start w:val="2"/>
    </w:lvl>
    <w:lvl w:ilvl="1">
      <w:lvlJc w:val="left"/>
      <w:lvlText w:val="(%2)"/>
      <w:numFmt w:val="lowerRoman"/>
      <w:start w:val="1"/>
    </w:lvl>
  </w:abstractNum>
  <w:abstractNum w:abstractNumId="107">
    <w:nsid w:val="2C6E4AFD"/>
    <w:multiLevelType w:val="hybridMultilevel"/>
    <w:lvl w:ilvl="0">
      <w:lvlJc w:val="left"/>
      <w:lvlText w:val="%1"/>
      <w:numFmt w:val="lowerLetter"/>
      <w:start w:val="1"/>
    </w:lvl>
    <w:lvl w:ilvl="1">
      <w:lvlJc w:val="left"/>
      <w:lvlText w:val="(%2)"/>
      <w:numFmt w:val="lowerLetter"/>
      <w:start w:val="61"/>
    </w:lvl>
  </w:abstractNum>
  <w:abstractNum w:abstractNumId="108">
    <w:nsid w:val="17A1B582"/>
    <w:multiLevelType w:val="hybridMultilevel"/>
    <w:lvl w:ilvl="0">
      <w:lvlJc w:val="left"/>
      <w:lvlText w:val="(%1)"/>
      <w:numFmt w:val="lowerLetter"/>
      <w:start w:val="2"/>
    </w:lvl>
    <w:lvl w:ilvl="1">
      <w:lvlJc w:val="left"/>
      <w:lvlText w:val="%2"/>
      <w:numFmt w:val="lowerLetter"/>
      <w:start w:val="1"/>
    </w:lvl>
  </w:abstractNum>
  <w:abstractNum w:abstractNumId="109">
    <w:nsid w:val="4DF72E4E"/>
    <w:multiLevelType w:val="hybridMultilevel"/>
    <w:lvl w:ilvl="0">
      <w:lvlJc w:val="left"/>
      <w:lvlText w:val="%1"/>
      <w:numFmt w:val="lowerLetter"/>
      <w:start w:val="1"/>
    </w:lvl>
    <w:lvl w:ilvl="1">
      <w:lvlJc w:val="left"/>
      <w:lvlText w:val="(%2)"/>
      <w:numFmt w:val="lowerRoman"/>
      <w:start w:val="4"/>
    </w:lvl>
  </w:abstractNum>
  <w:abstractNum w:abstractNumId="110">
    <w:nsid w:val="5046B5A9"/>
    <w:multiLevelType w:val="hybridMultilevel"/>
    <w:lvl w:ilvl="0">
      <w:lvlJc w:val="left"/>
      <w:lvlText w:val="(%1)"/>
      <w:numFmt w:val="lowerLetter"/>
      <w:start w:val="3"/>
    </w:lvl>
    <w:lvl w:ilvl="1">
      <w:lvlJc w:val="left"/>
      <w:lvlText w:val="(%2)"/>
      <w:numFmt w:val="lowerRoman"/>
      <w:start w:val="1"/>
    </w:lvl>
  </w:abstractNum>
  <w:abstractNum w:abstractNumId="111">
    <w:nsid w:val="5D888A08"/>
    <w:multiLevelType w:val="hybridMultilevel"/>
    <w:lvl w:ilvl="0">
      <w:lvlJc w:val="left"/>
      <w:lvlText w:val="(%1)"/>
      <w:numFmt w:val="lowerRoman"/>
      <w:start w:val="4"/>
    </w:lvl>
  </w:abstractNum>
  <w:abstractNum w:abstractNumId="112">
    <w:nsid w:val="2A082C70"/>
    <w:multiLevelType w:val="hybridMultilevel"/>
    <w:lvl w:ilvl="0">
      <w:lvlJc w:val="left"/>
      <w:lvlText w:val="(%1)"/>
      <w:numFmt w:val="lowerLetter"/>
      <w:start w:val="1"/>
    </w:lvl>
  </w:abstractNum>
  <w:abstractNum w:abstractNumId="113">
    <w:nsid w:val="5EC6AFD4"/>
    <w:multiLevelType w:val="hybridMultilevel"/>
    <w:lvl w:ilvl="0">
      <w:lvlJc w:val="left"/>
      <w:lvlText w:val="(%1)"/>
      <w:numFmt w:val="lowerLetter"/>
      <w:start w:val="4"/>
    </w:lvl>
  </w:abstractNum>
  <w:abstractNum w:abstractNumId="114">
    <w:nsid w:val="19E21BB2"/>
    <w:multiLevelType w:val="hybridMultilevel"/>
    <w:lvl w:ilvl="0">
      <w:lvlJc w:val="left"/>
      <w:lvlText w:val="(%1)"/>
      <w:numFmt w:val="lowerLetter"/>
      <w:start w:val="1"/>
    </w:lvl>
  </w:abstractNum>
  <w:abstractNum w:abstractNumId="115">
    <w:nsid w:val="75E0858A"/>
    <w:multiLevelType w:val="hybridMultilevel"/>
    <w:lvl w:ilvl="0">
      <w:lvlJc w:val="left"/>
      <w:lvlText w:val="(%1)"/>
      <w:numFmt w:val="lowerLetter"/>
      <w:start w:val="6"/>
    </w:lvl>
  </w:abstractNum>
  <w:abstractNum w:abstractNumId="116">
    <w:nsid w:val="57A61A29"/>
    <w:multiLevelType w:val="hybridMultilevel"/>
    <w:lvl w:ilvl="0">
      <w:lvlJc w:val="left"/>
      <w:lvlText w:val="(%1)"/>
      <w:numFmt w:val="lowerRoman"/>
      <w:start w:val="1"/>
    </w:lvl>
  </w:abstractNum>
  <w:abstractNum w:abstractNumId="117">
    <w:nsid w:val="5399C654"/>
    <w:multiLevelType w:val="hybridMultilevel"/>
    <w:lvl w:ilvl="0">
      <w:lvlJc w:val="left"/>
      <w:lvlText w:val="(%1)"/>
      <w:numFmt w:val="lowerLetter"/>
      <w:start w:val="10"/>
    </w:lvl>
  </w:abstractNum>
  <w:abstractNum w:abstractNumId="118">
    <w:nsid w:val="20EE1348"/>
    <w:multiLevelType w:val="hybridMultilevel"/>
    <w:lvl w:ilvl="0">
      <w:lvlJc w:val="left"/>
      <w:lvlText w:val="(%1)"/>
      <w:numFmt w:val="decimal"/>
      <w:start w:val="1"/>
    </w:lvl>
  </w:abstractNum>
  <w:abstractNum w:abstractNumId="119">
    <w:nsid w:val="4427069A"/>
    <w:multiLevelType w:val="hybridMultilevel"/>
    <w:lvl w:ilvl="0">
      <w:lvlJc w:val="left"/>
      <w:lvlText w:val="(%1)"/>
      <w:numFmt w:val="lowerRoman"/>
      <w:start w:val="2"/>
    </w:lvl>
  </w:abstractNum>
  <w:abstractNum w:abstractNumId="120">
    <w:nsid w:val="B37E80A"/>
    <w:multiLevelType w:val="hybridMultilevel"/>
    <w:lvl w:ilvl="0">
      <w:lvlJc w:val="left"/>
      <w:lvlText w:val="(%1)"/>
      <w:numFmt w:val="lowerRoman"/>
      <w:start w:val="2"/>
    </w:lvl>
  </w:abstractNum>
  <w:abstractNum w:abstractNumId="121">
    <w:nsid w:val="2157F6BC"/>
    <w:multiLevelType w:val="hybridMultilevel"/>
    <w:lvl w:ilvl="0">
      <w:lvlJc w:val="left"/>
      <w:lvlText w:val="(%1)"/>
      <w:numFmt w:val="lowerLetter"/>
      <w:start w:val="1"/>
    </w:lvl>
  </w:abstractNum>
  <w:abstractNum w:abstractNumId="122">
    <w:nsid w:val="704E1DD5"/>
    <w:multiLevelType w:val="hybridMultilevel"/>
    <w:lvl w:ilvl="0">
      <w:lvlJc w:val="left"/>
      <w:lvlText w:val="%1."/>
      <w:numFmt w:val="decimal"/>
      <w:start w:val="1"/>
    </w:lvl>
  </w:abstractNum>
  <w:abstractNum w:abstractNumId="123">
    <w:nsid w:val="57D2F10E"/>
    <w:multiLevelType w:val="hybridMultilevel"/>
    <w:lvl w:ilvl="0">
      <w:lvlJc w:val="left"/>
      <w:lvlText w:val="%1."/>
      <w:numFmt w:val="decimal"/>
      <w:start w:val="3"/>
    </w:lvl>
  </w:abstractNum>
  <w:abstractNum w:abstractNumId="124">
    <w:nsid w:val="BFFAE18"/>
    <w:multiLevelType w:val="hybridMultilevel"/>
    <w:lvl w:ilvl="0">
      <w:lvlJc w:val="left"/>
      <w:lvlText w:val="%1."/>
      <w:numFmt w:val="decimal"/>
      <w:start w:val="4"/>
    </w:lvl>
  </w:abstractNum>
  <w:abstractNum w:abstractNumId="125">
    <w:nsid w:val="E3E47A8"/>
    <w:multiLevelType w:val="hybridMultilevel"/>
    <w:lvl w:ilvl="0">
      <w:lvlJc w:val="left"/>
      <w:lvlText w:val="%1."/>
      <w:numFmt w:val="decimal"/>
      <w:start w:val="5"/>
    </w:lvl>
  </w:abstractNum>
  <w:abstractNum w:abstractNumId="126">
    <w:nsid w:val="2E48F044"/>
    <w:multiLevelType w:val="hybridMultilevel"/>
    <w:lvl w:ilvl="0">
      <w:lvlJc w:val="left"/>
      <w:lvlText w:val="%1."/>
      <w:numFmt w:val="decimal"/>
      <w:start w:val="6"/>
    </w:lvl>
  </w:abstractNum>
  <w:abstractNum w:abstractNumId="127">
    <w:nsid w:val="49D0FEAC"/>
    <w:multiLevelType w:val="hybridMultilevel"/>
    <w:lvl w:ilvl="0">
      <w:lvlJc w:val="left"/>
      <w:lvlText w:val="%1."/>
      <w:numFmt w:val="decimal"/>
      <w:start w:val="3"/>
    </w:lvl>
  </w:abstractNum>
  <w:abstractNum w:abstractNumId="128">
    <w:nsid w:val="4BEE5A5B"/>
    <w:multiLevelType w:val="hybridMultilevel"/>
    <w:lvl w:ilvl="0">
      <w:lvlJc w:val="left"/>
      <w:lvlText w:val="%1."/>
      <w:numFmt w:val="decimal"/>
      <w:start w:val="6"/>
    </w:lvl>
  </w:abstractNum>
  <w:abstractNum w:abstractNumId="129">
    <w:nsid w:val="5551B9F3"/>
    <w:multiLevelType w:val="hybridMultilevel"/>
    <w:lvl w:ilvl="0">
      <w:lvlJc w:val="left"/>
      <w:lvlText w:val="%1."/>
      <w:numFmt w:val="decimal"/>
      <w:start w:val="8"/>
    </w:lvl>
  </w:abstractNum>
  <w:abstractNum w:abstractNumId="130">
    <w:nsid w:val="24F6AB8E"/>
    <w:multiLevelType w:val="hybridMultilevel"/>
    <w:lvl w:ilvl="0">
      <w:lvlJc w:val="left"/>
      <w:lvlText w:val="%1."/>
      <w:numFmt w:val="decimal"/>
      <w:start w:val="9"/>
    </w:lvl>
  </w:abstractNum>
  <w:abstractNum w:abstractNumId="131">
    <w:nsid w:val="634C574C"/>
    <w:multiLevelType w:val="hybridMultilevel"/>
    <w:lvl w:ilvl="0">
      <w:lvlJc w:val="left"/>
      <w:lvlText w:val="%1."/>
      <w:numFmt w:val="decimal"/>
      <w:start w:val="12"/>
    </w:lvl>
  </w:abstractNum>
  <w:abstractNum w:abstractNumId="132">
    <w:nsid w:val="24E99DD7"/>
    <w:multiLevelType w:val="hybridMultilevel"/>
    <w:lvl w:ilvl="0">
      <w:lvlJc w:val="left"/>
      <w:lvlText w:val="%1."/>
      <w:numFmt w:val="decimal"/>
      <w:start w:val="1"/>
    </w:lvl>
  </w:abstractNum>
  <w:abstractNum w:abstractNumId="133">
    <w:nsid w:val="2A31B62D"/>
    <w:multiLevelType w:val="hybridMultilevel"/>
    <w:lvl w:ilvl="0">
      <w:lvlJc w:val="left"/>
      <w:lvlText w:val="%1."/>
      <w:numFmt w:val="decimal"/>
      <w:start w:val="5"/>
    </w:lvl>
  </w:abstractNum>
  <w:abstractNum w:abstractNumId="134">
    <w:nsid w:val="1849C29B"/>
    <w:multiLevelType w:val="hybridMultilevel"/>
    <w:lvl w:ilvl="0">
      <w:lvlJc w:val="left"/>
      <w:lvlText w:val="%1."/>
      <w:numFmt w:val="decimal"/>
      <w:start w:val="13"/>
    </w:lvl>
  </w:abstractNum>
  <w:abstractNum w:abstractNumId="135">
    <w:nsid w:val="7DFF9D09"/>
    <w:multiLevelType w:val="hybridMultilevel"/>
    <w:lvl w:ilvl="0">
      <w:lvlJc w:val="left"/>
      <w:lvlText w:val="%1."/>
      <w:numFmt w:val="decimal"/>
      <w:start w:val="21"/>
    </w:lvl>
  </w:abstractNum>
  <w:abstractNum w:abstractNumId="136">
    <w:nsid w:val="754342"/>
    <w:multiLevelType w:val="hybridMultilevel"/>
    <w:lvl w:ilvl="0">
      <w:lvlJc w:val="left"/>
      <w:lvlText w:val="%1."/>
      <w:numFmt w:val="decimal"/>
      <w:start w:val="23"/>
    </w:lvl>
  </w:abstractNum>
  <w:abstractNum w:abstractNumId="137">
    <w:nsid w:val="69E7F3E5"/>
    <w:multiLevelType w:val="hybridMultilevel"/>
    <w:lvl w:ilvl="0">
      <w:lvlJc w:val="left"/>
      <w:lvlText w:val="%1."/>
      <w:numFmt w:val="decimal"/>
      <w:start w:val="1"/>
    </w:lvl>
  </w:abstractNum>
  <w:abstractNum w:abstractNumId="138">
    <w:nsid w:val="2A6DE806"/>
    <w:multiLevelType w:val="hybridMultilevel"/>
    <w:lvl w:ilvl="0">
      <w:lvlJc w:val="left"/>
      <w:lvlText w:val="(%1)"/>
      <w:numFmt w:val="upperLetter"/>
      <w:start w:val="1"/>
    </w:lvl>
  </w:abstractNum>
  <w:abstractNum w:abstractNumId="139">
    <w:nsid w:val="1816F8C4"/>
    <w:multiLevelType w:val="hybridMultilevel"/>
    <w:lvl w:ilvl="0">
      <w:lvlJc w:val="left"/>
      <w:lvlText w:val="(%1)"/>
      <w:numFmt w:val="upperLetter"/>
      <w:start w:val="2"/>
    </w:lvl>
  </w:abstractNum>
  <w:abstractNum w:abstractNumId="140">
    <w:nsid w:val="37DF2233"/>
    <w:multiLevelType w:val="hybridMultilevel"/>
    <w:lvl w:ilvl="0">
      <w:lvlJc w:val="left"/>
      <w:lvlText w:val="%1."/>
      <w:numFmt w:val="decimal"/>
      <w:start w:val="1"/>
    </w:lvl>
  </w:abstractNum>
  <w:abstractNum w:abstractNumId="141">
    <w:nsid w:val="7AB49DAF"/>
    <w:multiLevelType w:val="hybridMultilevel"/>
    <w:lvl w:ilvl="0">
      <w:lvlJc w:val="left"/>
      <w:lvlText w:val="%1."/>
      <w:numFmt w:val="decimal"/>
      <w:start w:val="1"/>
    </w:lvl>
    <w:lvl w:ilvl="1">
      <w:lvlJc w:val="left"/>
      <w:lvlText w:val="%2)"/>
      <w:numFmt w:val="lowerLetter"/>
      <w:start w:val="1"/>
    </w:lvl>
  </w:abstractNum>
  <w:abstractNum w:abstractNumId="142">
    <w:nsid w:val="759F82CD"/>
    <w:multiLevelType w:val="hybridMultilevel"/>
    <w:lvl w:ilvl="0">
      <w:lvlJc w:val="left"/>
      <w:lvlText w:val="%1."/>
      <w:numFmt w:val="decimal"/>
      <w:start w:val="1"/>
    </w:lvl>
    <w:lvl w:ilvl="1">
      <w:lvlJc w:val="left"/>
      <w:lvlText w:val="%2)"/>
      <w:numFmt w:val="lowerLetter"/>
      <w:start w:val="1"/>
    </w:lvl>
  </w:abstractNum>
  <w:abstractNum w:abstractNumId="143">
    <w:nsid w:val="61E74EA3"/>
    <w:multiLevelType w:val="hybridMultilevel"/>
    <w:lvl w:ilvl="0">
      <w:lvlJc w:val="left"/>
      <w:lvlText w:val="(%1)"/>
      <w:numFmt w:val="decimal"/>
      <w:start w:val="1"/>
    </w:lvl>
  </w:abstractNum>
  <w:abstractNum w:abstractNumId="144">
    <w:nsid w:val="597B4D8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2019-12-29T16:04:26Z</dcterms:created>
  <dcterms:modified xsi:type="dcterms:W3CDTF">2019-12-29T16:04:26Z</dcterms:modified>
</cp:coreProperties>
</file>