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1090930</wp:posOffset>
            </wp:positionV>
            <wp:extent cx="70897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7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996315</wp:posOffset>
            </wp:positionV>
            <wp:extent cx="7089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77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7"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November 9, 2021</w:t>
            </w:r>
          </w:p>
        </w:tc>
        <w:tc>
          <w:tcPr>
            <w:tcW w:w="2300" w:type="dxa"/>
            <w:vAlign w:val="bottom"/>
          </w:tcPr>
          <w:p>
            <w:pPr>
              <w:spacing w:after="0"/>
              <w:rPr>
                <w:sz w:val="20"/>
                <w:szCs w:val="20"/>
                <w:color w:val="auto"/>
              </w:rPr>
            </w:pPr>
          </w:p>
        </w:tc>
      </w:tr>
      <w:tr>
        <w:trPr>
          <w:trHeight w:val="444"/>
        </w:trPr>
        <w:tc>
          <w:tcPr>
            <w:tcW w:w="2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0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00" w:type="dxa"/>
            <w:vAlign w:val="bottom"/>
          </w:tcPr>
          <w:p>
            <w:pPr>
              <w:spacing w:after="0"/>
              <w:rPr>
                <w:sz w:val="20"/>
                <w:szCs w:val="20"/>
                <w:color w:val="auto"/>
              </w:rPr>
            </w:pPr>
          </w:p>
        </w:tc>
      </w:tr>
      <w:tr>
        <w:trPr>
          <w:trHeight w:val="270"/>
        </w:trPr>
        <w:tc>
          <w:tcPr>
            <w:tcW w:w="22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Delaware</w:t>
            </w: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20-5455398</w:t>
            </w:r>
          </w:p>
        </w:tc>
      </w:tr>
      <w:tr>
        <w:trPr>
          <w:trHeight w:val="228"/>
        </w:trPr>
        <w:tc>
          <w:tcPr>
            <w:tcW w:w="2260" w:type="dxa"/>
            <w:vAlign w:val="bottom"/>
          </w:tcPr>
          <w:p>
            <w:pPr>
              <w:jc w:val="center"/>
              <w:ind w:right="70"/>
              <w:spacing w:after="0"/>
              <w:rPr>
                <w:sz w:val="20"/>
                <w:szCs w:val="20"/>
                <w:color w:val="auto"/>
              </w:rPr>
            </w:pPr>
            <w:r>
              <w:rPr>
                <w:rFonts w:ascii="Arial" w:cs="Arial" w:eastAsia="Arial" w:hAnsi="Arial"/>
                <w:sz w:val="18"/>
                <w:szCs w:val="18"/>
                <w:color w:val="auto"/>
                <w:w w:val="93"/>
              </w:rPr>
              <w:t>(State or other jurisdiction of</w:t>
            </w: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2300" w:type="dxa"/>
            <w:vAlign w:val="bottom"/>
          </w:tcPr>
          <w:p>
            <w:pPr>
              <w:jc w:val="center"/>
              <w:ind w:left="1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260" w:type="dxa"/>
            <w:vAlign w:val="bottom"/>
          </w:tcPr>
          <w:p>
            <w:pPr>
              <w:jc w:val="center"/>
              <w:ind w:right="70"/>
              <w:spacing w:after="0"/>
              <w:rPr>
                <w:sz w:val="20"/>
                <w:szCs w:val="20"/>
                <w:color w:val="auto"/>
              </w:rPr>
            </w:pPr>
            <w:r>
              <w:rPr>
                <w:rFonts w:ascii="Arial" w:cs="Arial" w:eastAsia="Arial" w:hAnsi="Arial"/>
                <w:sz w:val="18"/>
                <w:szCs w:val="18"/>
                <w:color w:val="auto"/>
                <w:w w:val="92"/>
              </w:rPr>
              <w:t>incorporation)</w:t>
            </w:r>
          </w:p>
        </w:tc>
        <w:tc>
          <w:tcPr>
            <w:tcW w:w="5220" w:type="dxa"/>
            <w:vAlign w:val="bottom"/>
          </w:tcPr>
          <w:p>
            <w:pPr>
              <w:spacing w:after="0"/>
              <w:rPr>
                <w:sz w:val="20"/>
                <w:szCs w:val="20"/>
                <w:color w:val="auto"/>
              </w:rPr>
            </w:pPr>
          </w:p>
        </w:tc>
        <w:tc>
          <w:tcPr>
            <w:tcW w:w="2300" w:type="dxa"/>
            <w:vAlign w:val="bottom"/>
          </w:tcPr>
          <w:p>
            <w:pPr>
              <w:jc w:val="center"/>
              <w:ind w:left="90"/>
              <w:spacing w:after="0"/>
              <w:rPr>
                <w:sz w:val="20"/>
                <w:szCs w:val="20"/>
                <w:color w:val="auto"/>
              </w:rPr>
            </w:pPr>
            <w:r>
              <w:rPr>
                <w:rFonts w:ascii="Arial" w:cs="Arial" w:eastAsia="Arial" w:hAnsi="Arial"/>
                <w:sz w:val="18"/>
                <w:szCs w:val="18"/>
                <w:color w:val="auto"/>
                <w:w w:val="93"/>
              </w:rPr>
              <w:t>No.)</w:t>
            </w:r>
          </w:p>
        </w:tc>
      </w:tr>
      <w:tr>
        <w:trPr>
          <w:trHeight w:val="364"/>
        </w:trPr>
        <w:tc>
          <w:tcPr>
            <w:tcW w:w="74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80" w:type="dxa"/>
            <w:vAlign w:val="bottom"/>
            <w:gridSpan w:val="2"/>
          </w:tcPr>
          <w:p>
            <w:pPr>
              <w:ind w:left="1140"/>
              <w:spacing w:after="0"/>
              <w:rPr>
                <w:sz w:val="20"/>
                <w:szCs w:val="20"/>
                <w:color w:val="auto"/>
              </w:rPr>
            </w:pPr>
            <w:r>
              <w:rPr>
                <w:rFonts w:ascii="Arial" w:cs="Arial" w:eastAsia="Arial" w:hAnsi="Arial"/>
                <w:sz w:val="18"/>
                <w:szCs w:val="18"/>
                <w:color w:val="auto"/>
              </w:rPr>
              <w:t>(Address of principal executive offices)</w:t>
            </w:r>
          </w:p>
        </w:tc>
        <w:tc>
          <w:tcPr>
            <w:tcW w:w="2300" w:type="dxa"/>
            <w:vAlign w:val="bottom"/>
          </w:tcPr>
          <w:p>
            <w:pPr>
              <w:jc w:val="center"/>
              <w:ind w:left="150"/>
              <w:spacing w:after="0"/>
              <w:rPr>
                <w:sz w:val="20"/>
                <w:szCs w:val="20"/>
                <w:color w:val="auto"/>
              </w:rPr>
            </w:pPr>
            <w:r>
              <w:rPr>
                <w:rFonts w:ascii="Arial" w:cs="Arial" w:eastAsia="Arial" w:hAnsi="Arial"/>
                <w:sz w:val="18"/>
                <w:szCs w:val="18"/>
                <w:color w:val="auto"/>
                <w:w w:val="91"/>
              </w:rPr>
              <w:t>(Zip Code)</w:t>
            </w:r>
          </w:p>
        </w:tc>
      </w:tr>
    </w:tbl>
    <w:p>
      <w:pPr>
        <w:spacing w:after="0" w:line="3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1220" w:hanging="727"/>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7"/>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7"/>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7"/>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2"/>
                <w:szCs w:val="22"/>
                <w:color w:val="auto"/>
              </w:rPr>
            </w:pPr>
          </w:p>
        </w:tc>
        <w:tc>
          <w:tcPr>
            <w:tcW w:w="2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5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par value, $0.001 per share</w:t>
            </w:r>
          </w:p>
        </w:tc>
        <w:tc>
          <w:tcPr>
            <w:tcW w:w="226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4" w:lineRule="exact"/>
        <w:rPr>
          <w:sz w:val="24"/>
          <w:szCs w:val="24"/>
          <w:color w:val="auto"/>
        </w:rPr>
      </w:pPr>
    </w:p>
    <w:p>
      <w:pPr>
        <w:ind w:left="20" w:right="2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5" w:lineRule="exact"/>
        <w:rPr>
          <w:sz w:val="24"/>
          <w:szCs w:val="24"/>
          <w:color w:val="auto"/>
        </w:rPr>
      </w:pPr>
    </w:p>
    <w:p>
      <w:pPr>
        <w:ind w:left="20"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1421765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089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7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089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7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On November 9, 2021, Veracyte, Inc. (the “Company”) issued a press release announcing its financial results for the quarter ended September 30, 2021.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the press release is furnished as Exhibit 99.1 to this report.</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4"/>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4680" w:type="dxa"/>
            <w:vAlign w:val="bottom"/>
          </w:tcPr>
          <w:p>
            <w:pPr>
              <w:spacing w:after="0"/>
              <w:rPr>
                <w:sz w:val="20"/>
                <w:szCs w:val="20"/>
                <w:color w:val="auto"/>
              </w:rPr>
            </w:pPr>
          </w:p>
        </w:tc>
      </w:tr>
      <w:tr>
        <w:trPr>
          <w:trHeight w:val="243"/>
        </w:trPr>
        <w:tc>
          <w:tcPr>
            <w:tcW w:w="1680" w:type="dxa"/>
            <w:vAlign w:val="bottom"/>
            <w:gridSpan w:val="4"/>
          </w:tcPr>
          <w:p>
            <w:pPr>
              <w:ind w:left="20"/>
              <w:spacing w:after="0"/>
              <w:rPr>
                <w:sz w:val="20"/>
                <w:szCs w:val="20"/>
                <w:color w:val="auto"/>
              </w:rPr>
            </w:pPr>
            <w:r>
              <w:rPr>
                <w:rFonts w:ascii="Arial" w:cs="Arial" w:eastAsia="Arial" w:hAnsi="Arial"/>
                <w:sz w:val="18"/>
                <w:szCs w:val="18"/>
                <w:color w:val="auto"/>
              </w:rPr>
              <w:t>Exhibit No.</w:t>
            </w:r>
          </w:p>
        </w:tc>
        <w:tc>
          <w:tcPr>
            <w:tcW w:w="9240" w:type="dxa"/>
            <w:vAlign w:val="bottom"/>
            <w:gridSpan w:val="3"/>
          </w:tcPr>
          <w:p>
            <w:pPr>
              <w:ind w:left="20"/>
              <w:spacing w:after="0"/>
              <w:rPr>
                <w:sz w:val="20"/>
                <w:szCs w:val="20"/>
                <w:color w:val="auto"/>
              </w:rPr>
            </w:pPr>
            <w:r>
              <w:rPr>
                <w:rFonts w:ascii="Arial" w:cs="Arial" w:eastAsia="Arial" w:hAnsi="Arial"/>
                <w:sz w:val="18"/>
                <w:szCs w:val="18"/>
                <w:color w:val="auto"/>
              </w:rPr>
              <w:t>Description</w:t>
            </w:r>
          </w:p>
        </w:tc>
      </w:tr>
      <w:tr>
        <w:trPr>
          <w:trHeight w:val="290"/>
        </w:trPr>
        <w:tc>
          <w:tcPr>
            <w:tcW w:w="6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jc w:val="right"/>
              <w:spacing w:after="0"/>
              <w:rPr>
                <w:rFonts w:ascii="Arial" w:cs="Arial" w:eastAsia="Arial" w:hAnsi="Arial"/>
                <w:sz w:val="18"/>
                <w:szCs w:val="18"/>
                <w:color w:val="0000FF"/>
                <w:w w:val="85"/>
              </w:rPr>
            </w:pPr>
            <w:hyperlink w:anchor="page3">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4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40" w:type="dxa"/>
            <w:vAlign w:val="bottom"/>
            <w:tcBorders>
              <w:top w:val="single" w:sz="8" w:color="auto"/>
            </w:tcBorders>
            <w:gridSpan w:val="3"/>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Press release issued by Veracyte, Inc. dated November 9, 2021.</w:t>
              </w:r>
            </w:hyperlink>
          </w:p>
        </w:tc>
      </w:tr>
      <w:tr>
        <w:trPr>
          <w:trHeight w:val="20"/>
        </w:trPr>
        <w:tc>
          <w:tcPr>
            <w:tcW w:w="6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40" w:type="dxa"/>
            <w:vAlign w:val="bottom"/>
            <w:shd w:val="clear" w:color="auto" w:fill="0000FF"/>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77"/>
        </w:trPr>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4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November 9, 2021</w:t>
      </w:r>
    </w:p>
    <w:p>
      <w:pPr>
        <w:spacing w:after="0" w:line="27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8"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23495</wp:posOffset>
            </wp:positionV>
            <wp:extent cx="3930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30015" cy="8255"/>
                    </a:xfrm>
                    <a:prstGeom prst="rect">
                      <a:avLst/>
                    </a:prstGeom>
                    <a:noFill/>
                  </pic:spPr>
                </pic:pic>
              </a:graphicData>
            </a:graphic>
          </wp:anchor>
        </w:drawing>
      </w:r>
    </w:p>
    <w:p>
      <w:pPr>
        <w:spacing w:after="0" w:line="2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Rebecca Chambers</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49"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416"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6350</wp:posOffset>
            </wp:positionV>
            <wp:extent cx="1275715" cy="907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5715" cy="90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Third Quarter 2021 Financial Results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Revenue of $60.4 Million and Volume of 20,972 Tests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Launches Percepta Nasal Swab and Decipher Bladder Genomic Tests;</w:t>
      </w:r>
    </w:p>
    <w:p>
      <w:pPr>
        <w:jc w:val="center"/>
        <w:spacing w:after="0"/>
        <w:rPr>
          <w:sz w:val="20"/>
          <w:szCs w:val="20"/>
          <w:color w:val="auto"/>
        </w:rPr>
      </w:pPr>
      <w:r>
        <w:rPr>
          <w:rFonts w:ascii="Arial" w:cs="Arial" w:eastAsia="Arial" w:hAnsi="Arial"/>
          <w:sz w:val="18"/>
          <w:szCs w:val="18"/>
          <w:i w:val="1"/>
          <w:iCs w:val="1"/>
          <w:color w:val="auto"/>
        </w:rPr>
        <w:t>Completes Acquisition of HalioDx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00" w:lineRule="exact"/>
        <w:rPr>
          <w:sz w:val="20"/>
          <w:szCs w:val="20"/>
          <w:color w:val="auto"/>
        </w:rPr>
      </w:pPr>
    </w:p>
    <w:p>
      <w:pPr>
        <w:spacing w:after="0" w:line="2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SOUTH SAN FRANCISCO, Calif., November 9, 2021 – Veracyte, Inc. (Nasdaq: VCYT) today announced financial results for the third quarter ended September 30, 2021.</w:t>
      </w:r>
    </w:p>
    <w:p>
      <w:pPr>
        <w:spacing w:after="0" w:line="228"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are pleased with our third quarter performance as we experienced strong year-over-year revenue growth despite the headwind of the COVID-19 Delta variant,” said Marc Stapley, Veracyte’s chief executive officer. “With the completion of our acquisition of HalioDx, the launch of our novel noninvasive Percepta Nasal Swab test for early lung cancer risk assessment and of our Decipher Bladder test to help guide bladder cancer treatment decisions, the pieces are coming together to transform our company into a global cancer diagnostics leader.”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third quarter of 2021, as compared with the third quarter of 2020:</w:t>
      </w:r>
    </w:p>
    <w:p>
      <w:pPr>
        <w:spacing w:after="0" w:line="198" w:lineRule="exact"/>
        <w:rPr>
          <w:sz w:val="20"/>
          <w:szCs w:val="20"/>
          <w:color w:val="auto"/>
        </w:rPr>
      </w:pPr>
    </w:p>
    <w:p>
      <w:pPr>
        <w:ind w:left="820" w:hanging="32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$60.4 million, an increase of 94%, including $4.7 million of HalioDx revenue;</w:t>
      </w:r>
    </w:p>
    <w:p>
      <w:pPr>
        <w:spacing w:after="0" w:line="35" w:lineRule="exact"/>
        <w:rPr>
          <w:rFonts w:ascii="Arial" w:cs="Arial" w:eastAsia="Arial" w:hAnsi="Arial"/>
          <w:sz w:val="18"/>
          <w:szCs w:val="18"/>
          <w:color w:val="auto"/>
        </w:rPr>
      </w:pPr>
    </w:p>
    <w:p>
      <w:pPr>
        <w:ind w:left="820" w:right="200" w:hanging="327"/>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64%, a decrease of 300 basis points including the impact of HalioDx and the associated purchase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equaled 68%, an increase of 100 basis points, before the impact of HalioDx;</w:t>
      </w:r>
    </w:p>
    <w:p>
      <w:pPr>
        <w:ind w:left="820" w:right="600" w:hanging="327"/>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$55.4 million, an increase of 123%, including $7.5 million of HalioDx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$5.8 million in acquisition-related expenses;</w:t>
      </w:r>
    </w:p>
    <w:p>
      <w:pPr>
        <w:ind w:left="820" w:right="60" w:hanging="327"/>
        <w:spacing w:after="0" w:line="250" w:lineRule="auto"/>
        <w:tabs>
          <w:tab w:leader="none" w:pos="815"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$14.1 million, an increase of 243%, including $5.8 million of acquisition-related expenses and $6.3 million of HalioDx</w:t>
      </w:r>
      <w:r>
        <w:rPr>
          <w:rFonts w:ascii="Arial" w:cs="Arial" w:eastAsia="Arial" w:hAnsi="Arial"/>
          <w:sz w:val="18"/>
          <w:szCs w:val="18"/>
          <w:i w:val="1"/>
          <w:iCs w:val="1"/>
          <w:color w:val="auto"/>
        </w:rPr>
        <w:t xml:space="preserve"> </w:t>
      </w:r>
      <w:r>
        <w:rPr>
          <w:rFonts w:ascii="Arial" w:cs="Arial" w:eastAsia="Arial" w:hAnsi="Arial"/>
          <w:sz w:val="18"/>
          <w:szCs w:val="18"/>
          <w:color w:val="auto"/>
        </w:rPr>
        <w:t>net loss;</w:t>
      </w:r>
    </w:p>
    <w:p>
      <w:pPr>
        <w:spacing w:after="0" w:line="13" w:lineRule="exact"/>
        <w:rPr>
          <w:rFonts w:ascii="Arial" w:cs="Arial" w:eastAsia="Arial" w:hAnsi="Arial"/>
          <w:sz w:val="18"/>
          <w:szCs w:val="18"/>
          <w:color w:val="auto"/>
        </w:rPr>
      </w:pPr>
    </w:p>
    <w:p>
      <w:pPr>
        <w:ind w:left="820" w:hanging="32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$0.20, an increase of 150%;</w:t>
      </w:r>
    </w:p>
    <w:p>
      <w:pPr>
        <w:spacing w:after="0" w:line="49" w:lineRule="exact"/>
        <w:rPr>
          <w:rFonts w:ascii="Arial" w:cs="Arial" w:eastAsia="Arial" w:hAnsi="Arial"/>
          <w:sz w:val="18"/>
          <w:szCs w:val="18"/>
          <w:color w:val="auto"/>
        </w:rPr>
      </w:pPr>
    </w:p>
    <w:p>
      <w:pPr>
        <w:ind w:left="820" w:hanging="32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$1.4 million including $3.9 million of acquisition-related expenses; and</w:t>
      </w:r>
    </w:p>
    <w:p>
      <w:pPr>
        <w:spacing w:after="0" w:line="49" w:lineRule="exact"/>
        <w:rPr>
          <w:rFonts w:ascii="Arial" w:cs="Arial" w:eastAsia="Arial" w:hAnsi="Arial"/>
          <w:sz w:val="18"/>
          <w:szCs w:val="18"/>
          <w:color w:val="auto"/>
        </w:rPr>
      </w:pPr>
    </w:p>
    <w:p>
      <w:pPr>
        <w:ind w:left="820" w:hanging="32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$164.0 million at September 30, 2021.</w:t>
      </w:r>
    </w:p>
    <w:p>
      <w:pPr>
        <w:sectPr>
          <w:pgSz w:w="11900" w:h="16838" w:orient="portrait"/>
          <w:cols w:equalWidth="0" w:num="1">
            <w:col w:w="11240"/>
          </w:cols>
          <w:pgMar w:left="320" w:top="907" w:right="339" w:bottom="1440" w:gutter="0" w:footer="0" w:header="0"/>
        </w:sectPr>
      </w:pPr>
    </w:p>
    <w:bookmarkStart w:id="3" w:name="page4"/>
    <w:bookmarkEnd w:id="3"/>
    <w:p>
      <w:pPr>
        <w:ind w:left="160"/>
        <w:spacing w:after="0"/>
        <w:rPr>
          <w:sz w:val="20"/>
          <w:szCs w:val="20"/>
          <w:color w:val="auto"/>
        </w:rPr>
      </w:pPr>
      <w:r>
        <w:rPr>
          <w:rFonts w:ascii="Arial" w:cs="Arial" w:eastAsia="Arial" w:hAnsi="Arial"/>
          <w:sz w:val="18"/>
          <w:szCs w:val="18"/>
          <w:i w:val="1"/>
          <w:iCs w:val="1"/>
          <w:color w:val="auto"/>
        </w:rPr>
        <w:t>For the nine months ended September 30, 2021, compared to the prior year:</w:t>
      </w:r>
    </w:p>
    <w:p>
      <w:pPr>
        <w:spacing w:after="0" w:line="225" w:lineRule="exact"/>
        <w:rPr>
          <w:sz w:val="20"/>
          <w:szCs w:val="20"/>
          <w:color w:val="auto"/>
        </w:rPr>
      </w:pPr>
    </w:p>
    <w:p>
      <w:pPr>
        <w:ind w:left="820" w:hanging="32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was $152.2 million, an increase of 83%, including $4.7 million of HalioDx revenue;</w:t>
      </w:r>
    </w:p>
    <w:p>
      <w:pPr>
        <w:spacing w:after="0" w:line="35" w:lineRule="exact"/>
        <w:rPr>
          <w:rFonts w:ascii="Arial" w:cs="Arial" w:eastAsia="Arial" w:hAnsi="Arial"/>
          <w:sz w:val="18"/>
          <w:szCs w:val="18"/>
          <w:color w:val="auto"/>
        </w:rPr>
      </w:pPr>
    </w:p>
    <w:p>
      <w:pPr>
        <w:ind w:left="820" w:right="120" w:hanging="327"/>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66%, an increase of 200 basis points including the impact of HalioDx and the associated purchase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equaled 68%, an increase of 400 basis points, before the impact of HalioDx;</w:t>
      </w:r>
    </w:p>
    <w:p>
      <w:pPr>
        <w:ind w:left="820" w:right="460" w:hanging="327"/>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$170.2 million, an increase of 113%, including $7.5 million of HalioDx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$45.3 million of acquisition-related expenses;</w:t>
      </w:r>
    </w:p>
    <w:p>
      <w:pPr>
        <w:ind w:left="820" w:right="600" w:hanging="327"/>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$65.0 million, an increase of 142%, including $45.3 million of acquisition-related expenses and $6.3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HalioDx net loss;</w:t>
      </w:r>
    </w:p>
    <w:p>
      <w:pPr>
        <w:ind w:left="820" w:right="820" w:hanging="327"/>
        <w:spacing w:after="0" w:line="250"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$0.97, an increase of 87%, including $0.68 per share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acquisition-related expenses recorded in general and administrative expenses; and</w:t>
      </w:r>
    </w:p>
    <w:p>
      <w:pPr>
        <w:ind w:left="820" w:hanging="327"/>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$40.1 million, including $43.4 million of acquisition-related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and Recent Business Highlights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Growth:</w:t>
      </w:r>
    </w:p>
    <w:p>
      <w:pPr>
        <w:spacing w:after="0" w:line="81" w:lineRule="exact"/>
        <w:rPr>
          <w:sz w:val="20"/>
          <w:szCs w:val="20"/>
          <w:color w:val="auto"/>
        </w:rPr>
      </w:pPr>
    </w:p>
    <w:p>
      <w:pPr>
        <w:ind w:left="660" w:right="40" w:hanging="329"/>
        <w:spacing w:after="0" w:line="24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Grew volume to 20,972 tests, including a small contribution from the Immunoscore Colon Cancer test, an increase of 79% compared to the same period in 2020.</w:t>
      </w:r>
    </w:p>
    <w:p>
      <w:pPr>
        <w:spacing w:after="0" w:line="35" w:lineRule="exact"/>
        <w:rPr>
          <w:rFonts w:ascii="Arial" w:cs="Arial" w:eastAsia="Arial" w:hAnsi="Arial"/>
          <w:sz w:val="18"/>
          <w:szCs w:val="18"/>
          <w:color w:val="auto"/>
        </w:rPr>
      </w:pPr>
    </w:p>
    <w:p>
      <w:pPr>
        <w:ind w:left="660" w:right="40" w:hanging="329"/>
        <w:spacing w:after="0"/>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Gained a new Blues coverage policy for Decipher Prostate, making the test a covered benefit for the plan’s 5 million members and bringing the total number of covered lives to over 150 million. Also secured contracts for the test with a large Blues plan and national government payer.</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 and Guideline Inclusion:</w:t>
      </w:r>
    </w:p>
    <w:p>
      <w:pPr>
        <w:spacing w:after="0" w:line="81" w:lineRule="exact"/>
        <w:rPr>
          <w:sz w:val="20"/>
          <w:szCs w:val="20"/>
          <w:color w:val="auto"/>
        </w:rPr>
      </w:pPr>
    </w:p>
    <w:p>
      <w:pPr>
        <w:ind w:left="660" w:right="200" w:hanging="329"/>
        <w:spacing w:after="0"/>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Six abstracts demonstrating the performance and utility of our genomic pulmonology and urology tests were presented at the 2021 American College of Chest Physicians (CHEST) and American Society for Radiation Oncology (ASTRO) annual meetings, respectively.</w:t>
      </w:r>
    </w:p>
    <w:p>
      <w:pPr>
        <w:spacing w:after="0" w:line="21" w:lineRule="exact"/>
        <w:rPr>
          <w:rFonts w:ascii="Arial" w:cs="Arial" w:eastAsia="Arial" w:hAnsi="Arial"/>
          <w:sz w:val="18"/>
          <w:szCs w:val="18"/>
          <w:color w:val="auto"/>
        </w:rPr>
      </w:pPr>
    </w:p>
    <w:p>
      <w:pPr>
        <w:ind w:left="660" w:right="500" w:hanging="329"/>
        <w:spacing w:after="0" w:line="28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New long-term clinical utility data for the Afirma Genomic Sequencing Classifier were published in the </w:t>
      </w:r>
      <w:r>
        <w:rPr>
          <w:rFonts w:ascii="Arial" w:cs="Arial" w:eastAsia="Arial" w:hAnsi="Arial"/>
          <w:sz w:val="17"/>
          <w:szCs w:val="17"/>
          <w:i w:val="1"/>
          <w:iCs w:val="1"/>
          <w:color w:val="auto"/>
        </w:rPr>
        <w:t>Journal of the Endocrine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Society </w:t>
      </w:r>
      <w:r>
        <w:rPr>
          <w:rFonts w:ascii="Arial" w:cs="Arial" w:eastAsia="Arial" w:hAnsi="Arial"/>
          <w:sz w:val="17"/>
          <w:szCs w:val="17"/>
          <w:color w:val="auto"/>
        </w:rPr>
        <w:t>and showed that the test helped reduce unnecessary surgeries in patients with indeterminate thyroid nodule cytology.</w:t>
      </w:r>
    </w:p>
    <w:p>
      <w:pPr>
        <w:ind w:left="660" w:right="180" w:hanging="329"/>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Data published in the </w:t>
      </w:r>
      <w:r>
        <w:rPr>
          <w:rFonts w:ascii="Arial" w:cs="Arial" w:eastAsia="Arial" w:hAnsi="Arial"/>
          <w:sz w:val="18"/>
          <w:szCs w:val="18"/>
          <w:i w:val="1"/>
          <w:iCs w:val="1"/>
          <w:color w:val="auto"/>
        </w:rPr>
        <w:t>Journal of Urology</w:t>
      </w:r>
      <w:r>
        <w:rPr>
          <w:rFonts w:ascii="Arial" w:cs="Arial" w:eastAsia="Arial" w:hAnsi="Arial"/>
          <w:sz w:val="18"/>
          <w:szCs w:val="18"/>
          <w:color w:val="auto"/>
        </w:rPr>
        <w:t xml:space="preserve"> demonstrated that the Decipher Bladder genomic test accurately identifies bladder tumors that are most likely to respond to chemotherapy prior to radical cystectomy.</w:t>
      </w:r>
    </w:p>
    <w:p>
      <w:pPr>
        <w:spacing w:after="0" w:line="17" w:lineRule="exact"/>
        <w:rPr>
          <w:rFonts w:ascii="Arial" w:cs="Arial" w:eastAsia="Arial" w:hAnsi="Arial"/>
          <w:sz w:val="18"/>
          <w:szCs w:val="18"/>
          <w:color w:val="auto"/>
        </w:rPr>
      </w:pPr>
    </w:p>
    <w:p>
      <w:pPr>
        <w:ind w:left="660" w:right="140" w:hanging="329"/>
        <w:spacing w:after="0" w:line="24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NCCN Clinical Practice Guidelines for Oncology were published and include specific treatment recommendations for men with prostate cancer uniquely based on their Decipher Prostate RP genomic classifier score.</w:t>
      </w:r>
    </w:p>
    <w:p>
      <w:pPr>
        <w:spacing w:after="0" w:line="35" w:lineRule="exact"/>
        <w:rPr>
          <w:rFonts w:ascii="Arial" w:cs="Arial" w:eastAsia="Arial" w:hAnsi="Arial"/>
          <w:sz w:val="18"/>
          <w:szCs w:val="18"/>
          <w:color w:val="auto"/>
        </w:rPr>
      </w:pPr>
    </w:p>
    <w:p>
      <w:pPr>
        <w:ind w:left="660" w:right="680" w:hanging="329"/>
        <w:spacing w:after="0" w:line="24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Pan-Asian adapted ESMO Clinical Practice Guidelines recommended the Immunoscore Colon Cancer test to refine the prognosis of stage 2 and stage 3 colon cancer patients in conjunction with traditional assessment.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 Advancement:</w:t>
      </w:r>
    </w:p>
    <w:p>
      <w:pPr>
        <w:spacing w:after="0" w:line="81" w:lineRule="exact"/>
        <w:rPr>
          <w:sz w:val="20"/>
          <w:szCs w:val="20"/>
          <w:color w:val="auto"/>
        </w:rPr>
      </w:pPr>
    </w:p>
    <w:p>
      <w:pPr>
        <w:ind w:left="660" w:hanging="329"/>
        <w:spacing w:after="0" w:line="24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Began offering the Percepta Nasal Swab test to a limited number of sites as part of a clinical utility study to build the clinical evidence needed to support reimbursement.</w:t>
      </w:r>
    </w:p>
    <w:p>
      <w:pPr>
        <w:spacing w:after="0" w:line="35" w:lineRule="exact"/>
        <w:rPr>
          <w:rFonts w:ascii="Arial" w:cs="Arial" w:eastAsia="Arial" w:hAnsi="Arial"/>
          <w:sz w:val="18"/>
          <w:szCs w:val="18"/>
          <w:color w:val="auto"/>
        </w:rPr>
      </w:pPr>
    </w:p>
    <w:p>
      <w:pPr>
        <w:ind w:left="660" w:hanging="3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Commenced the commercial launch of the Decipher Bladder test following Medicare coverage.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HalioDx Acquisition:</w:t>
      </w:r>
    </w:p>
    <w:p>
      <w:pPr>
        <w:spacing w:after="0" w:line="81" w:lineRule="exact"/>
        <w:rPr>
          <w:sz w:val="20"/>
          <w:szCs w:val="20"/>
          <w:color w:val="auto"/>
        </w:rPr>
      </w:pPr>
    </w:p>
    <w:p>
      <w:pPr>
        <w:ind w:left="660" w:right="160" w:hanging="329"/>
        <w:spacing w:after="0" w:line="24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Completed the acquisition of HalioDx for $321 million on August 2, 2021, bringing to Veracyte IVD manufacturing and development capabilities, deep scientific expertise in immuno-oncology and the Immunoscore Colon Cancer test.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Outlook</w:t>
      </w:r>
    </w:p>
    <w:p>
      <w:pPr>
        <w:spacing w:after="0" w:line="273" w:lineRule="exact"/>
        <w:rPr>
          <w:sz w:val="20"/>
          <w:szCs w:val="20"/>
          <w:color w:val="auto"/>
        </w:rPr>
      </w:pPr>
    </w:p>
    <w:p>
      <w:pPr>
        <w:ind w:right="40"/>
        <w:spacing w:after="0"/>
        <w:rPr>
          <w:sz w:val="20"/>
          <w:szCs w:val="20"/>
          <w:color w:val="auto"/>
        </w:rPr>
      </w:pPr>
      <w:r>
        <w:rPr>
          <w:rFonts w:ascii="Arial" w:cs="Arial" w:eastAsia="Arial" w:hAnsi="Arial"/>
          <w:sz w:val="18"/>
          <w:szCs w:val="18"/>
          <w:color w:val="222222"/>
        </w:rPr>
        <w:t>Veracyte is updating its 2021 annual total revenue guidance to $210 million to $218 million, from the previous guidance range of $200 million to $208 million, with HalioDx expecting to contribute approximately $10 million. This range represents 79% to 86% total revenue growth for fiscal 2021 compared to fiscal 2020.</w:t>
      </w:r>
    </w:p>
    <w:p>
      <w:pPr>
        <w:sectPr>
          <w:pgSz w:w="11900" w:h="16838" w:orient="portrait"/>
          <w:cols w:equalWidth="0" w:num="1">
            <w:col w:w="11200"/>
          </w:cols>
          <w:pgMar w:left="320" w:top="876"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3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 -server.com/mmc/p/3rcxuu6u.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be accessed as follows:</w:t>
      </w:r>
    </w:p>
    <w:p>
      <w:pPr>
        <w:spacing w:after="0" w:line="386" w:lineRule="exact"/>
        <w:rPr>
          <w:sz w:val="20"/>
          <w:szCs w:val="20"/>
          <w:color w:val="auto"/>
        </w:rPr>
      </w:pPr>
    </w:p>
    <w:tbl>
      <w:tblPr>
        <w:tblLayout w:type="fixed"/>
        <w:tblInd w:w="1560" w:type="dxa"/>
        <w:tblCellMar>
          <w:top w:w="0" w:type="dxa"/>
          <w:left w:w="0" w:type="dxa"/>
          <w:bottom w:w="0" w:type="dxa"/>
          <w:right w:w="0" w:type="dxa"/>
        </w:tblCellMar>
      </w:tblP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U.S./Canada participant dial-in number (toll-free):</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(855) 541-0980</w:t>
            </w: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International participant dial-in number:</w:t>
            </w:r>
          </w:p>
        </w:tc>
        <w:tc>
          <w:tcPr>
            <w:tcW w:w="2240" w:type="dxa"/>
            <w:vAlign w:val="bottom"/>
          </w:tcPr>
          <w:p>
            <w:pPr>
              <w:ind w:left="1020"/>
              <w:spacing w:after="0"/>
              <w:rPr>
                <w:sz w:val="20"/>
                <w:szCs w:val="20"/>
                <w:color w:val="auto"/>
              </w:rPr>
            </w:pPr>
            <w:r>
              <w:rPr>
                <w:rFonts w:ascii="Arial" w:cs="Arial" w:eastAsia="Arial" w:hAnsi="Arial"/>
                <w:sz w:val="18"/>
                <w:szCs w:val="18"/>
                <w:color w:val="auto"/>
                <w:w w:val="97"/>
              </w:rPr>
              <w:t>(970) 315-0440</w:t>
            </w:r>
          </w:p>
        </w:tc>
      </w:tr>
      <w:tr>
        <w:trPr>
          <w:trHeight w:val="256"/>
        </w:trPr>
        <w:tc>
          <w:tcPr>
            <w:tcW w:w="4940" w:type="dxa"/>
            <w:vAlign w:val="bottom"/>
          </w:tcPr>
          <w:p>
            <w:pPr>
              <w:spacing w:after="0"/>
              <w:rPr>
                <w:sz w:val="20"/>
                <w:szCs w:val="20"/>
                <w:color w:val="auto"/>
              </w:rPr>
            </w:pPr>
            <w:r>
              <w:rPr>
                <w:rFonts w:ascii="Arial" w:cs="Arial" w:eastAsia="Arial" w:hAnsi="Arial"/>
                <w:sz w:val="18"/>
                <w:szCs w:val="18"/>
                <w:color w:val="auto"/>
              </w:rPr>
              <w:t>Conference I.D.:</w:t>
            </w:r>
          </w:p>
        </w:tc>
        <w:tc>
          <w:tcPr>
            <w:tcW w:w="2240" w:type="dxa"/>
            <w:vAlign w:val="bottom"/>
          </w:tcPr>
          <w:p>
            <w:pPr>
              <w:ind w:left="1020"/>
              <w:spacing w:after="0"/>
              <w:rPr>
                <w:sz w:val="20"/>
                <w:szCs w:val="20"/>
                <w:color w:val="auto"/>
              </w:rPr>
            </w:pPr>
            <w:r>
              <w:rPr>
                <w:rFonts w:ascii="Arial" w:cs="Arial" w:eastAsia="Arial" w:hAnsi="Arial"/>
                <w:sz w:val="18"/>
                <w:szCs w:val="18"/>
                <w:color w:val="222222"/>
              </w:rPr>
              <w:t>9065288</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Veracyte (Nasdaq: VCYT) is a global diagnostics company that improves patient care by providing answers to clinical questions, informing diagnosis and treatment decisions throughout the patient journey in cancer and other diseases. The company’s growing menu of diagnostic tests leverages advances in genomic science and technology, enabling patients to avoid risky, costly diagnostic procedures and quicken time to appropriate treatment. The company’s tests in lung cancer, prostate cancer, breast cancer, thyroid cancer, bladder cancer, colon cancer, and idiopathic pulmonary fibrosis are available to patients and its renal cancer and lymphoma subtyping tests are in development, the latter as a companion diagnostic. With Veracyte’s exclusive global license to a best-in-class diagnostics instrument platform, the company is positioned to deliver its genomic tests to patients worldwide. Veracyte is based in South San Francisco, California. For more information, please visit www.veracyte.com and follow the company on Twitter (@veracyte).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including, but not limited to, our statements related to our expected total revenue and other financial and operating results for 2021 and our plans, objectives, expectations (financial and otherwise) or intentions with respect to our Prosigna, Afirma, Percepta, Envisia, LymphMark, Decipher Prostate, Percepta Nasal Swab, Percepta Genomic Atlas and Decipher Bladder test and products for use in diagnosing and treating diseases, Medicare coverage, and our commercial organization. Forward-looking statements can be identified by words such as: “appears,” "anticipate," "intend," "plan," "expect," "believe," "should," "may," "will," “positioned,”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Veracyte’s ability to launch, commercialize and receive reimbursement for our products, to successfully integrate the HalioDx and Decipher Biosciences businesses and execute on our business plans; and the performance and utility of Veracyte’s tests in the clinical environment. Additional factors that may impact these forward-looking statements can be found under the caption “Risk Factors” in our Annual Report on Form 10-K filed with the SEC on February 22, 2021 and our subsequent quarterly reports on Form 10-Q. Copies of these documents can be found at the Investors section of our website at www.veracyte.com. The risks and uncertainties may be amplified by the COVID-19 pandemic, which has caused significant economic uncertainty. The extent to which the COVID-19 pandemic impacts Veracyte’s businesses, operations, and financial results, including the duration and magnitude of such effects, will depend on numerous factors, which are unpredictable, including, but not limited to, the duration and spread of the outbreak, its severity, the actions to contain the virus or treat its impact, and how quickly and to what extent normal economic and operating conditions can resume. These forward-looking statements speak only as of the date hereof and, except as required by law, Veracyte specifically disclaims any obligation to update these forward-looking statements or reasons why actual results might differ, whether as a result of new information, future events or otherwise.</w:t>
      </w:r>
    </w:p>
    <w:p>
      <w:pPr>
        <w:spacing w:after="0" w:line="23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Veracyte, the Veracyte logo, HalioDx, Brightplex, Decipher, Decipher GRID, Afirma, Percepta, Envisia, Prosigna, Lymphmark, “Know by Design” and “More about You” are registered trademarks of Veracyte, Inc. and its affiliates in the U.S. and selected countries. nCounter is the registered trademark of NanoString Technologies, Inc. in the U.S. and selected countries, and used by Veracyte under license. Immunoscore is the registered trademark of Inserm in the U.S. and selected countries, and is used by HalioDx under license.</w:t>
      </w:r>
    </w:p>
    <w:p>
      <w:pPr>
        <w:sectPr>
          <w:pgSz w:w="11900" w:h="16838" w:orient="portrait"/>
          <w:cols w:equalWidth="0" w:num="1">
            <w:col w:w="11220"/>
          </w:cols>
          <w:pgMar w:left="320" w:top="88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VERACYTE,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of dollars, except share and per share amounts)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2880" w:type="dxa"/>
            <w:vAlign w:val="bottom"/>
            <w:gridSpan w:val="6"/>
          </w:tcPr>
          <w:p>
            <w:pPr>
              <w:ind w:left="80"/>
              <w:spacing w:after="0"/>
              <w:rPr>
                <w:sz w:val="20"/>
                <w:szCs w:val="20"/>
                <w:color w:val="auto"/>
              </w:rPr>
            </w:pPr>
            <w:r>
              <w:rPr>
                <w:rFonts w:ascii="Arial" w:cs="Arial" w:eastAsia="Arial" w:hAnsi="Arial"/>
                <w:sz w:val="18"/>
                <w:szCs w:val="18"/>
                <w:color w:val="auto"/>
              </w:rPr>
              <w:t>Three Months Ended September</w:t>
            </w:r>
          </w:p>
        </w:tc>
        <w:tc>
          <w:tcPr>
            <w:tcW w:w="120" w:type="dxa"/>
            <w:vAlign w:val="bottom"/>
          </w:tcPr>
          <w:p>
            <w:pPr>
              <w:spacing w:after="0"/>
              <w:rPr>
                <w:sz w:val="17"/>
                <w:szCs w:val="17"/>
                <w:color w:val="auto"/>
              </w:rPr>
            </w:pPr>
          </w:p>
        </w:tc>
        <w:tc>
          <w:tcPr>
            <w:tcW w:w="2660" w:type="dxa"/>
            <w:vAlign w:val="bottom"/>
            <w:gridSpan w:val="4"/>
          </w:tcPr>
          <w:p>
            <w:pPr>
              <w:jc w:val="right"/>
              <w:ind w:right="50"/>
              <w:spacing w:after="0"/>
              <w:rPr>
                <w:sz w:val="20"/>
                <w:szCs w:val="20"/>
                <w:color w:val="auto"/>
              </w:rPr>
            </w:pPr>
            <w:r>
              <w:rPr>
                <w:rFonts w:ascii="Arial" w:cs="Arial" w:eastAsia="Arial" w:hAnsi="Arial"/>
                <w:sz w:val="18"/>
                <w:szCs w:val="18"/>
                <w:color w:val="auto"/>
                <w:w w:val="99"/>
              </w:rPr>
              <w:t>Nine Months Ended September</w:t>
            </w:r>
          </w:p>
        </w:tc>
        <w:tc>
          <w:tcPr>
            <w:tcW w:w="0" w:type="dxa"/>
            <w:vAlign w:val="bottom"/>
          </w:tcPr>
          <w:p>
            <w:pPr>
              <w:spacing w:after="0"/>
              <w:rPr>
                <w:sz w:val="1"/>
                <w:szCs w:val="1"/>
                <w:color w:val="auto"/>
              </w:rPr>
            </w:pPr>
          </w:p>
        </w:tc>
      </w:tr>
      <w:tr>
        <w:trPr>
          <w:trHeight w:val="224"/>
        </w:trPr>
        <w:tc>
          <w:tcPr>
            <w:tcW w:w="5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30,</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Revenues:(1)</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Testing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50,897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134,768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70,473</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Biopharmaceutical and other revenue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82,947</w:t>
            </w:r>
          </w:p>
        </w:tc>
        <w:tc>
          <w:tcPr>
            <w:tcW w:w="0" w:type="dxa"/>
            <w:vAlign w:val="bottom"/>
          </w:tcPr>
          <w:p>
            <w:pPr>
              <w:spacing w:after="0"/>
              <w:rPr>
                <w:sz w:val="1"/>
                <w:szCs w:val="1"/>
                <w:color w:val="auto"/>
              </w:rPr>
            </w:pPr>
          </w:p>
        </w:tc>
      </w:tr>
      <w:tr>
        <w:trPr>
          <w:trHeight w:val="485"/>
        </w:trPr>
        <w:tc>
          <w:tcPr>
            <w:tcW w:w="5560" w:type="dxa"/>
            <w:vAlign w:val="bottom"/>
          </w:tcPr>
          <w:p>
            <w:pPr>
              <w:spacing w:after="0"/>
              <w:rPr>
                <w:sz w:val="20"/>
                <w:szCs w:val="20"/>
                <w:color w:val="auto"/>
              </w:rPr>
            </w:pPr>
            <w:r>
              <w:rPr>
                <w:rFonts w:ascii="Arial" w:cs="Arial" w:eastAsia="Arial" w:hAnsi="Arial"/>
                <w:sz w:val="18"/>
                <w:szCs w:val="18"/>
                <w:color w:val="auto"/>
              </w:rPr>
              <w:t>Operating Expenses:(1)(2)</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Cost of testing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26,157</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Cost of biopharmaceutical and other revenue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39,240</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24,316</w:t>
            </w: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77,051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221,748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110,264</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(27,317)</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Other income (loss),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Loss before income tax benefit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(26,865)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(65,035)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line="195" w:lineRule="exact"/>
              <w:rPr>
                <w:sz w:val="20"/>
                <w:szCs w:val="20"/>
                <w:color w:val="auto"/>
              </w:rPr>
            </w:pPr>
            <w:r>
              <w:rPr>
                <w:rFonts w:ascii="Arial" w:cs="Arial" w:eastAsia="Arial" w:hAnsi="Arial"/>
                <w:sz w:val="18"/>
                <w:szCs w:val="18"/>
                <w:color w:val="auto"/>
              </w:rPr>
              <w:t>Shares used to compute net loss per common share, basic and</w:t>
            </w: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55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69,743,733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54,858,052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66,820,654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51,632,750</w:t>
            </w:r>
          </w:p>
        </w:tc>
        <w:tc>
          <w:tcPr>
            <w:tcW w:w="0" w:type="dxa"/>
            <w:vAlign w:val="bottom"/>
          </w:tcPr>
          <w:p>
            <w:pPr>
              <w:spacing w:after="0"/>
              <w:rPr>
                <w:sz w:val="1"/>
                <w:szCs w:val="1"/>
                <w:color w:val="auto"/>
              </w:rPr>
            </w:pPr>
          </w:p>
        </w:tc>
      </w:tr>
      <w:tr>
        <w:trPr>
          <w:trHeight w:val="190"/>
        </w:trPr>
        <w:tc>
          <w:tcPr>
            <w:tcW w:w="5560" w:type="dxa"/>
            <w:vAlign w:val="bottom"/>
          </w:tcPr>
          <w:p>
            <w:pPr>
              <w:spacing w:after="0" w:line="189"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ind w:right="80" w:firstLine="8"/>
        <w:spacing w:after="0" w:line="261"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financial results of HalioDx are included from the date of acquisition which contributed the following revenue and operating expenses for the three and nine months ended September 30, 2021:</w:t>
      </w:r>
    </w:p>
    <w:p>
      <w:pPr>
        <w:spacing w:after="0" w:line="21"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Revenues:</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660" w:type="dxa"/>
            <w:vAlign w:val="bottom"/>
          </w:tcPr>
          <w:p>
            <w:pPr>
              <w:ind w:left="120"/>
              <w:spacing w:after="0"/>
              <w:rPr>
                <w:sz w:val="20"/>
                <w:szCs w:val="20"/>
                <w:color w:val="auto"/>
              </w:rPr>
            </w:pPr>
            <w:r>
              <w:rPr>
                <w:rFonts w:ascii="Arial" w:cs="Arial" w:eastAsia="Arial" w:hAnsi="Arial"/>
                <w:sz w:val="18"/>
                <w:szCs w:val="18"/>
                <w:color w:val="auto"/>
              </w:rPr>
              <w:t>Testing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Biopharmaceutical revenue</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6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Cost of testing revenue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Cost of biopharmaceutical revenue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29"/>
        </w:trPr>
        <w:tc>
          <w:tcPr>
            <w:tcW w:w="5660" w:type="dxa"/>
            <w:vAlign w:val="bottom"/>
          </w:tcPr>
          <w:p>
            <w:pPr>
              <w:ind w:left="120"/>
              <w:spacing w:after="0"/>
              <w:rPr>
                <w:sz w:val="20"/>
                <w:szCs w:val="20"/>
                <w:color w:val="auto"/>
              </w:rPr>
            </w:pPr>
            <w:r>
              <w:rPr>
                <w:rFonts w:ascii="Arial" w:cs="Arial" w:eastAsia="Arial" w:hAnsi="Arial"/>
                <w:sz w:val="18"/>
                <w:szCs w:val="18"/>
                <w:color w:val="auto"/>
              </w:rPr>
              <w:t>Other income (loss), net</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42" w:right="339" w:bottom="1440" w:gutter="0" w:footer="0" w:header="0"/>
        </w:sectPr>
      </w:pPr>
    </w:p>
    <w:bookmarkStart w:id="6" w:name="page7"/>
    <w:bookmarkEnd w:id="6"/>
    <w:p>
      <w:pPr>
        <w:ind w:left="-8" w:right="240" w:firstLine="8"/>
        <w:spacing w:after="0" w:line="261" w:lineRule="auto"/>
        <w:tabs>
          <w:tab w:leader="none" w:pos="262"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revenue, research and development, sales and marketing and general and administrative expenses include the following stock-based compensation related expenses:</w:t>
      </w:r>
    </w:p>
    <w:p>
      <w:pPr>
        <w:spacing w:after="0" w:line="233" w:lineRule="exact"/>
        <w:rPr>
          <w:sz w:val="20"/>
          <w:szCs w:val="20"/>
          <w:color w:val="auto"/>
        </w:rPr>
      </w:pPr>
    </w:p>
    <w:tbl>
      <w:tblPr>
        <w:tblLayout w:type="fixed"/>
        <w:tblInd w:w="132"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840" w:type="dxa"/>
            <w:vAlign w:val="bottom"/>
            <w:gridSpan w:val="5"/>
          </w:tcPr>
          <w:p>
            <w:pPr>
              <w:ind w:left="60"/>
              <w:spacing w:after="0"/>
              <w:rPr>
                <w:sz w:val="20"/>
                <w:szCs w:val="20"/>
                <w:color w:val="auto"/>
              </w:rPr>
            </w:pPr>
            <w:r>
              <w:rPr>
                <w:rFonts w:ascii="Arial" w:cs="Arial" w:eastAsia="Arial" w:hAnsi="Arial"/>
                <w:sz w:val="18"/>
                <w:szCs w:val="18"/>
                <w:color w:val="auto"/>
              </w:rPr>
              <w:t>Three Months Ended September</w:t>
            </w:r>
          </w:p>
        </w:tc>
        <w:tc>
          <w:tcPr>
            <w:tcW w:w="2760" w:type="dxa"/>
            <w:vAlign w:val="bottom"/>
            <w:gridSpan w:val="4"/>
          </w:tcPr>
          <w:p>
            <w:pPr>
              <w:jc w:val="right"/>
              <w:ind w:right="30"/>
              <w:spacing w:after="0"/>
              <w:rPr>
                <w:sz w:val="20"/>
                <w:szCs w:val="20"/>
                <w:color w:val="auto"/>
              </w:rPr>
            </w:pPr>
            <w:r>
              <w:rPr>
                <w:rFonts w:ascii="Arial" w:cs="Arial" w:eastAsia="Arial" w:hAnsi="Arial"/>
                <w:sz w:val="18"/>
                <w:szCs w:val="18"/>
                <w:color w:val="auto"/>
              </w:rPr>
              <w:t>Nine Months Ended September</w:t>
            </w:r>
          </w:p>
        </w:tc>
      </w:tr>
      <w:tr>
        <w:trPr>
          <w:trHeight w:val="224"/>
        </w:trPr>
        <w:tc>
          <w:tcPr>
            <w:tcW w:w="55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color w:val="auto"/>
                <w:w w:val="95"/>
              </w:rPr>
              <w:t>30,</w:t>
            </w:r>
          </w:p>
        </w:tc>
        <w:tc>
          <w:tcPr>
            <w:tcW w:w="10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7"/>
              </w:rPr>
              <w:t>30,</w:t>
            </w:r>
          </w:p>
        </w:tc>
      </w:tr>
      <w:tr>
        <w:trPr>
          <w:trHeight w:val="236"/>
        </w:trPr>
        <w:tc>
          <w:tcPr>
            <w:tcW w:w="5500" w:type="dxa"/>
            <w:vAlign w:val="bottom"/>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HalioDx stock-based compensation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Other stock-based compensation expense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9,354</w:t>
            </w:r>
          </w:p>
        </w:tc>
      </w:tr>
      <w:tr>
        <w:trPr>
          <w:trHeight w:val="223"/>
        </w:trPr>
        <w:tc>
          <w:tcPr>
            <w:tcW w:w="550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40" w:type="dxa"/>
            <w:vAlign w:val="bottom"/>
          </w:tcPr>
          <w:p>
            <w:pPr>
              <w:jc w:val="right"/>
              <w:spacing w:after="0"/>
              <w:rPr>
                <w:sz w:val="20"/>
                <w:szCs w:val="20"/>
                <w:color w:val="auto"/>
              </w:rPr>
            </w:pPr>
            <w:r>
              <w:rPr>
                <w:rFonts w:ascii="Arial" w:cs="Arial" w:eastAsia="Arial" w:hAnsi="Arial"/>
                <w:sz w:val="18"/>
                <w:szCs w:val="18"/>
                <w:color w:val="auto"/>
              </w:rPr>
              <w:t>8,234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16,154</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9,354</w:t>
            </w:r>
          </w:p>
        </w:tc>
      </w:tr>
      <w:tr>
        <w:trPr>
          <w:trHeight w:val="20"/>
        </w:trPr>
        <w:tc>
          <w:tcPr>
            <w:tcW w:w="55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32"/>
          </w:cols>
          <w:pgMar w:left="328" w:top="90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VERACYTE,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 OF COMPREHENSIVE LOSS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0"/>
                <w:szCs w:val="20"/>
                <w:color w:val="auto"/>
              </w:rPr>
            </w:pPr>
          </w:p>
        </w:tc>
        <w:tc>
          <w:tcPr>
            <w:tcW w:w="32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0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(14,129)</w:t>
            </w:r>
          </w:p>
        </w:tc>
        <w:tc>
          <w:tcPr>
            <w:tcW w:w="80" w:type="dxa"/>
            <w:vAlign w:val="bottom"/>
          </w:tcPr>
          <w:p>
            <w:pPr>
              <w:spacing w:after="0"/>
              <w:rPr>
                <w:sz w:val="19"/>
                <w:szCs w:val="19"/>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(65,035)</w:t>
            </w:r>
          </w:p>
        </w:tc>
        <w:tc>
          <w:tcPr>
            <w:tcW w:w="80" w:type="dxa"/>
            <w:vAlign w:val="bottom"/>
          </w:tcPr>
          <w:p>
            <w:pPr>
              <w:spacing w:after="0"/>
              <w:rPr>
                <w:sz w:val="19"/>
                <w:szCs w:val="19"/>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(26,865)</w:t>
            </w:r>
          </w:p>
        </w:tc>
      </w:tr>
      <w:tr>
        <w:trPr>
          <w:trHeight w:val="229"/>
        </w:trPr>
        <w:tc>
          <w:tcPr>
            <w:tcW w:w="400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000" w:type="dxa"/>
            <w:vAlign w:val="bottom"/>
          </w:tcPr>
          <w:p>
            <w:pPr>
              <w:ind w:left="120"/>
              <w:spacing w:after="0"/>
              <w:rPr>
                <w:sz w:val="20"/>
                <w:szCs w:val="20"/>
                <w:color w:val="auto"/>
              </w:rPr>
            </w:pPr>
            <w:r>
              <w:rPr>
                <w:rFonts w:ascii="Arial" w:cs="Arial" w:eastAsia="Arial" w:hAnsi="Arial"/>
                <w:sz w:val="18"/>
                <w:szCs w:val="18"/>
                <w:color w:val="auto"/>
              </w:rPr>
              <w:t>Change in currency translation adjustments</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comprehensive loss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(22,269)</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(73,175)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(26,865)</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80"/>
          </w:cols>
          <w:pgMar w:left="580" w:top="948"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color w:val="auto"/>
        </w:rPr>
        <w:t>VERACYTE,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CONDENSED CONSOLIDATED BALANCE SHEETS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September 30, 2021</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December 31, 2020</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(Unaudited)</w:t>
            </w: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164,029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349,364</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40,309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18,461</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229,308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375,679</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Right-of-use assets, operating lease</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209,521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59,924</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714,273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29,044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deferred revenue</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acquisition-related contingent consideration</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Current portion of other liabilities</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50,037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Acquisition-related contingent consideration, net of current portion</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7,594</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79,276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35,931</w:t>
            </w:r>
          </w:p>
        </w:tc>
        <w:tc>
          <w:tcPr>
            <w:tcW w:w="0" w:type="dxa"/>
            <w:vAlign w:val="bottom"/>
          </w:tcPr>
          <w:p>
            <w:pPr>
              <w:spacing w:after="0"/>
              <w:rPr>
                <w:sz w:val="1"/>
                <w:szCs w:val="1"/>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1,107,080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421,232</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1,186,356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457,163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ind w:right="80" w:firstLine="7"/>
        <w:spacing w:after="0" w:line="199" w:lineRule="auto"/>
        <w:tabs>
          <w:tab w:leader="none" w:pos="115"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The condensed balance sheet at December 31, 2020 has been derived from the audited financial statements at that date included in the Company's Form 10-K filed with the Securities and Exchange Commission dated February 22, 2021.</w:t>
      </w:r>
    </w:p>
    <w:p>
      <w:pPr>
        <w:sectPr>
          <w:pgSz w:w="11900" w:h="16838" w:orient="portrait"/>
          <w:cols w:equalWidth="0" w:num="1">
            <w:col w:w="11020"/>
          </w:cols>
          <w:pgMar w:left="440" w:top="1042" w:right="4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color w:val="auto"/>
        </w:rPr>
        <w:t>VERACYTE, INC.</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of dollars)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80" w:type="dxa"/>
            <w:vAlign w:val="bottom"/>
          </w:tcPr>
          <w:p>
            <w:pPr>
              <w:spacing w:after="0"/>
              <w:rPr>
                <w:sz w:val="18"/>
                <w:szCs w:val="18"/>
                <w:color w:val="auto"/>
              </w:rPr>
            </w:pPr>
          </w:p>
        </w:tc>
        <w:tc>
          <w:tcPr>
            <w:tcW w:w="30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color w:val="auto"/>
              </w:rPr>
              <w:t>Nine Months Ended September 30,</w:t>
            </w:r>
          </w:p>
        </w:tc>
      </w:tr>
      <w:tr>
        <w:trPr>
          <w:trHeight w:val="236"/>
        </w:trPr>
        <w:tc>
          <w:tcPr>
            <w:tcW w:w="6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250"/>
        </w:trPr>
        <w:tc>
          <w:tcPr>
            <w:tcW w:w="61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(65,035)</w:t>
            </w:r>
          </w:p>
        </w:tc>
        <w:tc>
          <w:tcPr>
            <w:tcW w:w="14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(26,865)</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13,189</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5,919</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15,787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9,354</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Benefit from income taxes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(5,297)</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Interest on end-of-term debt obligation</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Write-down of excess supplies</w:t>
            </w:r>
          </w:p>
        </w:tc>
        <w:tc>
          <w:tcPr>
            <w:tcW w:w="3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Noncash lease expense</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714</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Revaluation of acquisition-related contingent consideration</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Effect of foreign currency on operations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1,742</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Supplies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1,262</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70"/>
        </w:trPr>
        <w:tc>
          <w:tcPr>
            <w:tcW w:w="61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3,872</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56"/>
        </w:trPr>
        <w:tc>
          <w:tcPr>
            <w:tcW w:w="6180" w:type="dxa"/>
            <w:vAlign w:val="bottom"/>
          </w:tcPr>
          <w:p>
            <w:pPr>
              <w:ind w:left="160"/>
              <w:spacing w:after="0"/>
              <w:rPr>
                <w:sz w:val="20"/>
                <w:szCs w:val="20"/>
                <w:color w:val="auto"/>
              </w:rPr>
            </w:pPr>
            <w:r>
              <w:rPr>
                <w:rFonts w:ascii="Arial" w:cs="Arial" w:eastAsia="Arial" w:hAnsi="Arial"/>
                <w:sz w:val="18"/>
                <w:szCs w:val="18"/>
                <w:color w:val="auto"/>
              </w:rPr>
              <w:t>Accrued liabilities and deferred revenue</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3,329</w:t>
            </w:r>
          </w:p>
        </w:tc>
        <w:tc>
          <w:tcPr>
            <w:tcW w:w="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(40,067)</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w:t>
            </w:r>
          </w:p>
        </w:tc>
      </w:tr>
      <w:tr>
        <w:trPr>
          <w:trHeight w:val="250"/>
        </w:trPr>
        <w:tc>
          <w:tcPr>
            <w:tcW w:w="6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rPr>
              <w:t>Acquisition of Decipher Biosciences, net of cash acquired</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(574,411)</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Acquisition of HalioDx, net of cash acquired</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(163,645)</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Proceeds from sale of equity securities</w:t>
            </w: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Purchase of equity securities</w:t>
            </w:r>
          </w:p>
        </w:tc>
        <w:tc>
          <w:tcPr>
            <w:tcW w:w="32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(739,591)</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r>
      <w:tr>
        <w:trPr>
          <w:trHeight w:val="250"/>
        </w:trPr>
        <w:tc>
          <w:tcPr>
            <w:tcW w:w="6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issuance costs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593,821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193,831</w:t>
            </w: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32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rPr>
              <w:t>Payment of taxes on vested restricted stock units</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(8,307)</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180" w:type="dxa"/>
            <w:vAlign w:val="bottom"/>
          </w:tcPr>
          <w:p>
            <w:pPr>
              <w:spacing w:after="0"/>
              <w:rPr>
                <w:sz w:val="20"/>
                <w:szCs w:val="20"/>
                <w:color w:val="auto"/>
              </w:rPr>
            </w:pPr>
            <w:r>
              <w:rPr>
                <w:rFonts w:ascii="Arial" w:cs="Arial" w:eastAsia="Arial" w:hAnsi="Arial"/>
                <w:sz w:val="18"/>
                <w:szCs w:val="18"/>
                <w:color w:val="auto"/>
              </w:rPr>
              <w:t>purchases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10,633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10,114</w:t>
            </w:r>
          </w:p>
        </w:tc>
      </w:tr>
      <w:tr>
        <w:trPr>
          <w:trHeight w:val="250"/>
        </w:trPr>
        <w:tc>
          <w:tcPr>
            <w:tcW w:w="61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596,147</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200,684</w:t>
            </w:r>
          </w:p>
        </w:tc>
      </w:tr>
      <w:tr>
        <w:trPr>
          <w:trHeight w:val="250"/>
        </w:trPr>
        <w:tc>
          <w:tcPr>
            <w:tcW w:w="6180" w:type="dxa"/>
            <w:vAlign w:val="bottom"/>
          </w:tcPr>
          <w:p>
            <w:pPr>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(183,511)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185,763</w:t>
            </w:r>
          </w:p>
        </w:tc>
      </w:tr>
      <w:tr>
        <w:trPr>
          <w:trHeight w:val="270"/>
        </w:trPr>
        <w:tc>
          <w:tcPr>
            <w:tcW w:w="6180" w:type="dxa"/>
            <w:vAlign w:val="bottom"/>
          </w:tcPr>
          <w:p>
            <w:pPr>
              <w:spacing w:after="0"/>
              <w:rPr>
                <w:sz w:val="20"/>
                <w:szCs w:val="20"/>
                <w:color w:val="auto"/>
              </w:rPr>
            </w:pPr>
            <w:r>
              <w:rPr>
                <w:rFonts w:ascii="Arial" w:cs="Arial" w:eastAsia="Arial" w:hAnsi="Arial"/>
                <w:sz w:val="18"/>
                <w:szCs w:val="18"/>
                <w:b w:val="1"/>
                <w:bCs w:val="1"/>
                <w:color w:val="auto"/>
                <w:w w:val="99"/>
              </w:rPr>
              <w:t>Effect of foreign currency on cash, cash equivalents and restricted cash</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618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(185,189)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185,763</w:t>
            </w:r>
          </w:p>
        </w:tc>
      </w:tr>
      <w:tr>
        <w:trPr>
          <w:trHeight w:val="270"/>
        </w:trPr>
        <w:tc>
          <w:tcPr>
            <w:tcW w:w="61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349,967</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159,920</w:t>
            </w:r>
          </w:p>
        </w:tc>
      </w:tr>
    </w:tbl>
    <w:p>
      <w:pPr>
        <w:sectPr>
          <w:pgSz w:w="11900" w:h="16838" w:orient="portrait"/>
          <w:cols w:equalWidth="0" w:num="1">
            <w:col w:w="9200"/>
          </w:cols>
          <w:pgMar w:left="1360" w:top="1312" w:right="1339" w:bottom="1440" w:gutter="0" w:footer="0" w:header="0"/>
        </w:sectPr>
      </w:pPr>
    </w:p>
    <w:bookmarkStart w:id="10" w:name="page11"/>
    <w:bookmarkEnd w:id="10"/>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200" w:type="dxa"/>
            <w:vAlign w:val="bottom"/>
          </w:tcPr>
          <w:p>
            <w:pPr>
              <w:ind w:left="10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164,778</w:t>
            </w: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345,683</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Supplementary cash flow information:</w:t>
            </w: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2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1020"/>
              <w:spacing w:after="0"/>
              <w:rPr>
                <w:sz w:val="20"/>
                <w:szCs w:val="20"/>
                <w:color w:val="auto"/>
              </w:rPr>
            </w:pPr>
            <w:r>
              <w:rPr>
                <w:rFonts w:ascii="Arial" w:cs="Arial" w:eastAsia="Arial" w:hAnsi="Arial"/>
                <w:sz w:val="18"/>
                <w:szCs w:val="18"/>
                <w:color w:val="auto"/>
              </w:rPr>
              <w:t>Purchases of property and equipment included in accounts payable and</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1020"/>
              <w:spacing w:after="0"/>
              <w:rPr>
                <w:sz w:val="20"/>
                <w:szCs w:val="20"/>
                <w:color w:val="auto"/>
              </w:rPr>
            </w:pPr>
            <w:r>
              <w:rPr>
                <w:rFonts w:ascii="Arial" w:cs="Arial" w:eastAsia="Arial" w:hAnsi="Arial"/>
                <w:sz w:val="18"/>
                <w:szCs w:val="18"/>
                <w:color w:val="auto"/>
              </w:rPr>
              <w:t>accrued liability</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355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200" w:type="dxa"/>
            <w:vAlign w:val="bottom"/>
          </w:tcPr>
          <w:p>
            <w:pPr>
              <w:ind w:left="1020"/>
              <w:spacing w:after="0"/>
              <w:rPr>
                <w:sz w:val="20"/>
                <w:szCs w:val="20"/>
                <w:color w:val="auto"/>
              </w:rPr>
            </w:pPr>
            <w:r>
              <w:rPr>
                <w:rFonts w:ascii="Arial" w:cs="Arial" w:eastAsia="Arial" w:hAnsi="Arial"/>
                <w:sz w:val="18"/>
                <w:szCs w:val="18"/>
                <w:color w:val="auto"/>
              </w:rPr>
              <w:t>Interest paid on debt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200" w:type="dxa"/>
            <w:vAlign w:val="bottom"/>
          </w:tcPr>
          <w:p>
            <w:pPr>
              <w:ind w:left="1020"/>
              <w:spacing w:after="0"/>
              <w:rPr>
                <w:sz w:val="20"/>
                <w:szCs w:val="20"/>
                <w:color w:val="auto"/>
              </w:rPr>
            </w:pPr>
            <w:r>
              <w:rPr>
                <w:rFonts w:ascii="Arial" w:cs="Arial" w:eastAsia="Arial" w:hAnsi="Arial"/>
                <w:sz w:val="18"/>
                <w:szCs w:val="18"/>
                <w:color w:val="auto"/>
              </w:rPr>
              <w:t>Issuance of common stock for acquisition of HalioDx</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2"/>
                <w:szCs w:val="22"/>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147,089</w:t>
            </w:r>
          </w:p>
        </w:tc>
        <w:tc>
          <w:tcPr>
            <w:tcW w:w="1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7"/>
        </w:trPr>
        <w:tc>
          <w:tcPr>
            <w:tcW w:w="7900" w:type="dxa"/>
            <w:vAlign w:val="bottom"/>
            <w:gridSpan w:val="3"/>
          </w:tcPr>
          <w:p>
            <w:pPr>
              <w:jc w:val="center"/>
              <w:ind w:left="3210"/>
              <w:spacing w:after="0"/>
              <w:rPr>
                <w:sz w:val="20"/>
                <w:szCs w:val="20"/>
                <w:color w:val="auto"/>
              </w:rPr>
            </w:pPr>
            <w:r>
              <w:rPr>
                <w:rFonts w:ascii="Arial" w:cs="Arial" w:eastAsia="Arial" w:hAnsi="Arial"/>
                <w:sz w:val="18"/>
                <w:szCs w:val="18"/>
                <w:color w:val="auto"/>
                <w:w w:val="99"/>
              </w:rPr>
              <w:t>CASH, CASH EQUIVALENTS AND RESTRICTED CASH</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200" w:type="dxa"/>
            <w:vAlign w:val="bottom"/>
          </w:tcPr>
          <w:p>
            <w:pPr>
              <w:jc w:val="center"/>
              <w:ind w:left="3930"/>
              <w:spacing w:after="0"/>
              <w:rPr>
                <w:sz w:val="20"/>
                <w:szCs w:val="20"/>
                <w:color w:val="auto"/>
              </w:rPr>
            </w:pPr>
            <w:r>
              <w:rPr>
                <w:rFonts w:ascii="Arial" w:cs="Arial" w:eastAsia="Arial" w:hAnsi="Arial"/>
                <w:sz w:val="18"/>
                <w:szCs w:val="18"/>
                <w:color w:val="auto"/>
                <w:w w:val="99"/>
              </w:rPr>
              <w:t>(Unaudited)</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jc w:val="center"/>
              <w:ind w:left="3910"/>
              <w:spacing w:after="0"/>
              <w:rPr>
                <w:sz w:val="20"/>
                <w:szCs w:val="20"/>
                <w:color w:val="auto"/>
              </w:rPr>
            </w:pPr>
            <w:r>
              <w:rPr>
                <w:rFonts w:ascii="Arial" w:cs="Arial" w:eastAsia="Arial" w:hAnsi="Arial"/>
                <w:sz w:val="18"/>
                <w:szCs w:val="18"/>
                <w:color w:val="auto"/>
                <w:w w:val="99"/>
              </w:rPr>
              <w:t>(In thousands of dollars)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7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ind w:left="14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24"/>
                <w:szCs w:val="2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164,029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349,364</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164,778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349,967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29" w:lineRule="auto"/>
        <w:rPr>
          <w:sz w:val="20"/>
          <w:szCs w:val="20"/>
          <w:color w:val="auto"/>
        </w:rPr>
      </w:pPr>
      <w:r>
        <w:rPr>
          <w:rFonts w:ascii="Arial" w:cs="Arial" w:eastAsia="Arial" w:hAnsi="Arial"/>
          <w:sz w:val="18"/>
          <w:szCs w:val="18"/>
          <w:color w:val="auto"/>
        </w:rPr>
        <w:t>Vice President of Corporate Communications</w:t>
      </w:r>
    </w:p>
    <w:p>
      <w:pPr>
        <w:spacing w:after="0" w:line="234" w:lineRule="auto"/>
        <w:rPr>
          <w:sz w:val="20"/>
          <w:szCs w:val="20"/>
          <w:color w:val="auto"/>
        </w:rPr>
      </w:pPr>
      <w:r>
        <w:rPr>
          <w:rFonts w:ascii="Arial" w:cs="Arial" w:eastAsia="Arial" w:hAnsi="Arial"/>
          <w:sz w:val="18"/>
          <w:szCs w:val="18"/>
          <w:color w:val="auto"/>
        </w:rPr>
        <w:t>&amp; Investor Relations</w:t>
      </w: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sectPr>
      <w:pgSz w:w="11900" w:h="16838" w:orient="portrait"/>
      <w:cols w:equalWidth="0" w:num="1">
        <w:col w:w="11240"/>
      </w:cols>
      <w:pgMar w:left="320" w:top="10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2021-11-09T15:29:32Z</dcterms:created>
  <dcterms:modified xsi:type="dcterms:W3CDTF">2021-11-09T15:29:32Z</dcterms:modified>
</cp:coreProperties>
</file>