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As filed with the Securities and Exchange Commission on June 10, 2026</w:t>
      </w:r>
    </w:p>
    <w:p>
      <w:pPr>
        <w:pStyle w:val="TextBody"/>
        <w:bidi w:val="0"/>
        <w:spacing w:lineRule="auto" w:line="333" w:before="0" w:after="0"/>
        <w:jc w:val="right"/>
        <w:rPr>
          <w:rFonts w:ascii="Times New Roman;serif" w:hAnsi="Times New Roman;serif"/>
          <w:b w:val="false"/>
          <w:color w:val="000000"/>
          <w:sz w:val="20"/>
        </w:rPr>
      </w:pPr>
      <w:r>
        <w:rPr>
          <w:rFonts w:ascii="Times New Roman;serif" w:hAnsi="Times New Roman;serif"/>
          <w:b w:val="false"/>
          <w:color w:val="000000"/>
          <w:sz w:val="20"/>
        </w:rPr>
        <w:t>Registration No. 333-</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FORM S-8</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REGISTRATION STATEMENT</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UNDER</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THE SECURITIES ACT OF 1933</w:t>
      </w:r>
    </w:p>
    <w:p>
      <w:pPr>
        <w:pStyle w:val="TextBody"/>
        <w:bidi w:val="0"/>
        <w:spacing w:lineRule="auto" w:line="333" w:before="0" w:after="8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333" w:before="0" w:after="0"/>
        <w:jc w:val="center"/>
        <w:rPr>
          <w:rFonts w:ascii="Times New Roman;serif" w:hAnsi="Times New Roman;serif"/>
          <w:b/>
          <w:color w:val="000000"/>
          <w:sz w:val="40"/>
        </w:rPr>
      </w:pPr>
      <w:r>
        <w:rPr>
          <w:rFonts w:ascii="Times New Roman;serif" w:hAnsi="Times New Roman;serif"/>
          <w:b/>
          <w:color w:val="000000"/>
          <w:sz w:val="40"/>
        </w:rPr>
        <w:t>VERACYTE, INC.</w:t>
      </w:r>
    </w:p>
    <w:p>
      <w:pPr>
        <w:pStyle w:val="TextBody"/>
        <w:bidi w:val="0"/>
        <w:spacing w:lineRule="auto" w:line="288" w:before="0" w:after="20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331" w:type="dxa"/>
        <w:jc w:val="center"/>
        <w:tblInd w:w="0" w:type="dxa"/>
        <w:tblLayout w:type="fixed"/>
        <w:tblCellMar>
          <w:top w:w="28" w:type="dxa"/>
          <w:left w:w="28" w:type="dxa"/>
          <w:bottom w:w="28" w:type="dxa"/>
          <w:right w:w="28" w:type="dxa"/>
        </w:tblCellMar>
      </w:tblPr>
      <w:tblGrid>
        <w:gridCol w:w="418"/>
        <w:gridCol w:w="365"/>
        <w:gridCol w:w="365"/>
        <w:gridCol w:w="365"/>
        <w:gridCol w:w="365"/>
        <w:gridCol w:w="365"/>
        <w:gridCol w:w="365"/>
        <w:gridCol w:w="365"/>
        <w:gridCol w:w="382"/>
        <w:gridCol w:w="109"/>
        <w:gridCol w:w="109"/>
        <w:gridCol w:w="109"/>
        <w:gridCol w:w="174"/>
        <w:gridCol w:w="174"/>
        <w:gridCol w:w="174"/>
        <w:gridCol w:w="174"/>
        <w:gridCol w:w="174"/>
        <w:gridCol w:w="174"/>
        <w:gridCol w:w="174"/>
        <w:gridCol w:w="174"/>
        <w:gridCol w:w="257"/>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355"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20-5455398</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(I.R.S. Employer</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6000 Shoreline Court, Suite 300</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South San Francisco, California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94080</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Veracyte, Inc. 2023 Equity Incentive Plan</w:t>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tc>
        <w:tc>
          <w:tcPr>
            <w:tcW w:w="11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1" w:type="dxa"/>
            <w:gridSpan w:val="21"/>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Marc Stapley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6000 Shoreline Court, Suite 300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San Francisco, California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(650) 243-6300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Copies to:</w:t>
            </w:r>
          </w:p>
        </w:tc>
      </w:tr>
    </w:tbl>
    <w:p>
      <w:pPr>
        <w:pStyle w:val="TextBody"/>
        <w:bidi w:val="0"/>
        <w:spacing w:before="60" w:after="283"/>
        <w:jc w:val="left"/>
        <w:rPr/>
      </w:pPr>
      <w:r>
        <w:rPr/>
      </w:r>
    </w:p>
    <w:tbl>
      <w:tblPr>
        <w:tblW w:w="7336" w:type="dxa"/>
        <w:jc w:val="center"/>
        <w:tblInd w:w="0" w:type="dxa"/>
        <w:tblLayout w:type="fixed"/>
        <w:tblCellMar>
          <w:top w:w="28" w:type="dxa"/>
          <w:left w:w="28" w:type="dxa"/>
          <w:bottom w:w="28" w:type="dxa"/>
          <w:right w:w="28" w:type="dxa"/>
        </w:tblCellMar>
      </w:tblPr>
      <w:tblGrid>
        <w:gridCol w:w="267"/>
        <w:gridCol w:w="234"/>
        <w:gridCol w:w="234"/>
        <w:gridCol w:w="234"/>
        <w:gridCol w:w="234"/>
        <w:gridCol w:w="234"/>
        <w:gridCol w:w="234"/>
        <w:gridCol w:w="234"/>
        <w:gridCol w:w="234"/>
        <w:gridCol w:w="809"/>
        <w:gridCol w:w="809"/>
        <w:gridCol w:w="811"/>
        <w:gridCol w:w="294"/>
        <w:gridCol w:w="294"/>
        <w:gridCol w:w="294"/>
        <w:gridCol w:w="294"/>
        <w:gridCol w:w="294"/>
        <w:gridCol w:w="294"/>
        <w:gridCol w:w="294"/>
        <w:gridCol w:w="294"/>
        <w:gridCol w:w="416"/>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139"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Jim Krenn, Esq.</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Morrison &amp; Foerster LLP</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12531 High Bluff Drive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 Diego, CA 92130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(858) 720-5100</w:t>
            </w:r>
          </w:p>
          <w:p>
            <w:pPr>
              <w:pStyle w:val="TableContents"/>
              <w:bidi w:val="0"/>
              <w:spacing w:before="0" w:after="0"/>
              <w:jc w:val="left"/>
              <w:rPr/>
            </w:pPr>
            <w:r>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Emily Beers, Esq.</w:t>
              <w:br/>
              <w:t>Morrison &amp; Foerster LLP</w:t>
              <w:br/>
              <w:t>2100 L Street NW, Suite 900</w:t>
              <w:br/>
              <w:t>Washington, D.C. 20037</w:t>
              <w:br/>
              <w:t>(202) 887-1500</w:t>
            </w:r>
          </w:p>
        </w:tc>
        <w:tc>
          <w:tcPr>
            <w:tcW w:w="2768" w:type="dxa"/>
            <w:gridSpan w:val="9"/>
            <w:tcBorders/>
            <w:tcMar>
              <w:top w:w="0" w:type="dxa"/>
              <w:left w:w="0" w:type="dxa"/>
              <w:bottom w:w="0" w:type="dxa"/>
              <w:right w:w="0" w:type="dxa"/>
            </w:tcMar>
            <w:vAlign w:val="center"/>
          </w:tcPr>
          <w:p>
            <w:pPr>
              <w:pStyle w:val="TableContents"/>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Annie McGuire, Esq.</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General Counsel</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Veracyte, Inc.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6000 Shoreline Court, Suite 300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San Francisco, CA 94080</w:t>
            </w:r>
          </w:p>
          <w:p>
            <w:pPr>
              <w:pStyle w:val="TableContents"/>
              <w:bidi w:val="0"/>
              <w:spacing w:lineRule="auto" w:line="288" w:before="0" w:after="40"/>
              <w:jc w:val="center"/>
              <w:rPr>
                <w:rFonts w:ascii="Times New Roman;serif" w:hAnsi="Times New Roman;serif"/>
                <w:b w:val="false"/>
                <w:color w:val="000000"/>
                <w:sz w:val="20"/>
              </w:rPr>
            </w:pPr>
            <w:r>
              <w:rPr>
                <w:rFonts w:ascii="Times New Roman;serif" w:hAnsi="Times New Roman;serif"/>
                <w:b w:val="false"/>
                <w:color w:val="000000"/>
                <w:sz w:val="20"/>
              </w:rPr>
              <w:t>(650) 243-6300</w:t>
            </w:r>
          </w:p>
        </w:tc>
      </w:tr>
    </w:tbl>
    <w:p>
      <w:pPr>
        <w:pStyle w:val="TextBody"/>
        <w:bidi w:val="0"/>
        <w:spacing w:before="0" w:after="0"/>
        <w:jc w:val="left"/>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40" w:after="283"/>
        <w:ind w:left="0" w:right="0" w:firstLine="54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80" w:after="283"/>
        <w:jc w:val="center"/>
        <w:rPr/>
      </w:pPr>
      <w:r>
        <w:rPr/>
      </w:r>
    </w:p>
    <w:p>
      <w:pPr>
        <w:pStyle w:val="TextBody"/>
        <w:bidi w:val="0"/>
        <w:spacing w:before="14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REGISTRATION OF ADDITIONAL SHARES PURSUANT TO GENERAL INSTRUCTION E</w:t>
      </w:r>
    </w:p>
    <w:p>
      <w:pPr>
        <w:pStyle w:val="TextBody"/>
        <w:bidi w:val="0"/>
        <w:spacing w:before="0" w:after="0"/>
        <w:jc w:val="center"/>
        <w:rPr/>
      </w:pPr>
      <w:r>
        <w:rPr/>
      </w:r>
    </w:p>
    <w:p>
      <w:pPr>
        <w:pStyle w:val="TextBody"/>
        <w:bidi w:val="0"/>
        <w:spacing w:lineRule="auto" w:line="26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General Instruction E of Form S-8, Veracyte, Inc. (the “Registrant”) is filing this Registration Statement on Form S-8 with the U.S. Securities and Exchange Commission (the “Commission”) to register 3,500,000 additional shares (the “Share Increase”) of the Registrant’s common stock, par value $0.001 per share (the “common stock”), available for issuance under the Registrant’s 2023 Equity Incentive Plan, as amended (the “2023 Plan”). At the Registrant’s Annual Meeting of Stockholders held on June 10, 2026, the Registrant’s stockholders, among other things, approved the Share Increase under the 2023 Plan. </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General Instruction E of Form S-8, and only with respect to the common stock issuable under the 2023 Plan, this Registration Statement hereby incorporates by reference the contents of (i)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February 25, 2020 (File No. 333-236630), February 22, 2021 (File No. 333-253363), March 1, 2022 (File No. 333-263116) and March 1, 2023 (File No. 333-270147), in each case as amended by a Post-Effective Amendment No. 1 thereto filed with the Commission on June 8, 2023, and (ii) the Registrant’s Registration Statements on Form S-8 filed with the Commission on June 12, 2024 (File No. 333-280150) and June 17, 2025 (File No. 333-288113), in each case, to the extent not superseded hereby. </w:t>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p>
      <w:pPr>
        <w:pStyle w:val="TextBody"/>
        <w:bidi w:val="0"/>
        <w:spacing w:lineRule="auto" w:line="333" w:before="0" w:after="240"/>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Commission are hereby incorporated by reference in this Registration Statement:</w:t>
      </w:r>
    </w:p>
    <w:p>
      <w:pPr>
        <w:pStyle w:val="TextBody"/>
        <w:bidi w:val="0"/>
        <w:spacing w:lineRule="auto" w:line="288" w:before="0" w:after="200"/>
        <w:ind w:left="0" w:right="0" w:hanging="360"/>
        <w:jc w:val="both"/>
        <w:rPr/>
      </w:pPr>
      <w:r>
        <w:rPr>
          <w:rFonts w:ascii="Times New Roman;serif" w:hAnsi="Times New Roman;serif"/>
          <w:b w:val="false"/>
          <w:color w:val="000000"/>
          <w:sz w:val="20"/>
        </w:rPr>
        <w:t>(a)    </w:t>
      </w:r>
      <w:hyperlink r:id="rId2">
        <w:r>
          <w:rPr>
            <w:rStyle w:val="InternetLink"/>
          </w:rPr>
          <w:t>The Registrant’s Annual Report on Form 10-K for the year ended December 31, 202</w:t>
        </w:r>
      </w:hyperlink>
      <w:hyperlink r:id="rId3">
        <w:r>
          <w:rPr>
            <w:rStyle w:val="InternetLink"/>
          </w:rPr>
          <w:t>5</w:t>
        </w:r>
      </w:hyperlink>
      <w:hyperlink r:id="rId4">
        <w:r>
          <w:rPr>
            <w:rStyle w:val="InternetLink"/>
          </w:rPr>
          <w:t>, filed with the Commission on February 2</w:t>
        </w:r>
      </w:hyperlink>
      <w:hyperlink r:id="rId5">
        <w:r>
          <w:rPr>
            <w:rStyle w:val="InternetLink"/>
          </w:rPr>
          <w:t>6</w:t>
        </w:r>
      </w:hyperlink>
      <w:hyperlink r:id="rId6">
        <w:r>
          <w:rPr>
            <w:rStyle w:val="InternetLink"/>
          </w:rPr>
          <w:t>, 202</w:t>
        </w:r>
      </w:hyperlink>
      <w:hyperlink r:id="rId7">
        <w:r>
          <w:rPr>
            <w:rStyle w:val="InternetLink"/>
          </w:rPr>
          <w:t>6</w:t>
        </w:r>
      </w:hyperlink>
      <w:r>
        <w:rPr>
          <w:rFonts w:ascii="Times New Roman;serif" w:hAnsi="Times New Roman;serif"/>
          <w:b w:val="false"/>
          <w:color w:val="000000"/>
          <w:sz w:val="20"/>
        </w:rPr>
        <w: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pStyle w:val="TextBody"/>
        <w:bidi w:val="0"/>
        <w:spacing w:lineRule="auto" w:line="268" w:before="0" w:after="0"/>
        <w:ind w:left="0" w:right="0" w:hanging="360"/>
        <w:jc w:val="both"/>
        <w:rPr/>
      </w:pPr>
      <w:r>
        <w:rPr>
          <w:rFonts w:ascii="Times New Roman;serif" w:hAnsi="Times New Roman;serif"/>
          <w:b w:val="false"/>
          <w:color w:val="000000"/>
          <w:sz w:val="20"/>
        </w:rPr>
        <w:t>(c)    </w:t>
      </w:r>
      <w:hyperlink r:id="rId8">
        <w:r>
          <w:rPr>
            <w:rStyle w:val="InternetLink"/>
            <w:rFonts w:ascii="Times New Roman;serif" w:hAnsi="Times New Roman;serif"/>
            <w:b w:val="false"/>
            <w:color w:val="0000FF"/>
            <w:sz w:val="20"/>
            <w:u w:val="single"/>
          </w:rPr>
          <w:t>The description of the Registrant’s common stock contained in Registrant’s registration statement on Form 8-A, filed with the Commission on October 28, 2013 pursuant to Section 12(b) of the Exchange Act</w:t>
        </w:r>
      </w:hyperlink>
      <w:r>
        <w:rPr>
          <w:rFonts w:ascii="Times New Roman;serif" w:hAnsi="Times New Roman;serif"/>
          <w:b w:val="false"/>
          <w:color w:val="000000"/>
          <w:sz w:val="20"/>
        </w:rPr>
        <w:t xml:space="preserve">, including any amendment or report filed for the purpose of updating such description, including </w:t>
      </w:r>
      <w:hyperlink r:id="rId9">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the Registrant's Annual Report on Form 10-K for the fiscal year ended December 31, 2025, filed with the Commission on February 26, 2026.</w:t>
      </w:r>
    </w:p>
    <w:p>
      <w:pPr>
        <w:pStyle w:val="TextBody"/>
        <w:bidi w:val="0"/>
        <w:spacing w:before="0" w:after="0"/>
        <w:jc w:val="left"/>
        <w:rPr/>
      </w:pPr>
      <w:r>
        <w:rPr/>
      </w:r>
    </w:p>
    <w:p>
      <w:pPr>
        <w:pStyle w:val="TextBody"/>
        <w:bidi w:val="0"/>
        <w:spacing w:lineRule="auto" w:line="26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899" w:type="dxa"/>
        <w:jc w:val="left"/>
        <w:tblInd w:w="0" w:type="dxa"/>
        <w:tblLayout w:type="fixed"/>
        <w:tblCellMar>
          <w:top w:w="28" w:type="dxa"/>
          <w:left w:w="28" w:type="dxa"/>
          <w:bottom w:w="28" w:type="dxa"/>
          <w:right w:w="28" w:type="dxa"/>
        </w:tblCellMar>
      </w:tblPr>
      <w:tblGrid>
        <w:gridCol w:w="619"/>
        <w:gridCol w:w="544"/>
        <w:gridCol w:w="548"/>
        <w:gridCol w:w="641"/>
        <w:gridCol w:w="641"/>
        <w:gridCol w:w="906"/>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21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Exhibits.</w:t>
            </w:r>
          </w:p>
        </w:tc>
      </w:tr>
      <w:tr>
        <w:trPr/>
        <w:tc>
          <w:tcPr>
            <w:tcW w:w="3899" w:type="dxa"/>
            <w:gridSpan w:val="6"/>
            <w:tcBorders/>
            <w:tcMar>
              <w:top w:w="0" w:type="dxa"/>
              <w:left w:w="0" w:type="dxa"/>
              <w:bottom w:w="0" w:type="dxa"/>
              <w:right w:w="0" w:type="dxa"/>
            </w:tcMar>
            <w:vAlign w:val="center"/>
          </w:tcPr>
          <w:p>
            <w:pPr>
              <w:pStyle w:val="TableContents"/>
              <w:bidi w:val="0"/>
              <w:spacing w:lineRule="auto" w:line="288" w:before="40" w:after="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w:t>
            </w:r>
          </w:p>
        </w:tc>
      </w:tr>
    </w:tbl>
    <w:p>
      <w:pPr>
        <w:pStyle w:val="TextBody"/>
        <w:bidi w:val="0"/>
        <w:spacing w:before="40" w:after="140"/>
        <w:jc w:val="left"/>
        <w:rPr/>
      </w:pPr>
      <w:r>
        <w:rPr/>
      </w:r>
    </w:p>
    <w:tbl>
      <w:tblPr>
        <w:tblW w:w="10205" w:type="dxa"/>
        <w:jc w:val="left"/>
        <w:tblInd w:w="0" w:type="dxa"/>
        <w:tblLayout w:type="fixed"/>
        <w:tblCellMar>
          <w:top w:w="28" w:type="dxa"/>
          <w:left w:w="28" w:type="dxa"/>
          <w:bottom w:w="28" w:type="dxa"/>
          <w:right w:w="28" w:type="dxa"/>
        </w:tblCellMar>
      </w:tblPr>
      <w:tblGrid>
        <w:gridCol w:w="355"/>
        <w:gridCol w:w="311"/>
        <w:gridCol w:w="314"/>
        <w:gridCol w:w="1402"/>
        <w:gridCol w:w="1372"/>
        <w:gridCol w:w="1387"/>
        <w:gridCol w:w="275"/>
        <w:gridCol w:w="275"/>
        <w:gridCol w:w="266"/>
        <w:gridCol w:w="361"/>
        <w:gridCol w:w="344"/>
        <w:gridCol w:w="309"/>
        <w:gridCol w:w="348"/>
        <w:gridCol w:w="348"/>
        <w:gridCol w:w="352"/>
        <w:gridCol w:w="315"/>
        <w:gridCol w:w="315"/>
        <w:gridCol w:w="316"/>
        <w:gridCol w:w="359"/>
        <w:gridCol w:w="359"/>
        <w:gridCol w:w="522"/>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40"/>
              <w:jc w:val="left"/>
              <w:rPr/>
            </w:pPr>
            <w:hyperlink r:id="rId10">
              <w:r>
                <w:rPr>
                  <w:rStyle w:val="InternetLink"/>
                  <w:rFonts w:ascii="Times New Roman;serif" w:hAnsi="Times New Roman;serif"/>
                  <w:b w:val="false"/>
                  <w:color w:val="0000FF"/>
                  <w:sz w:val="20"/>
                  <w:u w:val="single"/>
                </w:rPr>
                <w:t>Restated Certificate of Incorporation of the Registrant</w:t>
              </w:r>
            </w:hyperlink>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001-36156</w:t>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6/9/2023</w:t>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Amended and Restated Bylaws of the Registrant</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001-36156</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5/6/2026</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416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r:id="rId12">
              <w:r>
                <w:rPr>
                  <w:rStyle w:val="InternetLink"/>
                  <w:rFonts w:ascii="Times New Roman;serif" w:hAnsi="Times New Roman;serif"/>
                  <w:b w:val="false"/>
                  <w:color w:val="0000FF"/>
                  <w:sz w:val="20"/>
                  <w:u w:val="single"/>
                </w:rPr>
                <w:t>Form of Common Stock Certificate</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333-191282</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10/15/2013</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4161" w:type="dxa"/>
            <w:gridSpan w:val="3"/>
            <w:tcBorders/>
            <w:tcMar>
              <w:top w:w="0" w:type="dxa"/>
              <w:left w:w="0" w:type="dxa"/>
              <w:bottom w:w="0" w:type="dxa"/>
              <w:right w:w="0" w:type="dxa"/>
            </w:tcMar>
            <w:vAlign w:val="center"/>
          </w:tcPr>
          <w:p>
            <w:pPr>
              <w:pStyle w:val="TableContents"/>
              <w:bidi w:val="0"/>
              <w:spacing w:lineRule="auto" w:line="288" w:before="40" w:after="40"/>
              <w:jc w:val="left"/>
              <w:rPr/>
            </w:pPr>
            <w:hyperlink w:anchor="ex51opinionfors-806102026.htm">
              <w:r>
                <w:rPr>
                  <w:rStyle w:val="InternetLink"/>
                  <w:rFonts w:ascii="Times New Roman;serif" w:hAnsi="Times New Roman;serif"/>
                  <w:b w:val="false"/>
                  <w:color w:val="0000FF"/>
                  <w:sz w:val="20"/>
                  <w:u w:val="single"/>
                </w:rPr>
                <w:t>Opinion of Morrison &amp; Foerster LLP</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s-8auditorconsent0610.htm">
              <w:r>
                <w:rPr>
                  <w:rStyle w:val="InternetLink"/>
                  <w:rFonts w:ascii="Times New Roman;serif" w:hAnsi="Times New Roman;serif"/>
                  <w:b w:val="false"/>
                  <w:color w:val="0000FF"/>
                  <w:sz w:val="20"/>
                  <w:u w:val="single"/>
                </w:rPr>
                <w:t>Consent of Independent Registered Public Accounting Firm</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51opinionfors-806102026.htm">
              <w:r>
                <w:rPr>
                  <w:rStyle w:val="InternetLink"/>
                  <w:rFonts w:ascii="Times New Roman;serif" w:hAnsi="Times New Roman;serif"/>
                  <w:b w:val="false"/>
                  <w:color w:val="0000FF"/>
                  <w:sz w:val="20"/>
                  <w:u w:val="single"/>
                </w:rPr>
                <w:t>Consent of Morrison &amp; Foerster LLP (included in Exhibit 5.1)</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3c19bfb76a47d4a6a68272e259a745_7">
              <w:r>
                <w:rPr>
                  <w:rStyle w:val="InternetLink"/>
                  <w:rFonts w:ascii="Times New Roman;serif" w:hAnsi="Times New Roman;serif"/>
                  <w:b w:val="false"/>
                  <w:color w:val="0000FF"/>
                  <w:sz w:val="20"/>
                  <w:u w:val="single"/>
                </w:rPr>
                <w:t>Power of Attorney (contained on signature page hereto).</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"https://www.sec.gov/ix?doc=/Archives/edgar/data/1384101/000138410126000021/vcyt-20260422.htm" \l "i6bc9bf2489ee441aa1ff17e2f9cdb95f_148"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2023 Equity Incentive Plan, as amended</w:t>
            </w:r>
            <w:r>
              <w:rPr>
                <w:rStyle w:val="InternetLink"/>
                <w:sz w:val="20"/>
                <w:u w:val="single"/>
                <w:b w:val="false"/>
                <w:rFonts w:ascii="Times New Roman;serif" w:hAnsi="Times New Roman;serif"/>
                <w:color w:val="0000FF"/>
              </w:rPr>
              <w:fldChar w:fldCharType="end"/>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001-36156</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4/22/2026</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Form of agreements under the 2023 Equity Incentive Plan</w:t>
              </w:r>
            </w:hyperlink>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 POS</w:t>
            </w:r>
          </w:p>
        </w:tc>
        <w:tc>
          <w:tcPr>
            <w:tcW w:w="1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333-270147</w:t>
            </w:r>
          </w:p>
        </w:tc>
        <w:tc>
          <w:tcPr>
            <w:tcW w:w="10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99.6</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6/8/2023</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416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60" w:after="283"/>
        <w:ind w:left="0" w:right="0" w:hanging="1060"/>
        <w:jc w:val="left"/>
        <w:rPr/>
      </w:pPr>
      <w:r>
        <w:rPr/>
      </w:r>
    </w:p>
    <w:p>
      <w:pPr>
        <w:pStyle w:val="TextBody"/>
        <w:bidi w:val="0"/>
        <w:spacing w:before="0" w:after="140"/>
        <w:ind w:left="0" w:right="0" w:hanging="10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10th day of June 2026.</w:t>
      </w:r>
    </w:p>
    <w:tbl>
      <w:tblPr>
        <w:tblW w:w="4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Marc Stapley</w:t>
            </w:r>
          </w:p>
          <w:p>
            <w:pPr>
              <w:pStyle w:val="TableContents"/>
              <w:bidi w:val="0"/>
              <w:spacing w:lineRule="auto" w:line="288" w:before="0" w:after="4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bl>
    <w:p>
      <w:pPr>
        <w:pStyle w:val="TextBody"/>
        <w:bidi w:val="0"/>
        <w:spacing w:before="60" w:after="283"/>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0"/>
        </w:rPr>
        <w:t>POWER OF</w:t>
      </w:r>
      <w:r>
        <w:rPr>
          <w:color w:val="000000"/>
        </w:rPr>
        <w:t xml:space="preserve"> </w:t>
      </w:r>
      <w:r>
        <w:rPr>
          <w:rFonts w:ascii="Times New Roman;serif" w:hAnsi="Times New Roman;serif"/>
          <w:b/>
          <w:color w:val="000000"/>
          <w:sz w:val="20"/>
        </w:rPr>
        <w:t>ATTORNEY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p>
      <w:pPr>
        <w:pStyle w:val="TextBody"/>
        <w:bidi w:val="0"/>
        <w:spacing w:before="0" w:after="140"/>
        <w:jc w:val="left"/>
        <w:rPr/>
      </w:pPr>
      <w:r>
        <w:rPr/>
      </w:r>
    </w:p>
    <w:tbl>
      <w:tblPr>
        <w:tblW w:w="9714" w:type="dxa"/>
        <w:jc w:val="left"/>
        <w:tblInd w:w="0" w:type="dxa"/>
        <w:tblLayout w:type="fixed"/>
        <w:tblCellMar>
          <w:top w:w="28" w:type="dxa"/>
          <w:left w:w="28" w:type="dxa"/>
          <w:bottom w:w="28" w:type="dxa"/>
          <w:right w:w="28" w:type="dxa"/>
        </w:tblCellMar>
      </w:tblPr>
      <w:tblGrid>
        <w:gridCol w:w="1122"/>
        <w:gridCol w:w="986"/>
        <w:gridCol w:w="997"/>
        <w:gridCol w:w="109"/>
        <w:gridCol w:w="109"/>
        <w:gridCol w:w="109"/>
        <w:gridCol w:w="1548"/>
        <w:gridCol w:w="1548"/>
        <w:gridCol w:w="1569"/>
        <w:gridCol w:w="109"/>
        <w:gridCol w:w="109"/>
        <w:gridCol w:w="109"/>
        <w:gridCol w:w="377"/>
        <w:gridCol w:w="377"/>
        <w:gridCol w:w="536"/>
      </w:tblGrid>
      <w:tr>
        <w:trPr/>
        <w:tc>
          <w:tcPr>
            <w:tcW w:w="11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Chairperson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10, 2026</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VERACYTE,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010"/>
        <w:gridCol w:w="1284"/>
        <w:gridCol w:w="1193"/>
        <w:gridCol w:w="1184"/>
        <w:gridCol w:w="1802"/>
        <w:gridCol w:w="1126"/>
        <w:gridCol w:w="1414"/>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010" w:type="dxa"/>
            <w:tcBorders/>
            <w:shd w:fill="E7E7E2" w:val="clear"/>
            <w:vAlign w:val="center"/>
          </w:tcPr>
          <w:p>
            <w:pPr>
              <w:pStyle w:val="TableContents"/>
              <w:bidi w:val="0"/>
              <w:spacing w:before="0" w:after="283"/>
              <w:jc w:val="left"/>
              <w:rPr/>
            </w:pPr>
            <w:r>
              <w:rPr/>
              <w:t xml:space="preserve">Common Stock, $0.001 par value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3,500,000 </w:t>
            </w:r>
          </w:p>
        </w:tc>
        <w:tc>
          <w:tcPr>
            <w:tcW w:w="1184" w:type="dxa"/>
            <w:tcBorders/>
            <w:shd w:fill="E7E7E2" w:val="clear"/>
            <w:vAlign w:val="center"/>
          </w:tcPr>
          <w:p>
            <w:pPr>
              <w:pStyle w:val="TableContents"/>
              <w:bidi w:val="0"/>
              <w:spacing w:before="0" w:after="283"/>
              <w:jc w:val="right"/>
              <w:rPr/>
            </w:pPr>
            <w:r>
              <w:rPr/>
              <w:t xml:space="preserve">$ 47.945 </w:t>
            </w:r>
          </w:p>
        </w:tc>
        <w:tc>
          <w:tcPr>
            <w:tcW w:w="1802" w:type="dxa"/>
            <w:tcBorders/>
            <w:shd w:fill="E7E7E2" w:val="clear"/>
            <w:vAlign w:val="center"/>
          </w:tcPr>
          <w:p>
            <w:pPr>
              <w:pStyle w:val="TableContents"/>
              <w:bidi w:val="0"/>
              <w:spacing w:before="0" w:after="283"/>
              <w:jc w:val="right"/>
              <w:rPr/>
            </w:pPr>
            <w:r>
              <w:rPr/>
              <w:t xml:space="preserve">$ 167,807,500.00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$ 23,174.22 </w:t>
            </w:r>
          </w:p>
        </w:tc>
      </w:tr>
      <w:tr>
        <w:trPr/>
        <w:tc>
          <w:tcPr>
            <w:tcW w:w="4679" w:type="dxa"/>
            <w:gridSpan w:val="5"/>
            <w:tcBorders/>
            <w:vAlign w:val="center"/>
          </w:tcPr>
          <w:p>
            <w:pPr>
              <w:pStyle w:val="TableContents"/>
              <w:bidi w:val="0"/>
              <w:spacing w:before="0" w:after="0"/>
              <w:ind w:left="0" w:right="0" w:hanging="0"/>
              <w:jc w:val="right"/>
              <w:rPr/>
            </w:pPr>
            <w:r>
              <w:rPr/>
              <w:t>Total Offering Amounts:</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0"/>
              <w:ind w:left="0" w:right="0" w:hanging="0"/>
              <w:jc w:val="right"/>
              <w:rPr/>
            </w:pPr>
            <w:bookmarkStart w:id="4" w:name="MaxAggtOfferingPrice"/>
            <w:bookmarkEnd w:id="4"/>
            <w:r>
              <w:rPr/>
              <w:t xml:space="preserve">$ 167,807,500.00 </w:t>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$ 23,174.22 </w:t>
            </w:r>
          </w:p>
        </w:tc>
      </w:tr>
      <w:tr>
        <w:trPr/>
        <w:tc>
          <w:tcPr>
            <w:tcW w:w="4679" w:type="dxa"/>
            <w:gridSpan w:val="5"/>
            <w:tcBorders/>
            <w:vAlign w:val="center"/>
          </w:tcPr>
          <w:p>
            <w:pPr>
              <w:pStyle w:val="TableContents"/>
              <w:bidi w:val="0"/>
              <w:spacing w:before="0" w:after="0"/>
              <w:ind w:left="0" w:right="0" w:hanging="0"/>
              <w:jc w:val="right"/>
              <w:rPr/>
            </w:pPr>
            <w:r>
              <w:rPr/>
              <w:t xml:space="preserve">Total Fee Offsets: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79" w:type="dxa"/>
            <w:gridSpan w:val="5"/>
            <w:tcBorders/>
            <w:vAlign w:val="center"/>
          </w:tcPr>
          <w:p>
            <w:pPr>
              <w:pStyle w:val="TableContents"/>
              <w:bidi w:val="0"/>
              <w:spacing w:before="0" w:after="0"/>
              <w:ind w:left="0" w:right="0" w:hanging="0"/>
              <w:jc w:val="right"/>
              <w:rPr/>
            </w:pPr>
            <w:r>
              <w:rPr/>
              <w:t xml:space="preserve">Net Fee Due: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7" w:name="NetFeeAmt"/>
            <w:bookmarkEnd w:id="7"/>
            <w:r>
              <w:rPr/>
              <w:t xml:space="preserve">$ 23,174.22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The amount registered represents additional shares of the Registrant's common stock available for issuance pursuant to awards that may be granted under the Veracyte, Inc. 2023 Equity Incentive Plan, as amended (the "Plan"). Pursuant to Rule 416(a) of the Securities Act of 1933, as amended, this Registration Statement also registers an indeterminate number of additional shares that may be issued pursuant to the Plan as a result of any future stock dividend, stock split, recapitalization or any other similar transaction effected without the receipt of consideration which results in an increase in the number of our outstanding shares of common stock. The proposed maximum offering price per share and proposed maximum aggregate offering price for the shares of the common stock covered by this Registration Statement have been estimated in accordance with Rule 457(c) and 457(h) solely for the purpose of calculating the registration fee. The maximum price per share and the maximum aggregate offering price are based upon the average of the high and low prices of the Registrant's common stock as reported on The Nasdaq Stock Market on June 3, 2026 which date is within five business days prior to filing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tbl>
      <w:tblPr>
        <w:tblW w:w="10205" w:type="dxa"/>
        <w:jc w:val="left"/>
        <w:tblInd w:w="0" w:type="dxa"/>
        <w:tblLayout w:type="fixed"/>
        <w:tblCellMar>
          <w:top w:w="28" w:type="dxa"/>
          <w:left w:w="28" w:type="dxa"/>
          <w:bottom w:w="28" w:type="dxa"/>
          <w:right w:w="28" w:type="dxa"/>
        </w:tblCellMar>
      </w:tblPr>
      <w:tblGrid>
        <w:gridCol w:w="1341"/>
        <w:gridCol w:w="1179"/>
        <w:gridCol w:w="1181"/>
        <w:gridCol w:w="819"/>
        <w:gridCol w:w="643"/>
        <w:gridCol w:w="446"/>
        <w:gridCol w:w="1341"/>
        <w:gridCol w:w="1341"/>
        <w:gridCol w:w="1914"/>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3701" w:type="dxa"/>
            <w:gridSpan w:val="3"/>
            <w:vMerge w:val="restart"/>
            <w:tcBorders/>
            <w:tcMar>
              <w:top w:w="0" w:type="dxa"/>
              <w:left w:w="0" w:type="dxa"/>
              <w:bottom w:w="0" w:type="dxa"/>
              <w:right w:w="0" w:type="dxa"/>
            </w:tcMar>
            <w:vAlign w:val="center"/>
          </w:tcPr>
          <w:p>
            <w:pPr>
              <w:pStyle w:val="TableContents"/>
              <w:bidi w:val="0"/>
              <w:spacing w:before="20" w:after="283"/>
              <w:jc w:val="left"/>
              <w:rPr/>
            </w:pPr>
            <w:r>
              <w:rPr/>
              <w:drawing>
                <wp:inline distT="0" distB="0" distL="0" distR="0">
                  <wp:extent cx="2286000" cy="1428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4"/>
                          <a:stretch>
                            <a:fillRect/>
                          </a:stretch>
                        </pic:blipFill>
                        <pic:spPr bwMode="auto">
                          <a:xfrm>
                            <a:off x="0" y="0"/>
                            <a:ext cx="2286000" cy="142875"/>
                          </a:xfrm>
                          <a:prstGeom prst="rect">
                            <a:avLst/>
                          </a:prstGeom>
                        </pic:spPr>
                      </pic:pic>
                    </a:graphicData>
                  </a:graphic>
                </wp:inline>
              </w:drawing>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2100 L STREET, NW</w:t>
            </w:r>
          </w:p>
        </w:tc>
        <w:tc>
          <w:tcPr>
            <w:tcW w:w="4596" w:type="dxa"/>
            <w:gridSpan w:val="3"/>
            <w:vMerge w:val="restart"/>
            <w:tcBorders/>
            <w:tcMar>
              <w:top w:w="0" w:type="dxa"/>
              <w:left w:w="0" w:type="dxa"/>
              <w:bottom w:w="0" w:type="dxa"/>
              <w:right w:w="0" w:type="dxa"/>
            </w:tcMar>
            <w:vAlign w:val="center"/>
          </w:tcPr>
          <w:p>
            <w:pPr>
              <w:pStyle w:val="TableContents"/>
              <w:bidi w:val="0"/>
              <w:spacing w:lineRule="auto" w:line="288" w:before="0" w:after="80"/>
              <w:jc w:val="left"/>
              <w:rPr>
                <w:rFonts w:ascii="Garamond;serif" w:hAnsi="Garamond;serif"/>
                <w:b w:val="false"/>
                <w:color w:val="000000"/>
                <w:sz w:val="13"/>
              </w:rPr>
            </w:pPr>
            <w:r>
              <w:rPr>
                <w:rFonts w:ascii="Garamond;serif" w:hAnsi="Garamond;serif"/>
                <w:b w:val="false"/>
                <w:color w:val="000000"/>
                <w:sz w:val="13"/>
              </w:rPr>
              <w:t>morrison &amp; foerster llp</w:t>
            </w:r>
          </w:p>
          <w:p>
            <w:pPr>
              <w:pStyle w:val="TableContents"/>
              <w:bidi w:val="0"/>
              <w:spacing w:lineRule="auto" w:line="288" w:before="0" w:after="80"/>
              <w:jc w:val="left"/>
              <w:rPr>
                <w:rFonts w:ascii="Garamond;serif" w:hAnsi="Garamond;serif"/>
                <w:b w:val="false"/>
                <w:color w:val="000000"/>
                <w:sz w:val="13"/>
              </w:rPr>
            </w:pPr>
            <w:r>
              <w:rPr>
                <w:rFonts w:ascii="Garamond;serif" w:hAnsi="Garamond;serif"/>
                <w:b w:val="false"/>
                <w:color w:val="000000"/>
                <w:sz w:val="13"/>
              </w:rPr>
              <w:t>amsterdam, austin, berlin, boston, brussels, denver, hong kong, london, los angeles, miami, new york, palo alto, san diego, san francisco, shanghai, singapore, tokyo, washington, d.c.</w:t>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SUITE 900</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WASHINGTON</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DC 20037</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120" w:after="283"/>
              <w:jc w:val="left"/>
              <w:rPr>
                <w:rFonts w:ascii="Garamond;serif" w:hAnsi="Garamond;serif"/>
                <w:b w:val="false"/>
                <w:color w:val="000000"/>
                <w:sz w:val="16"/>
              </w:rPr>
            </w:pPr>
            <w:r>
              <w:rPr>
                <w:rFonts w:ascii="Garamond;serif" w:hAnsi="Garamond;serif"/>
                <w:b w:val="false"/>
                <w:color w:val="000000"/>
                <w:sz w:val="16"/>
              </w:rPr>
              <w:t>TELEPHONE: 202.887.1500</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0" w:after="0"/>
              <w:jc w:val="left"/>
              <w:rPr>
                <w:rFonts w:ascii="Garamond;serif" w:hAnsi="Garamond;serif"/>
                <w:b w:val="false"/>
                <w:color w:val="000000"/>
                <w:sz w:val="16"/>
              </w:rPr>
            </w:pPr>
            <w:r>
              <w:rPr>
                <w:rFonts w:ascii="Garamond;serif" w:hAnsi="Garamond;serif"/>
                <w:b w:val="false"/>
                <w:color w:val="000000"/>
                <w:sz w:val="16"/>
              </w:rPr>
              <w:t>FACSIMILE: 202.887.0763</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01" w:type="dxa"/>
            <w:gridSpan w:val="3"/>
            <w:vMerge w:val="continue"/>
            <w:tcBorders/>
            <w:tcMar>
              <w:top w:w="0" w:type="dxa"/>
              <w:left w:w="0" w:type="dxa"/>
              <w:bottom w:w="0" w:type="dxa"/>
              <w:right w:w="0" w:type="dxa"/>
            </w:tcMar>
            <w:vAlign w:val="center"/>
          </w:tcPr>
          <w:p>
            <w:pPr>
              <w:pStyle w:val="Normal"/>
              <w:bidi w:val="0"/>
              <w:jc w:val="left"/>
              <w:rPr/>
            </w:pPr>
            <w:r>
              <w:rPr/>
            </w:r>
          </w:p>
        </w:tc>
        <w:tc>
          <w:tcPr>
            <w:tcW w:w="1908" w:type="dxa"/>
            <w:gridSpan w:val="3"/>
            <w:tcBorders/>
            <w:tcMar>
              <w:top w:w="0" w:type="dxa"/>
              <w:left w:w="0" w:type="dxa"/>
              <w:bottom w:w="0" w:type="dxa"/>
              <w:right w:w="0" w:type="dxa"/>
            </w:tcMar>
            <w:vAlign w:val="center"/>
          </w:tcPr>
          <w:p>
            <w:pPr>
              <w:pStyle w:val="TableContents"/>
              <w:bidi w:val="0"/>
              <w:spacing w:lineRule="auto" w:line="333" w:before="120" w:after="283"/>
              <w:jc w:val="left"/>
              <w:rPr>
                <w:rFonts w:ascii="Garamond;serif" w:hAnsi="Garamond;serif"/>
                <w:b w:val="false"/>
                <w:color w:val="000000"/>
                <w:sz w:val="16"/>
              </w:rPr>
            </w:pPr>
            <w:r>
              <w:rPr>
                <w:rFonts w:ascii="Garamond;serif" w:hAnsi="Garamond;serif"/>
                <w:b w:val="false"/>
                <w:color w:val="000000"/>
                <w:sz w:val="16"/>
              </w:rPr>
              <w:t>WWW.MOFO.COM</w:t>
            </w:r>
          </w:p>
        </w:tc>
        <w:tc>
          <w:tcPr>
            <w:tcW w:w="459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June 10, 2026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Veracyte,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6000 Shoreline Court,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South San Francisco, California, 94080</w:t>
      </w:r>
    </w:p>
    <w:p>
      <w:pPr>
        <w:pStyle w:val="TextBody"/>
        <w:bidi w:val="0"/>
        <w:spacing w:lineRule="auto" w:line="288" w:before="240" w:after="283"/>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 xml:space="preserve">Registration Statement on Form S-8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are acting as counsel to Veracyte, Inc., a Delaware corporation (the “Company”), in connection with its registration statement on Form S-8 (the “Registration Statement”), filed with the Securities and Exchange Commission under the Securities Act of 1933, as amended (the “Securities Act”), relating to the proposed offering of up to 3,500,000 shares (the “Shares”) of the Company’s common stock, par value $0.001 per share, all of which Shares may be issued pursuant to awards under the Company’s 2023 Equity Incentive Plan, as amended (the “Plan”).</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 examination, we have assumed the genuineness of all signatures, the authenticity of all documents submitted to us as originals and the conformity with the originals of all documents submitted to us as copies. For the purpose of the opinion rendered below, we have assumed that in connection with the issuance of the Shares, the Company will receive consideration in an amount not less than the aggregate par value of the Shares covered by each such issuance. This opinion letter is given, and all statements herein are made, in the context of the foregoing.</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opinion expressed herein is limited to the General Corporation Law of the State of Delaware, the Delaware Constitution and reported judicial decisions interpreting those laws, each as currently in effect.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upon and subject to the foregoing, it is our opinion that following (i) effectiveness of the Registration Statement, (ii) issuance of the Shares pursuant to the terms of the Plan, and (iii) receipt by the Company of the consideration for the Shares specified in the applicable resolutions of the Board of Directors or a duly authorized committee thereof and the Plan, the Shares will be validly issued, fully paid and nonassessable.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consent to the use of this opinion as an exhibit to the Registration Statement, and we consent to the reference of our name wherever appearing in the Registration Statement and any amendments thereto. In giving such consent, we do not thereby admit that we are in the category of persons whose consent is required under Section 7 of the Securities Act.</w:t>
      </w:r>
    </w:p>
    <w:p>
      <w:pPr>
        <w:pStyle w:val="TextBody"/>
        <w:bidi w:val="0"/>
        <w:spacing w:lineRule="auto" w:line="288" w:before="4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48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 Morrison &amp; Foerster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199" w:before="0" w:after="0"/>
        <w:jc w:val="center"/>
        <w:rPr>
          <w:rFonts w:ascii="Times New Roman;serif" w:hAnsi="Times New Roman;serif"/>
          <w:b/>
          <w:color w:val="000000"/>
          <w:sz w:val="19"/>
        </w:rPr>
      </w:pPr>
      <w:r>
        <w:rPr>
          <w:rFonts w:ascii="Times New Roman;serif" w:hAnsi="Times New Roman;serif"/>
          <w:b/>
          <w:color w:val="000000"/>
          <w:sz w:val="19"/>
        </w:rPr>
        <w:t xml:space="preserve">CONSENT OF INDEPENDENT REGISTERED PUBLIC ACCOUNTING FIRM </w:t>
      </w:r>
    </w:p>
    <w:p>
      <w:pPr>
        <w:pStyle w:val="TextBody"/>
        <w:bidi w:val="0"/>
        <w:spacing w:before="0" w:after="20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2023 Equity Incentive Plan of Veracyte, Inc. of our reports dated February 26, 2026, with respect to the consolidated financial statements of Veracyte, Inc. and the effectiveness of internal control over financial reporting of Veracyte, Inc. included in its Annual Report (Form 10-K) for the year ended December 31, 2025, filed with the Securities and Exchange Commission.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June 10, 2026</w:t>
      </w:r>
    </w:p>
    <w:p>
      <w:pPr>
        <w:pStyle w:val="TextBody"/>
        <w:bidi w:val="0"/>
        <w:spacing w:before="0" w:after="0"/>
        <w:jc w:val="both"/>
        <w:rPr/>
      </w:pPr>
      <w:r>
        <w:rPr/>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384101/000138410126000010/vcyt-20251231.htm" TargetMode="External"/><Relationship Id="rId3" Type="http://schemas.openxmlformats.org/officeDocument/2006/relationships/hyperlink" Target="https://www.sec.gov/ix?doc=/Archives/edgar/data/1384101/000138410126000010/vcyt-20251231.htm" TargetMode="External"/><Relationship Id="rId4" Type="http://schemas.openxmlformats.org/officeDocument/2006/relationships/hyperlink" Target="https://www.sec.gov/ix?doc=/Archives/edgar/data/1384101/000138410126000010/vcyt-20251231.htm" TargetMode="External"/><Relationship Id="rId5" Type="http://schemas.openxmlformats.org/officeDocument/2006/relationships/hyperlink" Target="https://www.sec.gov/ix?doc=/Archives/edgar/data/1384101/000138410126000010/vcyt-20251231.htm" TargetMode="External"/><Relationship Id="rId6" Type="http://schemas.openxmlformats.org/officeDocument/2006/relationships/hyperlink" Target="https://www.sec.gov/ix?doc=/Archives/edgar/data/1384101/000138410126000010/vcyt-20251231.htm" TargetMode="External"/><Relationship Id="rId7" Type="http://schemas.openxmlformats.org/officeDocument/2006/relationships/hyperlink" Target="https://www.sec.gov/ix?doc=/Archives/edgar/data/1384101/000138410126000010/vcyt-20251231.htm" TargetMode="External"/><Relationship Id="rId8" Type="http://schemas.openxmlformats.org/officeDocument/2006/relationships/hyperlink" Target="https://www.sec.gov/Archives/edgar/data/1384101/000110465913078343/a13-16266_158a12b.htm" TargetMode="External"/><Relationship Id="rId9" Type="http://schemas.openxmlformats.org/officeDocument/2006/relationships/hyperlink" Target="https://www.sec.gov/Archives/edgar/data/1384101/000138410126000010/vcyt-12312025xex42.htm" TargetMode="External"/><Relationship Id="rId10" Type="http://schemas.openxmlformats.org/officeDocument/2006/relationships/hyperlink" Target="https://www.sec.gov/Archives/edgar/data/1384101/000138410123000112/ex32-restatedcertificateof.htm" TargetMode="External"/><Relationship Id="rId11" Type="http://schemas.openxmlformats.org/officeDocument/2006/relationships/hyperlink" Target="https://www.sec.gov/Archives/edgar/data/1384101/000138410126000031/vcyt-03312026xex32veracyte.htm" TargetMode="External"/><Relationship Id="rId12" Type="http://schemas.openxmlformats.org/officeDocument/2006/relationships/hyperlink" Target="https://www.sec.gov/Archives/edgar/data/1384101/000104746913009631/a2216954zex-4_1.htm" TargetMode="External"/><Relationship Id="rId13" Type="http://schemas.openxmlformats.org/officeDocument/2006/relationships/hyperlink" Target="https://www.sec.gov/Archives/edgar/data/1384101/000138410123000100/ex996-2023eipformofagreeme.htm" TargetMode="External"/><Relationship Id="rId14" Type="http://schemas.openxmlformats.org/officeDocument/2006/relationships/image" Target="media/image1.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2385</Words>
  <Characters>12846</Characters>
  <CharactersWithSpaces>15033</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