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(Amendment No. ___1____)*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ACUTA CAPITAL PARTNERS LLC, 1301 SHOREWAY ROAD, SUITE 350, BELMONT CA 94002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April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right="10100" w:firstLine="8"/>
        <w:spacing w:after="0" w:line="302" w:lineRule="auto"/>
        <w:tabs>
          <w:tab w:leader="none" w:pos="2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96" w:lineRule="exact"/>
        <w:rPr>
          <w:sz w:val="24"/>
          <w:szCs w:val="24"/>
          <w:color w:val="auto"/>
        </w:rPr>
      </w:pPr>
    </w:p>
    <w:p>
      <w:pPr>
        <w:ind w:firstLine="8"/>
        <w:spacing w:after="0" w:line="194" w:lineRule="auto"/>
        <w:tabs>
          <w:tab w:leader="none" w:pos="113"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NAMES OF REPORTING PERSONS</w:t>
      </w:r>
    </w:p>
    <w:p>
      <w:pPr>
        <w:ind w:left="660" w:hanging="395"/>
        <w:spacing w:after="0" w:line="185" w:lineRule="auto"/>
        <w:tabs>
          <w:tab w:leader="none" w:pos="660" w:val="left"/>
        </w:tabs>
        <w:numPr>
          <w:ilvl w:val="0"/>
          <w:numId w:val="3"/>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660"/>
        <w:spacing w:after="0"/>
        <w:rPr>
          <w:rFonts w:ascii="Arial" w:cs="Arial" w:eastAsia="Arial" w:hAnsi="Arial"/>
          <w:sz w:val="27"/>
          <w:szCs w:val="27"/>
          <w:color w:val="auto"/>
          <w:vertAlign w:val="subscript"/>
        </w:rPr>
      </w:pPr>
      <w:r>
        <w:rPr>
          <w:rFonts w:ascii="Arial" w:cs="Arial" w:eastAsia="Arial" w:hAnsi="Arial"/>
          <w:sz w:val="18"/>
          <w:szCs w:val="18"/>
          <w:color w:val="auto"/>
        </w:rPr>
        <w:t>ACUTA CAPITAL PARTNERS LLC 45-2817402</w:t>
      </w:r>
    </w:p>
    <w:p>
      <w:pPr>
        <w:spacing w:after="0" w:line="36" w:lineRule="exact"/>
        <w:rPr>
          <w:rFonts w:ascii="Arial" w:cs="Arial" w:eastAsia="Arial" w:hAnsi="Arial"/>
          <w:sz w:val="27"/>
          <w:szCs w:val="27"/>
          <w:color w:val="auto"/>
          <w:vertAlign w:val="subscript"/>
        </w:rPr>
      </w:pPr>
    </w:p>
    <w:p>
      <w:pPr>
        <w:ind w:left="660"/>
        <w:spacing w:after="0"/>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27"/>
          <w:szCs w:val="27"/>
          <w:color w:val="auto"/>
          <w:vertAlign w:val="subscript"/>
        </w:rPr>
      </w:pPr>
    </w:p>
    <w:p>
      <w:pPr>
        <w:ind w:left="660" w:hanging="395"/>
        <w:spacing w:after="0" w:line="180" w:lineRule="auto"/>
        <w:tabs>
          <w:tab w:leader="none" w:pos="660" w:val="left"/>
        </w:tabs>
        <w:numPr>
          <w:ilvl w:val="0"/>
          <w:numId w:val="3"/>
        </w:numPr>
        <w:rPr>
          <w:rFonts w:ascii="Arial" w:cs="Arial" w:eastAsia="Arial" w:hAnsi="Arial"/>
          <w:sz w:val="25"/>
          <w:szCs w:val="25"/>
          <w:color w:val="auto"/>
          <w:vertAlign w:val="subscript"/>
        </w:rPr>
      </w:pPr>
      <w:r>
        <w:rPr>
          <w:rFonts w:ascii="Arial" w:cs="Arial" w:eastAsia="Arial" w:hAnsi="Arial"/>
          <w:sz w:val="14"/>
          <w:szCs w:val="14"/>
          <w:color w:val="auto"/>
        </w:rPr>
        <w:t>(see instructions)</w:t>
      </w:r>
    </w:p>
    <w:p>
      <w:pPr>
        <w:spacing w:after="0" w:line="2" w:lineRule="exact"/>
        <w:rPr>
          <w:rFonts w:ascii="Arial" w:cs="Arial" w:eastAsia="Arial" w:hAnsi="Arial"/>
          <w:sz w:val="25"/>
          <w:szCs w:val="25"/>
          <w:color w:val="auto"/>
          <w:vertAlign w:val="subscript"/>
        </w:rPr>
      </w:pPr>
    </w:p>
    <w:p>
      <w:pPr>
        <w:ind w:left="900" w:hanging="244"/>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7" w:lineRule="exact"/>
        <w:rPr>
          <w:rFonts w:ascii="Arial" w:cs="Arial" w:eastAsia="Arial" w:hAnsi="Arial"/>
          <w:sz w:val="18"/>
          <w:szCs w:val="18"/>
          <w:color w:val="auto"/>
        </w:rPr>
      </w:pPr>
    </w:p>
    <w:p>
      <w:pPr>
        <w:ind w:left="920" w:hanging="26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660" w:hanging="395"/>
        <w:spacing w:after="0" w:line="181" w:lineRule="auto"/>
        <w:tabs>
          <w:tab w:leader="none" w:pos="660" w:val="left"/>
        </w:tabs>
        <w:numPr>
          <w:ilvl w:val="0"/>
          <w:numId w:val="3"/>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OF 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00" w:type="dxa"/>
            <w:vAlign w:val="bottom"/>
            <w:tcBorders>
              <w:top w:val="single" w:sz="8" w:color="auto"/>
            </w:tcBorders>
          </w:tcPr>
          <w:p>
            <w:pPr>
              <w:spacing w:after="0"/>
              <w:rPr>
                <w:sz w:val="18"/>
                <w:szCs w:val="18"/>
                <w:color w:val="auto"/>
              </w:rPr>
            </w:pPr>
          </w:p>
        </w:tc>
        <w:tc>
          <w:tcPr>
            <w:tcW w:w="88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88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2,885,000</w:t>
            </w:r>
          </w:p>
        </w:tc>
        <w:tc>
          <w:tcPr>
            <w:tcW w:w="0" w:type="dxa"/>
            <w:vAlign w:val="bottom"/>
          </w:tcPr>
          <w:p>
            <w:pPr>
              <w:spacing w:after="0"/>
              <w:rPr>
                <w:sz w:val="1"/>
                <w:szCs w:val="1"/>
                <w:color w:val="auto"/>
              </w:rPr>
            </w:pPr>
          </w:p>
        </w:tc>
      </w:tr>
      <w:tr>
        <w:trPr>
          <w:trHeight w:val="107"/>
        </w:trPr>
        <w:tc>
          <w:tcPr>
            <w:tcW w:w="2600" w:type="dxa"/>
            <w:vAlign w:val="bottom"/>
            <w:vMerge w:val="continue"/>
          </w:tcPr>
          <w:p>
            <w:pPr>
              <w:spacing w:after="0"/>
              <w:rPr>
                <w:sz w:val="9"/>
                <w:szCs w:val="9"/>
                <w:color w:val="auto"/>
              </w:rPr>
            </w:pPr>
          </w:p>
        </w:tc>
        <w:tc>
          <w:tcPr>
            <w:tcW w:w="8820" w:type="dxa"/>
            <w:vAlign w:val="bottom"/>
            <w:vMerge w:val="restart"/>
          </w:tcPr>
          <w:p>
            <w:pPr>
              <w:ind w:left="64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8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0" w:type="dxa"/>
            <w:vAlign w:val="bottom"/>
            <w:vMerge w:val="continue"/>
          </w:tcPr>
          <w:p>
            <w:pPr>
              <w:spacing w:after="0"/>
              <w:rPr>
                <w:sz w:val="10"/>
                <w:szCs w:val="10"/>
                <w:color w:val="auto"/>
              </w:rPr>
            </w:pP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9"/>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8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600" w:type="dxa"/>
            <w:vAlign w:val="bottom"/>
            <w:vMerge w:val="continue"/>
          </w:tcPr>
          <w:p>
            <w:pPr>
              <w:spacing w:after="0"/>
              <w:rPr>
                <w:sz w:val="9"/>
                <w:szCs w:val="9"/>
                <w:color w:val="auto"/>
              </w:rPr>
            </w:pPr>
          </w:p>
        </w:tc>
        <w:tc>
          <w:tcPr>
            <w:tcW w:w="8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600" w:type="dxa"/>
            <w:vAlign w:val="bottom"/>
            <w:vMerge w:val="continue"/>
          </w:tcPr>
          <w:p>
            <w:pPr>
              <w:spacing w:after="0"/>
              <w:rPr>
                <w:sz w:val="6"/>
                <w:szCs w:val="6"/>
                <w:color w:val="auto"/>
              </w:rPr>
            </w:pPr>
          </w:p>
        </w:tc>
        <w:tc>
          <w:tcPr>
            <w:tcW w:w="8820" w:type="dxa"/>
            <w:vAlign w:val="bottom"/>
            <w:vMerge w:val="restart"/>
          </w:tcPr>
          <w:p>
            <w:pPr>
              <w:ind w:left="640"/>
              <w:spacing w:after="0" w:line="201"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00" w:type="dxa"/>
            <w:vAlign w:val="bottom"/>
            <w:vMerge w:val="continue"/>
          </w:tcPr>
          <w:p>
            <w:pPr>
              <w:spacing w:after="0"/>
              <w:rPr>
                <w:sz w:val="8"/>
                <w:szCs w:val="8"/>
                <w:color w:val="auto"/>
              </w:rPr>
            </w:pP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600" w:type="dxa"/>
            <w:vAlign w:val="bottom"/>
            <w:vMerge w:val="continue"/>
          </w:tcPr>
          <w:p>
            <w:pPr>
              <w:spacing w:after="0"/>
              <w:rPr>
                <w:sz w:val="8"/>
                <w:szCs w:val="8"/>
                <w:color w:val="auto"/>
              </w:rPr>
            </w:pPr>
          </w:p>
        </w:tc>
        <w:tc>
          <w:tcPr>
            <w:tcW w:w="8820" w:type="dxa"/>
            <w:vAlign w:val="bottom"/>
            <w:vMerge w:val="restart"/>
          </w:tcPr>
          <w:p>
            <w:pPr>
              <w:ind w:left="640"/>
              <w:spacing w:after="0"/>
              <w:rPr>
                <w:sz w:val="20"/>
                <w:szCs w:val="20"/>
                <w:color w:val="auto"/>
              </w:rPr>
            </w:pPr>
            <w:r>
              <w:rPr>
                <w:rFonts w:ascii="Arial" w:cs="Arial" w:eastAsia="Arial" w:hAnsi="Arial"/>
                <w:sz w:val="18"/>
                <w:szCs w:val="18"/>
                <w:color w:val="auto"/>
              </w:rPr>
              <w:t>2,885,000</w:t>
            </w:r>
          </w:p>
        </w:tc>
        <w:tc>
          <w:tcPr>
            <w:tcW w:w="0" w:type="dxa"/>
            <w:vAlign w:val="bottom"/>
          </w:tcPr>
          <w:p>
            <w:pPr>
              <w:spacing w:after="0"/>
              <w:rPr>
                <w:sz w:val="1"/>
                <w:szCs w:val="1"/>
                <w:color w:val="auto"/>
              </w:rPr>
            </w:pPr>
          </w:p>
        </w:tc>
      </w:tr>
      <w:tr>
        <w:trPr>
          <w:trHeight w:val="148"/>
        </w:trPr>
        <w:tc>
          <w:tcPr>
            <w:tcW w:w="260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8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00" w:type="dxa"/>
            <w:vAlign w:val="bottom"/>
            <w:vMerge w:val="continue"/>
          </w:tcPr>
          <w:p>
            <w:pPr>
              <w:spacing w:after="0"/>
              <w:rPr>
                <w:sz w:val="5"/>
                <w:szCs w:val="5"/>
                <w:color w:val="auto"/>
              </w:rPr>
            </w:pPr>
          </w:p>
        </w:tc>
        <w:tc>
          <w:tcPr>
            <w:tcW w:w="8820" w:type="dxa"/>
            <w:vAlign w:val="bottom"/>
            <w:vMerge w:val="restart"/>
          </w:tcPr>
          <w:p>
            <w:pPr>
              <w:ind w:left="64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11"/>
                <w:szCs w:val="11"/>
                <w:color w:val="auto"/>
              </w:rPr>
            </w:pPr>
          </w:p>
        </w:tc>
        <w:tc>
          <w:tcPr>
            <w:tcW w:w="8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2,885,000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ind w:left="660" w:hanging="44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 w:name="page3"/>
    <w:bookmarkEnd w:id="2"/>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92" w:lineRule="exact"/>
        <w:rPr>
          <w:sz w:val="20"/>
          <w:szCs w:val="20"/>
          <w:color w:val="auto"/>
        </w:rPr>
      </w:pPr>
    </w:p>
    <w:p>
      <w:pPr>
        <w:ind w:left="660" w:hanging="266"/>
        <w:spacing w:after="0"/>
        <w:tabs>
          <w:tab w:leader="none" w:pos="660" w:val="left"/>
        </w:tabs>
        <w:numPr>
          <w:ilvl w:val="0"/>
          <w:numId w:val="5"/>
        </w:numPr>
        <w:rPr>
          <w:rFonts w:ascii="Arial" w:cs="Arial" w:eastAsia="Arial" w:hAnsi="Arial"/>
          <w:sz w:val="32"/>
          <w:szCs w:val="32"/>
          <w:color w:val="auto"/>
          <w:vertAlign w:val="subscript"/>
        </w:rPr>
      </w:pPr>
      <w:r>
        <w:rPr>
          <w:rFonts w:ascii="Arial" w:cs="Arial" w:eastAsia="Arial" w:hAnsi="Arial"/>
          <w:sz w:val="17"/>
          <w:szCs w:val="17"/>
          <w:color w:val="auto"/>
        </w:rPr>
        <w:t>Name of Issuer</w:t>
      </w:r>
    </w:p>
    <w:p>
      <w:pPr>
        <w:spacing w:after="0" w:line="1" w:lineRule="exact"/>
        <w:rPr>
          <w:rFonts w:ascii="Arial" w:cs="Arial" w:eastAsia="Arial" w:hAnsi="Arial"/>
          <w:sz w:val="32"/>
          <w:szCs w:val="32"/>
          <w:color w:val="auto"/>
          <w:vertAlign w:val="subscript"/>
        </w:rPr>
      </w:pPr>
    </w:p>
    <w:p>
      <w:pPr>
        <w:ind w:left="660"/>
        <w:spacing w:after="0"/>
        <w:rPr>
          <w:rFonts w:ascii="Arial" w:cs="Arial" w:eastAsia="Arial" w:hAnsi="Arial"/>
          <w:sz w:val="32"/>
          <w:szCs w:val="32"/>
          <w:color w:val="auto"/>
          <w:vertAlign w:val="subscript"/>
        </w:rPr>
      </w:pPr>
      <w:r>
        <w:rPr>
          <w:rFonts w:ascii="Arial" w:cs="Arial" w:eastAsia="Arial" w:hAnsi="Arial"/>
          <w:sz w:val="18"/>
          <w:szCs w:val="18"/>
          <w:color w:val="auto"/>
        </w:rPr>
        <w:t>VERACYTE INC</w:t>
      </w:r>
    </w:p>
    <w:p>
      <w:pPr>
        <w:spacing w:after="0" w:line="209" w:lineRule="exact"/>
        <w:rPr>
          <w:rFonts w:ascii="Arial" w:cs="Arial" w:eastAsia="Arial" w:hAnsi="Arial"/>
          <w:sz w:val="32"/>
          <w:szCs w:val="32"/>
          <w:color w:val="auto"/>
          <w:vertAlign w:val="subscript"/>
        </w:rPr>
      </w:pPr>
    </w:p>
    <w:p>
      <w:pPr>
        <w:ind w:left="660"/>
        <w:spacing w:after="0"/>
        <w:rPr>
          <w:rFonts w:ascii="Arial" w:cs="Arial" w:eastAsia="Arial" w:hAnsi="Arial"/>
          <w:sz w:val="32"/>
          <w:szCs w:val="32"/>
          <w:color w:val="auto"/>
          <w:vertAlign w:val="subscript"/>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32"/>
          <w:szCs w:val="32"/>
          <w:color w:val="auto"/>
          <w:vertAlign w:val="subscript"/>
        </w:rPr>
      </w:pPr>
    </w:p>
    <w:p>
      <w:pPr>
        <w:jc w:val="both"/>
        <w:ind w:left="660" w:right="7820" w:hanging="271"/>
        <w:spacing w:after="0" w:line="32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6000 SHORELINE COURT, SUITE 300 SOUTH SAN FRANCISCO, CA 94080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92" w:lineRule="exact"/>
        <w:rPr>
          <w:sz w:val="20"/>
          <w:szCs w:val="20"/>
          <w:color w:val="auto"/>
        </w:rPr>
      </w:pPr>
    </w:p>
    <w:p>
      <w:pPr>
        <w:ind w:left="660" w:hanging="266"/>
        <w:spacing w:after="0"/>
        <w:tabs>
          <w:tab w:leader="none" w:pos="660" w:val="left"/>
        </w:tabs>
        <w:numPr>
          <w:ilvl w:val="0"/>
          <w:numId w:val="6"/>
        </w:numPr>
        <w:rPr>
          <w:rFonts w:ascii="Arial" w:cs="Arial" w:eastAsia="Arial" w:hAnsi="Arial"/>
          <w:sz w:val="32"/>
          <w:szCs w:val="32"/>
          <w:color w:val="auto"/>
          <w:vertAlign w:val="subscript"/>
        </w:rPr>
      </w:pPr>
      <w:r>
        <w:rPr>
          <w:rFonts w:ascii="Arial" w:cs="Arial" w:eastAsia="Arial" w:hAnsi="Arial"/>
          <w:sz w:val="17"/>
          <w:szCs w:val="17"/>
          <w:color w:val="auto"/>
        </w:rPr>
        <w:t>Name of Person Filing</w:t>
      </w:r>
    </w:p>
    <w:p>
      <w:pPr>
        <w:spacing w:after="0" w:line="1" w:lineRule="exact"/>
        <w:rPr>
          <w:rFonts w:ascii="Arial" w:cs="Arial" w:eastAsia="Arial" w:hAnsi="Arial"/>
          <w:sz w:val="32"/>
          <w:szCs w:val="32"/>
          <w:color w:val="auto"/>
          <w:vertAlign w:val="subscript"/>
        </w:rPr>
      </w:pPr>
    </w:p>
    <w:p>
      <w:pPr>
        <w:ind w:left="660"/>
        <w:spacing w:after="0"/>
        <w:rPr>
          <w:rFonts w:ascii="Arial" w:cs="Arial" w:eastAsia="Arial" w:hAnsi="Arial"/>
          <w:sz w:val="32"/>
          <w:szCs w:val="32"/>
          <w:color w:val="auto"/>
          <w:vertAlign w:val="subscript"/>
        </w:rPr>
      </w:pPr>
      <w:r>
        <w:rPr>
          <w:rFonts w:ascii="Arial" w:cs="Arial" w:eastAsia="Arial" w:hAnsi="Arial"/>
          <w:sz w:val="18"/>
          <w:szCs w:val="18"/>
          <w:color w:val="auto"/>
        </w:rPr>
        <w:t>ACUTA CAPITAL PARTNERS LLC</w:t>
      </w:r>
    </w:p>
    <w:p>
      <w:pPr>
        <w:spacing w:after="0" w:line="209" w:lineRule="exact"/>
        <w:rPr>
          <w:rFonts w:ascii="Arial" w:cs="Arial" w:eastAsia="Arial" w:hAnsi="Arial"/>
          <w:sz w:val="32"/>
          <w:szCs w:val="32"/>
          <w:color w:val="auto"/>
          <w:vertAlign w:val="subscript"/>
        </w:rPr>
      </w:pPr>
    </w:p>
    <w:p>
      <w:pPr>
        <w:ind w:left="660"/>
        <w:spacing w:after="0"/>
        <w:rPr>
          <w:rFonts w:ascii="Arial" w:cs="Arial" w:eastAsia="Arial" w:hAnsi="Arial"/>
          <w:sz w:val="32"/>
          <w:szCs w:val="32"/>
          <w:color w:val="auto"/>
          <w:vertAlign w:val="subscript"/>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32"/>
          <w:szCs w:val="32"/>
          <w:color w:val="auto"/>
          <w:vertAlign w:val="subscript"/>
        </w:rPr>
      </w:pPr>
    </w:p>
    <w:p>
      <w:pPr>
        <w:ind w:left="660" w:right="7860" w:hanging="271"/>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1301 SHOREWAY ROAD, SUITE 350, BELMONT, CA, 94002</w:t>
      </w:r>
    </w:p>
    <w:p>
      <w:pPr>
        <w:spacing w:after="0" w:line="159" w:lineRule="exact"/>
        <w:rPr>
          <w:rFonts w:ascii="Arial" w:cs="Arial" w:eastAsia="Arial" w:hAnsi="Arial"/>
          <w:sz w:val="18"/>
          <w:szCs w:val="18"/>
          <w:color w:val="auto"/>
        </w:rPr>
      </w:pPr>
    </w:p>
    <w:p>
      <w:pPr>
        <w:ind w:left="660" w:hanging="2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36"/>
          <w:szCs w:val="36"/>
          <w:color w:val="auto"/>
          <w:vertAlign w:val="superscript"/>
        </w:rPr>
        <w:t>Citizenship</w:t>
      </w:r>
      <w:r>
        <w:rPr>
          <w:rFonts w:ascii="Arial" w:cs="Arial" w:eastAsia="Arial" w:hAnsi="Arial"/>
          <w:sz w:val="36"/>
          <w:szCs w:val="36"/>
          <w:color w:val="auto"/>
          <w:vertAlign w:val="subscript"/>
        </w:rPr>
        <w:t>USA</w:t>
      </w:r>
    </w:p>
    <w:p>
      <w:pPr>
        <w:spacing w:after="0" w:line="109" w:lineRule="exact"/>
        <w:rPr>
          <w:rFonts w:ascii="Arial" w:cs="Arial" w:eastAsia="Arial" w:hAnsi="Arial"/>
          <w:sz w:val="18"/>
          <w:szCs w:val="18"/>
          <w:color w:val="auto"/>
        </w:rPr>
      </w:pPr>
    </w:p>
    <w:p>
      <w:pPr>
        <w:ind w:left="660" w:hanging="271"/>
        <w:spacing w:after="0"/>
        <w:tabs>
          <w:tab w:leader="none" w:pos="660" w:val="left"/>
        </w:tabs>
        <w:numPr>
          <w:ilvl w:val="0"/>
          <w:numId w:val="6"/>
        </w:numPr>
        <w:rPr>
          <w:rFonts w:ascii="Arial" w:cs="Arial" w:eastAsia="Arial" w:hAnsi="Arial"/>
          <w:sz w:val="33"/>
          <w:szCs w:val="33"/>
          <w:color w:val="auto"/>
          <w:vertAlign w:val="subscript"/>
        </w:rPr>
      </w:pPr>
      <w:r>
        <w:rPr>
          <w:rFonts w:ascii="Arial" w:cs="Arial" w:eastAsia="Arial" w:hAnsi="Arial"/>
          <w:sz w:val="17"/>
          <w:szCs w:val="17"/>
          <w:color w:val="auto"/>
        </w:rPr>
        <w:t>Title of Class of Securities</w:t>
      </w:r>
    </w:p>
    <w:p>
      <w:pPr>
        <w:spacing w:after="0" w:line="1" w:lineRule="exact"/>
        <w:rPr>
          <w:rFonts w:ascii="Arial" w:cs="Arial" w:eastAsia="Arial" w:hAnsi="Arial"/>
          <w:sz w:val="33"/>
          <w:szCs w:val="33"/>
          <w:color w:val="auto"/>
          <w:vertAlign w:val="subscript"/>
        </w:rPr>
      </w:pPr>
    </w:p>
    <w:p>
      <w:pPr>
        <w:ind w:left="660"/>
        <w:spacing w:after="0"/>
        <w:rPr>
          <w:rFonts w:ascii="Arial" w:cs="Arial" w:eastAsia="Arial" w:hAnsi="Arial"/>
          <w:sz w:val="33"/>
          <w:szCs w:val="33"/>
          <w:color w:val="auto"/>
          <w:vertAlign w:val="subscript"/>
        </w:rPr>
      </w:pPr>
      <w:r>
        <w:rPr>
          <w:rFonts w:ascii="Arial" w:cs="Arial" w:eastAsia="Arial" w:hAnsi="Arial"/>
          <w:sz w:val="18"/>
          <w:szCs w:val="18"/>
          <w:color w:val="auto"/>
        </w:rPr>
        <w:t>COMMON SHARES</w:t>
      </w:r>
    </w:p>
    <w:p>
      <w:pPr>
        <w:spacing w:after="0" w:line="209" w:lineRule="exact"/>
        <w:rPr>
          <w:rFonts w:ascii="Arial" w:cs="Arial" w:eastAsia="Arial" w:hAnsi="Arial"/>
          <w:sz w:val="33"/>
          <w:szCs w:val="33"/>
          <w:color w:val="auto"/>
          <w:vertAlign w:val="subscript"/>
        </w:rPr>
      </w:pPr>
    </w:p>
    <w:p>
      <w:pPr>
        <w:ind w:left="660" w:right="9620" w:hanging="266"/>
        <w:spacing w:after="0" w:line="198" w:lineRule="auto"/>
        <w:tabs>
          <w:tab w:leader="none" w:pos="660" w:val="left"/>
        </w:tabs>
        <w:numPr>
          <w:ilvl w:val="0"/>
          <w:numId w:val="6"/>
        </w:numPr>
        <w:rPr>
          <w:rFonts w:ascii="Arial" w:cs="Arial" w:eastAsia="Arial" w:hAnsi="Arial"/>
          <w:sz w:val="31"/>
          <w:szCs w:val="31"/>
          <w:color w:val="auto"/>
          <w:vertAlign w:val="subscript"/>
        </w:rPr>
      </w:pPr>
      <w:r>
        <w:rPr>
          <w:rFonts w:ascii="Arial" w:cs="Arial" w:eastAsia="Arial" w:hAnsi="Arial"/>
          <w:sz w:val="16"/>
          <w:szCs w:val="16"/>
          <w:color w:val="auto"/>
        </w:rPr>
        <w:t>CUSIP Number 92337F107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720" w:hanging="32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 (15 U.S.C. 78o).</w:t>
      </w:r>
    </w:p>
    <w:p>
      <w:pPr>
        <w:spacing w:after="0" w:line="225" w:lineRule="exact"/>
        <w:rPr>
          <w:rFonts w:ascii="Arial" w:cs="Arial" w:eastAsia="Arial" w:hAnsi="Arial"/>
          <w:sz w:val="18"/>
          <w:szCs w:val="18"/>
          <w:color w:val="auto"/>
        </w:rPr>
      </w:pPr>
    </w:p>
    <w:p>
      <w:pPr>
        <w:ind w:left="720" w:hanging="331"/>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Bank as defined in section 3(a)(6) of the Act (15 U.S.C. 78c).</w:t>
      </w:r>
    </w:p>
    <w:p>
      <w:pPr>
        <w:spacing w:after="0" w:line="225" w:lineRule="exact"/>
        <w:rPr>
          <w:rFonts w:ascii="Arial" w:cs="Arial" w:eastAsia="Arial" w:hAnsi="Arial"/>
          <w:sz w:val="18"/>
          <w:szCs w:val="18"/>
          <w:color w:val="auto"/>
        </w:rPr>
      </w:pPr>
    </w:p>
    <w:p>
      <w:pPr>
        <w:ind w:left="720" w:hanging="32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 (15 U.S.C. 78c).</w:t>
      </w:r>
    </w:p>
    <w:p>
      <w:pPr>
        <w:spacing w:after="0" w:line="225" w:lineRule="exact"/>
        <w:rPr>
          <w:rFonts w:ascii="Arial" w:cs="Arial" w:eastAsia="Arial" w:hAnsi="Arial"/>
          <w:sz w:val="18"/>
          <w:szCs w:val="18"/>
          <w:color w:val="auto"/>
        </w:rPr>
      </w:pPr>
    </w:p>
    <w:p>
      <w:pPr>
        <w:ind w:left="720" w:hanging="331"/>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700" w:hanging="30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225" w:lineRule="exact"/>
        <w:rPr>
          <w:rFonts w:ascii="Arial" w:cs="Arial" w:eastAsia="Arial" w:hAnsi="Arial"/>
          <w:sz w:val="18"/>
          <w:szCs w:val="18"/>
          <w:color w:val="auto"/>
        </w:rPr>
      </w:pPr>
    </w:p>
    <w:p>
      <w:pPr>
        <w:ind w:left="720" w:hanging="31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§240.13d-1(b)(1)(ii)(F);</w:t>
      </w:r>
    </w:p>
    <w:p>
      <w:pPr>
        <w:spacing w:after="0" w:line="225" w:lineRule="exact"/>
        <w:rPr>
          <w:rFonts w:ascii="Arial" w:cs="Arial" w:eastAsia="Arial" w:hAnsi="Arial"/>
          <w:sz w:val="18"/>
          <w:szCs w:val="18"/>
          <w:color w:val="auto"/>
        </w:rPr>
      </w:pPr>
    </w:p>
    <w:p>
      <w:pPr>
        <w:ind w:left="720" w:hanging="331"/>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6 Pages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 [ ] A savings associations as defined in Section 3(b) of the Federal Deposit Insurance Act (12 U.S.C. 1813);</w:t>
      </w:r>
    </w:p>
    <w:p>
      <w:pPr>
        <w:spacing w:after="0" w:line="93" w:lineRule="exact"/>
        <w:rPr>
          <w:sz w:val="20"/>
          <w:szCs w:val="20"/>
          <w:color w:val="auto"/>
        </w:rPr>
      </w:pPr>
    </w:p>
    <w:p>
      <w:pPr>
        <w:ind w:left="980" w:hanging="571"/>
        <w:spacing w:after="0" w:line="223" w:lineRule="auto"/>
        <w:tabs>
          <w:tab w:leader="none" w:pos="713" w:val="left"/>
        </w:tabs>
        <w:numPr>
          <w:ilvl w:val="0"/>
          <w:numId w:val="8"/>
        </w:numPr>
        <w:rPr>
          <w:rFonts w:ascii="Arial" w:cs="Arial" w:eastAsia="Arial" w:hAnsi="Arial"/>
          <w:sz w:val="36"/>
          <w:szCs w:val="36"/>
          <w:color w:val="auto"/>
          <w:vertAlign w:val="subscript"/>
        </w:rPr>
      </w:pPr>
      <w:r>
        <w:rPr>
          <w:rFonts w:ascii="Arial" w:cs="Arial" w:eastAsia="Arial" w:hAnsi="Arial"/>
          <w:sz w:val="36"/>
          <w:szCs w:val="36"/>
          <w:color w:val="auto"/>
          <w:vertAlign w:val="subscript"/>
        </w:rPr>
        <w:t>[ ]</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203" w:lineRule="exact"/>
        <w:rPr>
          <w:rFonts w:ascii="Arial" w:cs="Arial" w:eastAsia="Arial" w:hAnsi="Arial"/>
          <w:sz w:val="36"/>
          <w:szCs w:val="36"/>
          <w:color w:val="auto"/>
          <w:vertAlign w:val="subscript"/>
        </w:rPr>
      </w:pPr>
    </w:p>
    <w:p>
      <w:pPr>
        <w:ind w:left="720" w:hanging="311"/>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 Group, in accordance with §240.13d-1(b)(1)(ii)(J).</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2,885,000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10.4%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2,885,000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2,885,000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6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rFonts w:ascii="Arial" w:cs="Arial" w:eastAsia="Arial" w:hAnsi="Arial"/>
          <w:sz w:val="18"/>
          <w:szCs w:val="18"/>
          <w:color w:val="auto"/>
        </w:rPr>
      </w:pPr>
    </w:p>
    <w:p>
      <w:pPr>
        <w:jc w:val="both"/>
        <w:ind w:left="660"/>
        <w:spacing w:after="0" w:line="312" w:lineRule="auto"/>
        <w:rPr>
          <w:rFonts w:ascii="Arial" w:cs="Arial" w:eastAsia="Arial" w:hAnsi="Arial"/>
          <w:sz w:val="18"/>
          <w:szCs w:val="18"/>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 w:name="page6"/>
    <w:bookmarkEnd w:id="5"/>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6 Pages</w:t>
      </w:r>
    </w:p>
    <w:p>
      <w:pPr>
        <w:sectPr>
          <w:pgSz w:w="11900" w:h="16838" w:orient="portrait"/>
          <w:cols w:equalWidth="0" w:num="1">
            <w:col w:w="11420"/>
          </w:cols>
          <w:pgMar w:left="240" w:top="233" w:right="239" w:bottom="144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05/06/2016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 Manfred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Manfred Yu, CCO &amp;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6" w:name="page7"/>
    <w:bookmarkEnd w:id="6"/>
    <w:p>
      <w:pPr>
        <w:spacing w:after="0"/>
        <w:tabs>
          <w:tab w:leader="none" w:pos="5540" w:val="left"/>
          <w:tab w:leader="none" w:pos="10120" w:val="left"/>
        </w:tabs>
        <w:rPr>
          <w:sz w:val="20"/>
          <w:szCs w:val="20"/>
          <w:color w:val="auto"/>
        </w:rPr>
      </w:pPr>
      <w:r>
        <w:rPr>
          <w:rFonts w:ascii="Arial" w:cs="Arial" w:eastAsia="Arial" w:hAnsi="Arial"/>
          <w:sz w:val="18"/>
          <w:szCs w:val="18"/>
          <w:color w:val="auto"/>
        </w:rPr>
        <w:t>CUSIP No. 92337F107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6 Pages</w:t>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abstractNum>
  <w:abstractNum w:abstractNumId="3">
    <w:nsid w:val="41B71EFB"/>
    <w:multiLevelType w:val="hybridMultilevel"/>
    <w:lvl w:ilvl="0">
      <w:lvlJc w:val="left"/>
      <w:lvlText w:val="%1."/>
      <w:numFmt w:val="decimal"/>
      <w:start w:val="10"/>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2019-12-08T13:32:53Z</dcterms:created>
  <dcterms:modified xsi:type="dcterms:W3CDTF">2019-12-08T13:32:53Z</dcterms:modified>
</cp:coreProperties>
</file>