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As filed with the Securities and Exchange Commission on February 27, 2018</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S-8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SECURITIES ACT OF 1933</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____________________</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36"/>
          <w:szCs w:val="36"/>
          <w:color w:val="auto"/>
        </w:rPr>
        <w:t>Veracyte,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10" w:lineRule="exact"/>
        <w:rPr>
          <w:sz w:val="24"/>
          <w:szCs w:val="24"/>
          <w:color w:val="auto"/>
        </w:rPr>
      </w:pPr>
    </w:p>
    <w:tbl>
      <w:tblPr>
        <w:tblLayout w:type="fixed"/>
        <w:tblInd w:w="120" w:type="dxa"/>
        <w:tblCellMar>
          <w:top w:w="0" w:type="dxa"/>
          <w:left w:w="0" w:type="dxa"/>
          <w:bottom w:w="0" w:type="dxa"/>
          <w:right w:w="0" w:type="dxa"/>
        </w:tblCellMar>
      </w:tblPr>
      <w:tr>
        <w:trPr>
          <w:trHeight w:val="216"/>
        </w:trPr>
        <w:tc>
          <w:tcPr>
            <w:tcW w:w="7400" w:type="dxa"/>
            <w:vAlign w:val="bottom"/>
          </w:tcPr>
          <w:p>
            <w:pPr>
              <w:jc w:val="center"/>
              <w:ind w:right="2030"/>
              <w:spacing w:after="0"/>
              <w:rPr>
                <w:sz w:val="20"/>
                <w:szCs w:val="20"/>
                <w:color w:val="auto"/>
              </w:rPr>
            </w:pPr>
            <w:r>
              <w:rPr>
                <w:rFonts w:ascii="Arial" w:cs="Arial" w:eastAsia="Arial" w:hAnsi="Arial"/>
                <w:sz w:val="18"/>
                <w:szCs w:val="18"/>
                <w:color w:val="auto"/>
                <w:w w:val="89"/>
              </w:rPr>
              <w:t>Delaware</w:t>
            </w:r>
          </w:p>
        </w:tc>
        <w:tc>
          <w:tcPr>
            <w:tcW w:w="1780" w:type="dxa"/>
            <w:vAlign w:val="bottom"/>
          </w:tcPr>
          <w:p>
            <w:pPr>
              <w:jc w:val="right"/>
              <w:ind w:right="150"/>
              <w:spacing w:after="0"/>
              <w:rPr>
                <w:sz w:val="20"/>
                <w:szCs w:val="20"/>
                <w:color w:val="auto"/>
              </w:rPr>
            </w:pPr>
            <w:r>
              <w:rPr>
                <w:rFonts w:ascii="Arial" w:cs="Arial" w:eastAsia="Arial" w:hAnsi="Arial"/>
                <w:sz w:val="18"/>
                <w:szCs w:val="18"/>
                <w:color w:val="auto"/>
              </w:rPr>
              <w:t>20-5455398</w:t>
            </w:r>
          </w:p>
        </w:tc>
      </w:tr>
      <w:tr>
        <w:trPr>
          <w:trHeight w:val="216"/>
        </w:trPr>
        <w:tc>
          <w:tcPr>
            <w:tcW w:w="7400" w:type="dxa"/>
            <w:vAlign w:val="bottom"/>
          </w:tcPr>
          <w:p>
            <w:pPr>
              <w:jc w:val="center"/>
              <w:ind w:right="2030"/>
              <w:spacing w:after="0"/>
              <w:rPr>
                <w:sz w:val="20"/>
                <w:szCs w:val="20"/>
                <w:color w:val="auto"/>
              </w:rPr>
            </w:pPr>
            <w:r>
              <w:rPr>
                <w:rFonts w:ascii="Arial" w:cs="Arial" w:eastAsia="Arial" w:hAnsi="Arial"/>
                <w:sz w:val="18"/>
                <w:szCs w:val="18"/>
                <w:color w:val="auto"/>
                <w:w w:val="92"/>
              </w:rPr>
              <w:t>(State or other jurisdiction of</w:t>
            </w:r>
          </w:p>
        </w:tc>
        <w:tc>
          <w:tcPr>
            <w:tcW w:w="1780" w:type="dxa"/>
            <w:vAlign w:val="bottom"/>
          </w:tcPr>
          <w:p>
            <w:pPr>
              <w:jc w:val="center"/>
              <w:ind w:left="390"/>
              <w:spacing w:after="0"/>
              <w:rPr>
                <w:sz w:val="20"/>
                <w:szCs w:val="20"/>
                <w:color w:val="auto"/>
              </w:rPr>
            </w:pPr>
            <w:r>
              <w:rPr>
                <w:rFonts w:ascii="Arial" w:cs="Arial" w:eastAsia="Arial" w:hAnsi="Arial"/>
                <w:sz w:val="18"/>
                <w:szCs w:val="18"/>
                <w:color w:val="auto"/>
                <w:w w:val="92"/>
              </w:rPr>
              <w:t>(I.R.S. Employer</w:t>
            </w:r>
          </w:p>
        </w:tc>
      </w:tr>
      <w:tr>
        <w:trPr>
          <w:trHeight w:val="230"/>
        </w:trPr>
        <w:tc>
          <w:tcPr>
            <w:tcW w:w="7400" w:type="dxa"/>
            <w:vAlign w:val="bottom"/>
          </w:tcPr>
          <w:p>
            <w:pPr>
              <w:jc w:val="center"/>
              <w:ind w:right="2030"/>
              <w:spacing w:after="0"/>
              <w:rPr>
                <w:sz w:val="20"/>
                <w:szCs w:val="20"/>
                <w:color w:val="auto"/>
              </w:rPr>
            </w:pPr>
            <w:r>
              <w:rPr>
                <w:rFonts w:ascii="Arial" w:cs="Arial" w:eastAsia="Arial" w:hAnsi="Arial"/>
                <w:sz w:val="18"/>
                <w:szCs w:val="18"/>
                <w:color w:val="auto"/>
                <w:w w:val="92"/>
              </w:rPr>
              <w:t>incorporation or organization)</w:t>
            </w:r>
          </w:p>
        </w:tc>
        <w:tc>
          <w:tcPr>
            <w:tcW w:w="1780" w:type="dxa"/>
            <w:vAlign w:val="bottom"/>
          </w:tcPr>
          <w:p>
            <w:pPr>
              <w:jc w:val="center"/>
              <w:ind w:left="350"/>
              <w:spacing w:after="0"/>
              <w:rPr>
                <w:sz w:val="20"/>
                <w:szCs w:val="20"/>
                <w:color w:val="auto"/>
              </w:rPr>
            </w:pPr>
            <w:r>
              <w:rPr>
                <w:rFonts w:ascii="Arial" w:cs="Arial" w:eastAsia="Arial" w:hAnsi="Arial"/>
                <w:sz w:val="18"/>
                <w:szCs w:val="18"/>
                <w:color w:val="auto"/>
                <w:w w:val="95"/>
              </w:rPr>
              <w:t>Identification No.)</w:t>
            </w:r>
          </w:p>
        </w:tc>
      </w:tr>
      <w:tr>
        <w:trPr>
          <w:trHeight w:val="472"/>
        </w:trPr>
        <w:tc>
          <w:tcPr>
            <w:tcW w:w="7400" w:type="dxa"/>
            <w:vAlign w:val="bottom"/>
          </w:tcPr>
          <w:p>
            <w:pPr>
              <w:jc w:val="center"/>
              <w:ind w:right="2030"/>
              <w:spacing w:after="0"/>
              <w:rPr>
                <w:sz w:val="20"/>
                <w:szCs w:val="20"/>
                <w:color w:val="auto"/>
              </w:rPr>
            </w:pPr>
            <w:r>
              <w:rPr>
                <w:rFonts w:ascii="Arial" w:cs="Arial" w:eastAsia="Arial" w:hAnsi="Arial"/>
                <w:sz w:val="18"/>
                <w:szCs w:val="18"/>
                <w:color w:val="auto"/>
                <w:w w:val="90"/>
              </w:rPr>
              <w:t>6000 Shoreline Court, Suite 300</w:t>
            </w:r>
          </w:p>
        </w:tc>
        <w:tc>
          <w:tcPr>
            <w:tcW w:w="1780" w:type="dxa"/>
            <w:vAlign w:val="bottom"/>
          </w:tcPr>
          <w:p>
            <w:pPr>
              <w:jc w:val="right"/>
              <w:ind w:right="370"/>
              <w:spacing w:after="0"/>
              <w:rPr>
                <w:sz w:val="20"/>
                <w:szCs w:val="20"/>
                <w:color w:val="auto"/>
              </w:rPr>
            </w:pPr>
            <w:r>
              <w:rPr>
                <w:rFonts w:ascii="Arial" w:cs="Arial" w:eastAsia="Arial" w:hAnsi="Arial"/>
                <w:sz w:val="18"/>
                <w:szCs w:val="18"/>
                <w:color w:val="auto"/>
              </w:rPr>
              <w:t>94080</w:t>
            </w:r>
          </w:p>
        </w:tc>
      </w:tr>
      <w:tr>
        <w:trPr>
          <w:trHeight w:val="230"/>
        </w:trPr>
        <w:tc>
          <w:tcPr>
            <w:tcW w:w="7400" w:type="dxa"/>
            <w:vAlign w:val="bottom"/>
          </w:tcPr>
          <w:p>
            <w:pPr>
              <w:jc w:val="center"/>
              <w:ind w:right="2030"/>
              <w:spacing w:after="0"/>
              <w:rPr>
                <w:sz w:val="20"/>
                <w:szCs w:val="20"/>
                <w:color w:val="auto"/>
              </w:rPr>
            </w:pPr>
            <w:r>
              <w:rPr>
                <w:rFonts w:ascii="Arial" w:cs="Arial" w:eastAsia="Arial" w:hAnsi="Arial"/>
                <w:sz w:val="18"/>
                <w:szCs w:val="18"/>
                <w:color w:val="auto"/>
                <w:w w:val="91"/>
              </w:rPr>
              <w:t>South San Francisco, California (Address of Principal Executive Offices)</w:t>
            </w:r>
          </w:p>
        </w:tc>
        <w:tc>
          <w:tcPr>
            <w:tcW w:w="1780" w:type="dxa"/>
            <w:vAlign w:val="bottom"/>
          </w:tcPr>
          <w:p>
            <w:pPr>
              <w:jc w:val="center"/>
              <w:ind w:left="330"/>
              <w:spacing w:after="0"/>
              <w:rPr>
                <w:sz w:val="20"/>
                <w:szCs w:val="20"/>
                <w:color w:val="auto"/>
              </w:rPr>
            </w:pPr>
            <w:r>
              <w:rPr>
                <w:rFonts w:ascii="Arial" w:cs="Arial" w:eastAsia="Arial" w:hAnsi="Arial"/>
                <w:sz w:val="18"/>
                <w:szCs w:val="18"/>
                <w:color w:val="auto"/>
                <w:w w:val="94"/>
              </w:rPr>
              <w:t>(Zip Code)</w:t>
            </w:r>
          </w:p>
        </w:tc>
      </w:tr>
      <w:tr>
        <w:trPr>
          <w:trHeight w:val="270"/>
        </w:trPr>
        <w:tc>
          <w:tcPr>
            <w:tcW w:w="7400" w:type="dxa"/>
            <w:vAlign w:val="bottom"/>
          </w:tcPr>
          <w:p>
            <w:pPr>
              <w:jc w:val="center"/>
              <w:ind w:left="3490"/>
              <w:spacing w:after="0"/>
              <w:rPr>
                <w:sz w:val="20"/>
                <w:szCs w:val="20"/>
                <w:color w:val="auto"/>
              </w:rPr>
            </w:pPr>
            <w:r>
              <w:rPr>
                <w:rFonts w:ascii="Arial" w:cs="Arial" w:eastAsia="Arial" w:hAnsi="Arial"/>
                <w:sz w:val="18"/>
                <w:szCs w:val="18"/>
                <w:color w:val="auto"/>
                <w:w w:val="90"/>
              </w:rPr>
              <w:t>Veracyte, Inc. 2013 Stock Incentive Plan</w:t>
            </w:r>
          </w:p>
        </w:tc>
        <w:tc>
          <w:tcPr>
            <w:tcW w:w="1780" w:type="dxa"/>
            <w:vAlign w:val="bottom"/>
          </w:tcPr>
          <w:p>
            <w:pPr>
              <w:spacing w:after="0"/>
              <w:rPr>
                <w:sz w:val="23"/>
                <w:szCs w:val="23"/>
                <w:color w:val="auto"/>
              </w:rPr>
            </w:pPr>
          </w:p>
        </w:tc>
      </w:tr>
      <w:tr>
        <w:trPr>
          <w:trHeight w:val="270"/>
        </w:trPr>
        <w:tc>
          <w:tcPr>
            <w:tcW w:w="7400" w:type="dxa"/>
            <w:vAlign w:val="bottom"/>
          </w:tcPr>
          <w:p>
            <w:pPr>
              <w:jc w:val="center"/>
              <w:ind w:left="3490"/>
              <w:spacing w:after="0"/>
              <w:rPr>
                <w:sz w:val="20"/>
                <w:szCs w:val="20"/>
                <w:color w:val="auto"/>
              </w:rPr>
            </w:pPr>
            <w:r>
              <w:rPr>
                <w:rFonts w:ascii="Arial" w:cs="Arial" w:eastAsia="Arial" w:hAnsi="Arial"/>
                <w:sz w:val="18"/>
                <w:szCs w:val="18"/>
                <w:color w:val="auto"/>
                <w:w w:val="94"/>
              </w:rPr>
              <w:t>(Full title of the plan)</w:t>
            </w:r>
          </w:p>
        </w:tc>
        <w:tc>
          <w:tcPr>
            <w:tcW w:w="1780" w:type="dxa"/>
            <w:vAlign w:val="bottom"/>
          </w:tcPr>
          <w:p>
            <w:pPr>
              <w:spacing w:after="0"/>
              <w:rPr>
                <w:sz w:val="23"/>
                <w:szCs w:val="23"/>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Bonnie H. Anderson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6000 Shoreline Court, Suite 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South San Francisco, California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address agent for service)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(650) 243-6300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Copies to:</w:t>
      </w:r>
    </w:p>
    <w:p>
      <w:pPr>
        <w:spacing w:after="0" w:line="49" w:lineRule="exact"/>
        <w:rPr>
          <w:sz w:val="24"/>
          <w:szCs w:val="24"/>
          <w:color w:val="auto"/>
        </w:rPr>
      </w:pPr>
    </w:p>
    <w:tbl>
      <w:tblPr>
        <w:tblLayout w:type="fixed"/>
        <w:tblInd w:w="1540" w:type="dxa"/>
        <w:tblCellMar>
          <w:top w:w="0" w:type="dxa"/>
          <w:left w:w="0" w:type="dxa"/>
          <w:bottom w:w="0" w:type="dxa"/>
          <w:right w:w="0" w:type="dxa"/>
        </w:tblCellMar>
      </w:tblPr>
      <w:tr>
        <w:trPr>
          <w:trHeight w:val="216"/>
        </w:trPr>
        <w:tc>
          <w:tcPr>
            <w:tcW w:w="4060" w:type="dxa"/>
            <w:vAlign w:val="bottom"/>
          </w:tcPr>
          <w:p>
            <w:pPr>
              <w:jc w:val="center"/>
              <w:ind w:right="1530"/>
              <w:spacing w:after="0"/>
              <w:rPr>
                <w:sz w:val="20"/>
                <w:szCs w:val="20"/>
                <w:color w:val="auto"/>
              </w:rPr>
            </w:pPr>
            <w:r>
              <w:rPr>
                <w:rFonts w:ascii="Arial" w:cs="Arial" w:eastAsia="Arial" w:hAnsi="Arial"/>
                <w:sz w:val="18"/>
                <w:szCs w:val="18"/>
                <w:color w:val="auto"/>
                <w:w w:val="89"/>
              </w:rPr>
              <w:t>Robert A. Freedman, Esq.</w:t>
            </w:r>
          </w:p>
        </w:tc>
        <w:tc>
          <w:tcPr>
            <w:tcW w:w="4420" w:type="dxa"/>
            <w:vAlign w:val="bottom"/>
          </w:tcPr>
          <w:p>
            <w:pPr>
              <w:jc w:val="center"/>
              <w:ind w:left="1530"/>
              <w:spacing w:after="0"/>
              <w:rPr>
                <w:sz w:val="20"/>
                <w:szCs w:val="20"/>
                <w:color w:val="auto"/>
              </w:rPr>
            </w:pPr>
            <w:r>
              <w:rPr>
                <w:rFonts w:ascii="Arial" w:cs="Arial" w:eastAsia="Arial" w:hAnsi="Arial"/>
                <w:sz w:val="18"/>
                <w:szCs w:val="18"/>
                <w:color w:val="auto"/>
                <w:w w:val="91"/>
              </w:rPr>
              <w:t>Keith S. Kennedy</w:t>
            </w:r>
          </w:p>
        </w:tc>
      </w:tr>
      <w:tr>
        <w:trPr>
          <w:trHeight w:val="216"/>
        </w:trPr>
        <w:tc>
          <w:tcPr>
            <w:tcW w:w="4060" w:type="dxa"/>
            <w:vAlign w:val="bottom"/>
          </w:tcPr>
          <w:p>
            <w:pPr>
              <w:jc w:val="center"/>
              <w:ind w:right="1510"/>
              <w:spacing w:after="0"/>
              <w:rPr>
                <w:sz w:val="20"/>
                <w:szCs w:val="20"/>
                <w:color w:val="auto"/>
              </w:rPr>
            </w:pPr>
            <w:r>
              <w:rPr>
                <w:rFonts w:ascii="Arial" w:cs="Arial" w:eastAsia="Arial" w:hAnsi="Arial"/>
                <w:sz w:val="18"/>
                <w:szCs w:val="18"/>
                <w:color w:val="auto"/>
                <w:w w:val="89"/>
              </w:rPr>
              <w:t>Ran Ben-Tzur, Esq.</w:t>
            </w:r>
          </w:p>
        </w:tc>
        <w:tc>
          <w:tcPr>
            <w:tcW w:w="4420" w:type="dxa"/>
            <w:vAlign w:val="bottom"/>
          </w:tcPr>
          <w:p>
            <w:pPr>
              <w:jc w:val="center"/>
              <w:ind w:left="1530"/>
              <w:spacing w:after="0"/>
              <w:rPr>
                <w:sz w:val="20"/>
                <w:szCs w:val="20"/>
                <w:color w:val="auto"/>
              </w:rPr>
            </w:pPr>
            <w:r>
              <w:rPr>
                <w:rFonts w:ascii="Arial" w:cs="Arial" w:eastAsia="Arial" w:hAnsi="Arial"/>
                <w:sz w:val="18"/>
                <w:szCs w:val="18"/>
                <w:color w:val="auto"/>
                <w:w w:val="94"/>
              </w:rPr>
              <w:t>Chief Financial Officer</w:t>
            </w:r>
          </w:p>
        </w:tc>
      </w:tr>
      <w:tr>
        <w:trPr>
          <w:trHeight w:val="216"/>
        </w:trPr>
        <w:tc>
          <w:tcPr>
            <w:tcW w:w="4060" w:type="dxa"/>
            <w:vAlign w:val="bottom"/>
          </w:tcPr>
          <w:p>
            <w:pPr>
              <w:jc w:val="center"/>
              <w:ind w:right="1530"/>
              <w:spacing w:after="0"/>
              <w:rPr>
                <w:sz w:val="20"/>
                <w:szCs w:val="20"/>
                <w:color w:val="auto"/>
              </w:rPr>
            </w:pPr>
            <w:r>
              <w:rPr>
                <w:rFonts w:ascii="Arial" w:cs="Arial" w:eastAsia="Arial" w:hAnsi="Arial"/>
                <w:sz w:val="18"/>
                <w:szCs w:val="18"/>
                <w:color w:val="auto"/>
                <w:w w:val="93"/>
              </w:rPr>
              <w:t>Fenwick &amp; West LLP</w:t>
            </w:r>
          </w:p>
        </w:tc>
        <w:tc>
          <w:tcPr>
            <w:tcW w:w="4420" w:type="dxa"/>
            <w:vAlign w:val="bottom"/>
          </w:tcPr>
          <w:p>
            <w:pPr>
              <w:jc w:val="center"/>
              <w:ind w:left="1530"/>
              <w:spacing w:after="0"/>
              <w:rPr>
                <w:sz w:val="20"/>
                <w:szCs w:val="20"/>
                <w:color w:val="auto"/>
              </w:rPr>
            </w:pPr>
            <w:r>
              <w:rPr>
                <w:rFonts w:ascii="Arial" w:cs="Arial" w:eastAsia="Arial" w:hAnsi="Arial"/>
                <w:sz w:val="18"/>
                <w:szCs w:val="18"/>
                <w:color w:val="auto"/>
                <w:w w:val="90"/>
              </w:rPr>
              <w:t>Veracyte, Inc.</w:t>
            </w:r>
          </w:p>
        </w:tc>
      </w:tr>
      <w:tr>
        <w:trPr>
          <w:trHeight w:val="216"/>
        </w:trPr>
        <w:tc>
          <w:tcPr>
            <w:tcW w:w="4060" w:type="dxa"/>
            <w:vAlign w:val="bottom"/>
          </w:tcPr>
          <w:p>
            <w:pPr>
              <w:jc w:val="center"/>
              <w:ind w:right="1510"/>
              <w:spacing w:after="0"/>
              <w:rPr>
                <w:sz w:val="20"/>
                <w:szCs w:val="20"/>
                <w:color w:val="auto"/>
              </w:rPr>
            </w:pPr>
            <w:r>
              <w:rPr>
                <w:rFonts w:ascii="Arial" w:cs="Arial" w:eastAsia="Arial" w:hAnsi="Arial"/>
                <w:sz w:val="18"/>
                <w:szCs w:val="18"/>
                <w:color w:val="auto"/>
                <w:w w:val="92"/>
              </w:rPr>
              <w:t>Silicon Valley Center</w:t>
            </w:r>
          </w:p>
        </w:tc>
        <w:tc>
          <w:tcPr>
            <w:tcW w:w="4420" w:type="dxa"/>
            <w:vAlign w:val="bottom"/>
          </w:tcPr>
          <w:p>
            <w:pPr>
              <w:jc w:val="center"/>
              <w:ind w:left="1530"/>
              <w:spacing w:after="0"/>
              <w:rPr>
                <w:sz w:val="20"/>
                <w:szCs w:val="20"/>
                <w:color w:val="auto"/>
              </w:rPr>
            </w:pPr>
            <w:r>
              <w:rPr>
                <w:rFonts w:ascii="Arial" w:cs="Arial" w:eastAsia="Arial" w:hAnsi="Arial"/>
                <w:sz w:val="18"/>
                <w:szCs w:val="18"/>
                <w:color w:val="auto"/>
                <w:w w:val="90"/>
              </w:rPr>
              <w:t>6000 Shoreline Court, Suite 300</w:t>
            </w:r>
          </w:p>
        </w:tc>
      </w:tr>
      <w:tr>
        <w:trPr>
          <w:trHeight w:val="216"/>
        </w:trPr>
        <w:tc>
          <w:tcPr>
            <w:tcW w:w="4060" w:type="dxa"/>
            <w:vAlign w:val="bottom"/>
          </w:tcPr>
          <w:p>
            <w:pPr>
              <w:jc w:val="center"/>
              <w:ind w:right="1530"/>
              <w:spacing w:after="0"/>
              <w:rPr>
                <w:sz w:val="20"/>
                <w:szCs w:val="20"/>
                <w:color w:val="auto"/>
              </w:rPr>
            </w:pPr>
            <w:r>
              <w:rPr>
                <w:rFonts w:ascii="Arial" w:cs="Arial" w:eastAsia="Arial" w:hAnsi="Arial"/>
                <w:sz w:val="18"/>
                <w:szCs w:val="18"/>
                <w:color w:val="auto"/>
                <w:w w:val="92"/>
              </w:rPr>
              <w:t>801 California Street</w:t>
            </w:r>
          </w:p>
        </w:tc>
        <w:tc>
          <w:tcPr>
            <w:tcW w:w="4420" w:type="dxa"/>
            <w:vAlign w:val="bottom"/>
          </w:tcPr>
          <w:p>
            <w:pPr>
              <w:jc w:val="center"/>
              <w:ind w:left="1530"/>
              <w:spacing w:after="0"/>
              <w:rPr>
                <w:sz w:val="20"/>
                <w:szCs w:val="20"/>
                <w:color w:val="auto"/>
              </w:rPr>
            </w:pPr>
            <w:r>
              <w:rPr>
                <w:rFonts w:ascii="Arial" w:cs="Arial" w:eastAsia="Arial" w:hAnsi="Arial"/>
                <w:sz w:val="18"/>
                <w:szCs w:val="18"/>
                <w:color w:val="auto"/>
                <w:w w:val="90"/>
              </w:rPr>
              <w:t>South San Francisco, California 94080</w:t>
            </w:r>
          </w:p>
        </w:tc>
      </w:tr>
      <w:tr>
        <w:trPr>
          <w:trHeight w:val="230"/>
        </w:trPr>
        <w:tc>
          <w:tcPr>
            <w:tcW w:w="4060" w:type="dxa"/>
            <w:vAlign w:val="bottom"/>
          </w:tcPr>
          <w:p>
            <w:pPr>
              <w:jc w:val="center"/>
              <w:ind w:right="1530"/>
              <w:spacing w:after="0"/>
              <w:rPr>
                <w:sz w:val="20"/>
                <w:szCs w:val="20"/>
                <w:color w:val="auto"/>
              </w:rPr>
            </w:pPr>
            <w:r>
              <w:rPr>
                <w:rFonts w:ascii="Arial" w:cs="Arial" w:eastAsia="Arial" w:hAnsi="Arial"/>
                <w:sz w:val="18"/>
                <w:szCs w:val="18"/>
                <w:color w:val="auto"/>
                <w:w w:val="94"/>
              </w:rPr>
              <w:t>Mountain View, California 94041</w:t>
            </w:r>
          </w:p>
        </w:tc>
        <w:tc>
          <w:tcPr>
            <w:tcW w:w="4420" w:type="dxa"/>
            <w:vAlign w:val="bottom"/>
          </w:tcPr>
          <w:p>
            <w:pPr>
              <w:jc w:val="center"/>
              <w:ind w:left="1530"/>
              <w:spacing w:after="0"/>
              <w:rPr>
                <w:sz w:val="20"/>
                <w:szCs w:val="20"/>
                <w:color w:val="auto"/>
              </w:rPr>
            </w:pPr>
            <w:r>
              <w:rPr>
                <w:rFonts w:ascii="Arial" w:cs="Arial" w:eastAsia="Arial" w:hAnsi="Arial"/>
                <w:sz w:val="18"/>
                <w:szCs w:val="18"/>
                <w:color w:val="auto"/>
                <w:w w:val="90"/>
              </w:rPr>
              <w:t>(650) 243-6300</w:t>
            </w:r>
          </w:p>
        </w:tc>
      </w:tr>
    </w:tbl>
    <w:p>
      <w:pPr>
        <w:spacing w:after="0" w:line="229"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60" w:type="dxa"/>
        <w:tblCellMar>
          <w:top w:w="0" w:type="dxa"/>
          <w:left w:w="0" w:type="dxa"/>
          <w:bottom w:w="0" w:type="dxa"/>
          <w:right w:w="0" w:type="dxa"/>
        </w:tblCellMar>
      </w:tblPr>
      <w:tr>
        <w:trPr>
          <w:trHeight w:val="270"/>
        </w:trPr>
        <w:tc>
          <w:tcPr>
            <w:tcW w:w="2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70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spacing w:after="0"/>
              <w:rPr>
                <w:sz w:val="23"/>
                <w:szCs w:val="23"/>
                <w:color w:val="auto"/>
              </w:rPr>
            </w:pPr>
          </w:p>
        </w:tc>
        <w:tc>
          <w:tcPr>
            <w:tcW w:w="3240" w:type="dxa"/>
            <w:vAlign w:val="bottom"/>
          </w:tcPr>
          <w:p>
            <w:pPr>
              <w:ind w:left="82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000" w:type="dxa"/>
            <w:vAlign w:val="bottom"/>
          </w:tcPr>
          <w:p>
            <w:pPr>
              <w:spacing w:after="0"/>
              <w:rPr>
                <w:sz w:val="20"/>
                <w:szCs w:val="20"/>
                <w:color w:val="auto"/>
              </w:rPr>
            </w:pPr>
            <w:r>
              <w:rPr>
                <w:rFonts w:ascii="Arial" w:cs="Arial" w:eastAsia="Arial" w:hAnsi="Arial"/>
                <w:sz w:val="18"/>
                <w:szCs w:val="18"/>
                <w:color w:val="auto"/>
              </w:rPr>
              <w:t>Non-accelerated filer</w:t>
            </w:r>
          </w:p>
        </w:tc>
        <w:tc>
          <w:tcPr>
            <w:tcW w:w="70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ind w:left="160"/>
              <w:spacing w:after="0"/>
              <w:rPr>
                <w:sz w:val="20"/>
                <w:szCs w:val="20"/>
                <w:color w:val="auto"/>
              </w:rPr>
            </w:pPr>
            <w:r>
              <w:rPr>
                <w:rFonts w:ascii="Arial" w:cs="Arial" w:eastAsia="Arial" w:hAnsi="Arial"/>
                <w:sz w:val="18"/>
                <w:szCs w:val="18"/>
                <w:color w:val="auto"/>
              </w:rPr>
              <w:t>(Do not check if a smaller reporting company)</w:t>
            </w:r>
          </w:p>
        </w:tc>
        <w:tc>
          <w:tcPr>
            <w:tcW w:w="3240" w:type="dxa"/>
            <w:vAlign w:val="bottom"/>
          </w:tcPr>
          <w:p>
            <w:pPr>
              <w:ind w:left="82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240" w:type="dxa"/>
            <w:vAlign w:val="bottom"/>
          </w:tcPr>
          <w:p>
            <w:pPr>
              <w:ind w:left="82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5" w:lineRule="exact"/>
        <w:rPr>
          <w:sz w:val="24"/>
          <w:szCs w:val="24"/>
          <w:color w:val="auto"/>
        </w:rPr>
      </w:pPr>
    </w:p>
    <w:p>
      <w:pPr>
        <w:ind w:right="200" w:firstLine="48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31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347980</wp:posOffset>
            </wp:positionH>
            <wp:positionV relativeFrom="paragraph">
              <wp:posOffset>114935</wp:posOffset>
            </wp:positionV>
            <wp:extent cx="65601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132080</wp:posOffset>
            </wp:positionV>
            <wp:extent cx="65601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60185" cy="8890"/>
                    </a:xfrm>
                    <a:prstGeom prst="rect">
                      <a:avLst/>
                    </a:prstGeom>
                    <a:noFill/>
                  </pic:spPr>
                </pic:pic>
              </a:graphicData>
            </a:graphic>
          </wp:anchor>
        </w:drawing>
      </w:r>
    </w:p>
    <w:p>
      <w:pPr>
        <w:spacing w:after="0" w:line="197" w:lineRule="exact"/>
        <w:rPr>
          <w:sz w:val="24"/>
          <w:szCs w:val="24"/>
          <w:color w:val="auto"/>
        </w:rPr>
      </w:pPr>
    </w:p>
    <w:tbl>
      <w:tblPr>
        <w:tblLayout w:type="fixed"/>
        <w:tblInd w:w="54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4"/>
                <w:szCs w:val="14"/>
                <w:color w:val="auto"/>
                <w:w w:val="90"/>
              </w:rPr>
              <w:t>Proposed</w:t>
            </w:r>
          </w:p>
        </w:tc>
        <w:tc>
          <w:tcPr>
            <w:tcW w:w="1440" w:type="dxa"/>
            <w:vAlign w:val="bottom"/>
          </w:tcPr>
          <w:p>
            <w:pPr>
              <w:spacing w:after="0"/>
              <w:rPr>
                <w:sz w:val="14"/>
                <w:szCs w:val="14"/>
                <w:color w:val="auto"/>
              </w:rPr>
            </w:pPr>
          </w:p>
        </w:tc>
      </w:tr>
      <w:tr>
        <w:trPr>
          <w:trHeight w:val="149"/>
        </w:trPr>
        <w:tc>
          <w:tcPr>
            <w:tcW w:w="3280" w:type="dxa"/>
            <w:vAlign w:val="bottom"/>
          </w:tcPr>
          <w:p>
            <w:pPr>
              <w:jc w:val="center"/>
              <w:spacing w:after="0" w:line="149" w:lineRule="exact"/>
              <w:rPr>
                <w:sz w:val="20"/>
                <w:szCs w:val="20"/>
                <w:color w:val="auto"/>
              </w:rPr>
            </w:pPr>
            <w:r>
              <w:rPr>
                <w:rFonts w:ascii="Arial" w:cs="Arial" w:eastAsia="Arial" w:hAnsi="Arial"/>
                <w:sz w:val="14"/>
                <w:szCs w:val="14"/>
                <w:color w:val="auto"/>
                <w:w w:val="96"/>
              </w:rPr>
              <w:t>Title of Securities</w:t>
            </w:r>
          </w:p>
        </w:tc>
        <w:tc>
          <w:tcPr>
            <w:tcW w:w="1740" w:type="dxa"/>
            <w:vAlign w:val="bottom"/>
          </w:tcPr>
          <w:p>
            <w:pPr>
              <w:jc w:val="center"/>
              <w:ind w:left="128"/>
              <w:spacing w:after="0" w:line="149" w:lineRule="exact"/>
              <w:rPr>
                <w:sz w:val="20"/>
                <w:szCs w:val="20"/>
                <w:color w:val="auto"/>
              </w:rPr>
            </w:pPr>
            <w:r>
              <w:rPr>
                <w:rFonts w:ascii="Arial" w:cs="Arial" w:eastAsia="Arial" w:hAnsi="Arial"/>
                <w:sz w:val="14"/>
                <w:szCs w:val="14"/>
                <w:color w:val="auto"/>
                <w:w w:val="96"/>
              </w:rPr>
              <w:t>Amount To</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95"/>
              </w:rPr>
              <w:t>Proposed Maximum Offering</w:t>
            </w:r>
          </w:p>
        </w:tc>
        <w:tc>
          <w:tcPr>
            <w:tcW w:w="18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5"/>
              </w:rPr>
              <w:t>Maximum Aggregate</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rPr>
              <w:t>Amount of</w:t>
            </w:r>
          </w:p>
        </w:tc>
      </w:tr>
      <w:tr>
        <w:trPr>
          <w:trHeight w:val="188"/>
        </w:trPr>
        <w:tc>
          <w:tcPr>
            <w:tcW w:w="3280" w:type="dxa"/>
            <w:vAlign w:val="bottom"/>
          </w:tcPr>
          <w:p>
            <w:pPr>
              <w:jc w:val="center"/>
              <w:spacing w:after="0"/>
              <w:rPr>
                <w:sz w:val="20"/>
                <w:szCs w:val="20"/>
                <w:color w:val="auto"/>
              </w:rPr>
            </w:pPr>
            <w:r>
              <w:rPr>
                <w:rFonts w:ascii="Arial" w:cs="Arial" w:eastAsia="Arial" w:hAnsi="Arial"/>
                <w:sz w:val="14"/>
                <w:szCs w:val="14"/>
                <w:color w:val="auto"/>
                <w:w w:val="91"/>
              </w:rPr>
              <w:t>To Be Registered</w:t>
            </w:r>
          </w:p>
        </w:tc>
        <w:tc>
          <w:tcPr>
            <w:tcW w:w="1740" w:type="dxa"/>
            <w:vAlign w:val="bottom"/>
          </w:tcPr>
          <w:p>
            <w:pPr>
              <w:jc w:val="center"/>
              <w:ind w:left="128"/>
              <w:spacing w:after="0"/>
              <w:rPr>
                <w:sz w:val="20"/>
                <w:szCs w:val="20"/>
                <w:color w:val="auto"/>
              </w:rPr>
            </w:pPr>
            <w:r>
              <w:rPr>
                <w:rFonts w:ascii="Arial" w:cs="Arial" w:eastAsia="Arial" w:hAnsi="Arial"/>
                <w:sz w:val="14"/>
                <w:szCs w:val="14"/>
                <w:color w:val="auto"/>
                <w:w w:val="92"/>
              </w:rPr>
              <w:t>Be Registered (1)</w:t>
            </w:r>
          </w:p>
        </w:tc>
        <w:tc>
          <w:tcPr>
            <w:tcW w:w="2040" w:type="dxa"/>
            <w:vAlign w:val="bottom"/>
          </w:tcPr>
          <w:p>
            <w:pPr>
              <w:jc w:val="center"/>
              <w:spacing w:after="0"/>
              <w:rPr>
                <w:sz w:val="20"/>
                <w:szCs w:val="20"/>
                <w:color w:val="auto"/>
              </w:rPr>
            </w:pPr>
            <w:r>
              <w:rPr>
                <w:rFonts w:ascii="Arial" w:cs="Arial" w:eastAsia="Arial" w:hAnsi="Arial"/>
                <w:sz w:val="14"/>
                <w:szCs w:val="14"/>
                <w:color w:val="auto"/>
                <w:w w:val="89"/>
              </w:rPr>
              <w:t>Price Per Share</w:t>
            </w:r>
          </w:p>
        </w:tc>
        <w:tc>
          <w:tcPr>
            <w:tcW w:w="184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Offering Price</w:t>
            </w: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Registration Fee</w:t>
            </w:r>
          </w:p>
        </w:tc>
      </w:tr>
      <w:tr>
        <w:trPr>
          <w:trHeight w:val="244"/>
        </w:trPr>
        <w:tc>
          <w:tcPr>
            <w:tcW w:w="32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Common stock, par value $0.001 per share</w:t>
            </w:r>
          </w:p>
        </w:tc>
        <w:tc>
          <w:tcPr>
            <w:tcW w:w="1740" w:type="dxa"/>
            <w:vAlign w:val="bottom"/>
            <w:tcBorders>
              <w:top w:val="single" w:sz="8" w:color="auto"/>
            </w:tcBorders>
          </w:tcPr>
          <w:p>
            <w:pPr>
              <w:jc w:val="center"/>
              <w:ind w:left="128"/>
              <w:spacing w:after="0"/>
              <w:rPr>
                <w:sz w:val="20"/>
                <w:szCs w:val="20"/>
                <w:color w:val="auto"/>
              </w:rPr>
            </w:pPr>
            <w:r>
              <w:rPr>
                <w:rFonts w:ascii="Arial" w:cs="Arial" w:eastAsia="Arial" w:hAnsi="Arial"/>
                <w:sz w:val="14"/>
                <w:szCs w:val="14"/>
                <w:color w:val="auto"/>
                <w:w w:val="90"/>
              </w:rPr>
              <w:t>1,368,159shares (2)</w:t>
            </w:r>
          </w:p>
        </w:tc>
        <w:tc>
          <w:tcPr>
            <w:tcW w:w="20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$5.68(3)</w:t>
            </w:r>
          </w:p>
        </w:tc>
        <w:tc>
          <w:tcPr>
            <w:tcW w:w="1640" w:type="dxa"/>
            <w:vAlign w:val="bottom"/>
            <w:tcBorders>
              <w:top w:val="single" w:sz="8" w:color="auto"/>
            </w:tcBorders>
          </w:tcPr>
          <w:p>
            <w:pPr>
              <w:jc w:val="center"/>
              <w:ind w:right="48"/>
              <w:spacing w:after="0"/>
              <w:rPr>
                <w:sz w:val="20"/>
                <w:szCs w:val="20"/>
                <w:color w:val="auto"/>
              </w:rPr>
            </w:pPr>
            <w:r>
              <w:rPr>
                <w:rFonts w:ascii="Arial" w:cs="Arial" w:eastAsia="Arial" w:hAnsi="Arial"/>
                <w:sz w:val="14"/>
                <w:szCs w:val="14"/>
                <w:color w:val="auto"/>
                <w:w w:val="91"/>
              </w:rPr>
              <w:t>$7,772,511</w:t>
            </w:r>
          </w:p>
        </w:tc>
        <w:tc>
          <w:tcPr>
            <w:tcW w:w="200" w:type="dxa"/>
            <w:vAlign w:val="bottom"/>
          </w:tcPr>
          <w:p>
            <w:pPr>
              <w:spacing w:after="0"/>
              <w:rPr>
                <w:sz w:val="21"/>
                <w:szCs w:val="21"/>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$968</w:t>
            </w:r>
          </w:p>
        </w:tc>
      </w:tr>
    </w:tbl>
    <w:p>
      <w:pPr>
        <w:sectPr>
          <w:pgSz w:w="11900" w:h="16838" w:orient="portrait"/>
          <w:cols w:equalWidth="0" w:num="1">
            <w:col w:w="11420"/>
          </w:cols>
          <w:pgMar w:left="240" w:top="692" w:right="239" w:bottom="1440" w:gutter="0" w:footer="0" w:header="0"/>
        </w:sectPr>
      </w:pPr>
    </w:p>
    <w:bookmarkStart w:id="1" w:name="page2"/>
    <w:bookmarkEnd w:id="1"/>
    <w:p>
      <w:pPr>
        <w:ind w:left="458" w:right="160" w:hanging="458"/>
        <w:spacing w:after="0" w:line="238" w:lineRule="auto"/>
        <w:tabs>
          <w:tab w:leader="none" w:pos="458"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416 of the Securities Act of 1933, as amended (the “Securities Act”), this registration statement also covers any additional securities that may be offered or become issuable under the 2013 Stock Incentive Plan in connection with any stock split, stock dividend, recapitalization or any other similar transaction effected without receipt of consideration, which results in an increase in the number of the Registrant’s outstanding shares of Common Stock.</w:t>
      </w:r>
    </w:p>
    <w:p>
      <w:pPr>
        <w:spacing w:after="0" w:line="20" w:lineRule="exact"/>
        <w:rPr>
          <w:rFonts w:ascii="Arial" w:cs="Arial" w:eastAsia="Arial" w:hAnsi="Arial"/>
          <w:sz w:val="14"/>
          <w:szCs w:val="14"/>
          <w:color w:val="auto"/>
        </w:rPr>
      </w:pPr>
    </w:p>
    <w:p>
      <w:pPr>
        <w:ind w:left="458" w:right="400" w:hanging="458"/>
        <w:spacing w:after="0" w:line="253" w:lineRule="auto"/>
        <w:tabs>
          <w:tab w:leader="none" w:pos="458" w:val="left"/>
        </w:tabs>
        <w:numPr>
          <w:ilvl w:val="0"/>
          <w:numId w:val="1"/>
        </w:numPr>
        <w:rPr>
          <w:rFonts w:ascii="Arial" w:cs="Arial" w:eastAsia="Arial" w:hAnsi="Arial"/>
          <w:sz w:val="14"/>
          <w:szCs w:val="14"/>
          <w:color w:val="auto"/>
        </w:rPr>
      </w:pPr>
      <w:r>
        <w:rPr>
          <w:rFonts w:ascii="Arial" w:cs="Arial" w:eastAsia="Arial" w:hAnsi="Arial"/>
          <w:sz w:val="14"/>
          <w:szCs w:val="14"/>
          <w:color w:val="auto"/>
        </w:rPr>
        <w:t>Represents additional shares of the Registrant’s common stock reserved for issuance under the Registrant’s 2013 Stock Incentive Plan, as amended (the “2013 Plan”), pursuant to the provisions of the 2013 Plan that provide for an automatic annual increase in the number of shares reserved for issuance under the 2013 Plan.</w:t>
      </w:r>
    </w:p>
    <w:p>
      <w:pPr>
        <w:spacing w:after="0" w:line="11" w:lineRule="exact"/>
        <w:rPr>
          <w:rFonts w:ascii="Arial" w:cs="Arial" w:eastAsia="Arial" w:hAnsi="Arial"/>
          <w:sz w:val="14"/>
          <w:szCs w:val="14"/>
          <w:color w:val="auto"/>
        </w:rPr>
      </w:pPr>
    </w:p>
    <w:p>
      <w:pPr>
        <w:ind w:left="458" w:hanging="458"/>
        <w:spacing w:after="0" w:line="253" w:lineRule="auto"/>
        <w:tabs>
          <w:tab w:leader="none" w:pos="458"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in accordance with Rules 457(h) and 457(c) under the Securities Act, solely for the purposes of calculating the registration fee, based on the average of the high and low prices of the Registrant’s Common Stock as reported on The Nasdaq Global Market on February 26, 2018.</w:t>
      </w:r>
    </w:p>
    <w:p>
      <w:pPr>
        <w:spacing w:after="0" w:line="57" w:lineRule="exact"/>
        <w:rPr>
          <w:sz w:val="20"/>
          <w:szCs w:val="20"/>
          <w:color w:val="auto"/>
        </w:rPr>
      </w:pPr>
    </w:p>
    <w:p>
      <w:pPr>
        <w:ind w:left="4758"/>
        <w:spacing w:after="0"/>
        <w:rPr>
          <w:sz w:val="20"/>
          <w:szCs w:val="20"/>
          <w:color w:val="auto"/>
        </w:rPr>
      </w:pPr>
      <w:r>
        <w:rPr>
          <w:rFonts w:ascii="Arial" w:cs="Arial" w:eastAsia="Arial" w:hAnsi="Arial"/>
          <w:sz w:val="18"/>
          <w:szCs w:val="18"/>
          <w:color w:val="auto"/>
        </w:rPr>
        <w:t>____________________</w:t>
      </w:r>
    </w:p>
    <w:p>
      <w:pPr>
        <w:sectPr>
          <w:pgSz w:w="11900" w:h="16838" w:orient="portrait"/>
          <w:cols w:equalWidth="0" w:num="1">
            <w:col w:w="11298"/>
          </w:cols>
          <w:pgMar w:left="302" w:top="742"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PROSPECTUS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Instruction E Information</w:t>
      </w:r>
    </w:p>
    <w:p>
      <w:pPr>
        <w:spacing w:after="0" w:line="229"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Pursuant to General Instruction E of Form S-8, Veracyte, Inc. (“Registrant”) is filing this Registration Statement on Form S-8 with the U.S. Securities and Exchange Commission (the “Commission”) to register 1,368,159 additional shares of the Registrant’s Common Stock for issuance under the Registrant’s 2013 Stock Incentive Plan, as amended (the “2013 Plan”), pursuant to the provisions of the 2013 Plan that provide for an automatic annual increase in the number of shares reserved for issuance under the 2013 Plan. The Registrant’s Registration Statements on Form S-8 filed with the Commission on October 30, 2013 (File No. 333-191992), March 30, 2015 (File No. 333-203097), March 14, 2016 (File No. 333-210185) and March 2, 2017 (File No.</w:t>
      </w:r>
    </w:p>
    <w:p>
      <w:pPr>
        <w:spacing w:after="0" w:line="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333-216388) excluding reports that the Registrant filed with the Commission that were incorporated into the Form S-8 Registration Statements in order to maintain current information about the Registrant, are hereby incorporated by reference into this Registration Statement pursuant to General Instruction E of Form S-8. In accordance with the instructional note to Part I of Form S-8 as promulgated by the Commission, the information specified by Part I of Form S-8 has been omitted from this Registration Statement.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documents filed by the Registrant with the Commission are hereby incorporated by reference in this Registration Statement:</w:t>
      </w:r>
    </w:p>
    <w:p>
      <w:pPr>
        <w:spacing w:after="0" w:line="237"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Annual Report on Form 10-K for the year ended December 31, 2017.</w:t>
      </w:r>
    </w:p>
    <w:p>
      <w:pPr>
        <w:spacing w:after="0" w:line="184"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other reports filed pursuant to Section 13(a) or 15(d) of the Exchange Act since the end of the fiscal year covered by the Registrant’s Annual Report referred to in (a) above (other than the portions of these documents not deemed to be filed);</w:t>
      </w:r>
    </w:p>
    <w:p>
      <w:pPr>
        <w:spacing w:after="0" w:line="129"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Registrant’s Common Stock contained in Registrant’s registration statement on Form 8-A, filed on October 28, 2013 pursuant to Section 12(b) of the Securities Exchange Act of 1934, as amended (the “Exchange Act”), including any amendment or report filed for the purpose of updating such description.</w:t>
      </w:r>
    </w:p>
    <w:p>
      <w:pPr>
        <w:spacing w:after="0" w:line="14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In addition, all documents filed by the Registrant pursuant to Section 13(a), 13(c), 14 or 15(d) of the Exchange Act (excluding any portions thereof furnished by the Registrant, including information furnished under Item 2.02 and Item 7.01 and any exhibits relating to Item 2.02 or Item 7.01 furnished under Item 9.01 of Form 8-K and any certification required by 18 U.S.C. § 1350),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Any statement contained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w:t>
      </w:r>
    </w:p>
    <w:p>
      <w:pPr>
        <w:sectPr>
          <w:pgSz w:w="11900" w:h="16838" w:orient="portrait"/>
          <w:cols w:equalWidth="0" w:num="1">
            <w:col w:w="11420"/>
          </w:cols>
          <w:pgMar w:left="240" w:top="1013" w:right="239" w:bottom="1440" w:gutter="0" w:footer="0" w:header="0"/>
        </w:sectPr>
      </w:pPr>
    </w:p>
    <w:bookmarkStart w:id="3" w:name="page4"/>
    <w:bookmarkEnd w:id="3"/>
    <w:tbl>
      <w:tblPr>
        <w:tblLayout w:type="fixed"/>
        <w:tblInd w:w="20" w:type="dxa"/>
        <w:tblCellMar>
          <w:top w:w="0" w:type="dxa"/>
          <w:left w:w="0" w:type="dxa"/>
          <w:bottom w:w="0" w:type="dxa"/>
          <w:right w:w="0" w:type="dxa"/>
        </w:tblCellMar>
      </w:tblPr>
      <w:tr>
        <w:trPr>
          <w:trHeight w:val="234"/>
        </w:trPr>
        <w:tc>
          <w:tcPr>
            <w:tcW w:w="1220" w:type="dxa"/>
            <w:vAlign w:val="bottom"/>
            <w:gridSpan w:val="2"/>
          </w:tcPr>
          <w:p>
            <w:pPr>
              <w:ind w:left="520"/>
              <w:spacing w:after="0"/>
              <w:rPr>
                <w:sz w:val="20"/>
                <w:szCs w:val="20"/>
                <w:color w:val="auto"/>
              </w:rPr>
            </w:pPr>
            <w:r>
              <w:rPr>
                <w:rFonts w:ascii="Arial" w:cs="Arial" w:eastAsia="Arial" w:hAnsi="Arial"/>
                <w:sz w:val="18"/>
                <w:szCs w:val="18"/>
                <w:b w:val="1"/>
                <w:bCs w:val="1"/>
                <w:color w:val="auto"/>
              </w:rPr>
              <w:t>Item 8.</w:t>
            </w:r>
          </w:p>
        </w:tc>
        <w:tc>
          <w:tcPr>
            <w:tcW w:w="4960" w:type="dxa"/>
            <w:vAlign w:val="bottom"/>
            <w:gridSpan w:val="10"/>
          </w:tcPr>
          <w:p>
            <w:pPr>
              <w:ind w:left="140"/>
              <w:spacing w:after="0"/>
              <w:rPr>
                <w:sz w:val="20"/>
                <w:szCs w:val="20"/>
                <w:color w:val="auto"/>
              </w:rPr>
            </w:pPr>
            <w:r>
              <w:rPr>
                <w:rFonts w:ascii="Arial" w:cs="Arial" w:eastAsia="Arial" w:hAnsi="Arial"/>
                <w:sz w:val="18"/>
                <w:szCs w:val="18"/>
                <w:b w:val="1"/>
                <w:bCs w:val="1"/>
                <w:color w:val="auto"/>
              </w:rPr>
              <w:t>Exhibits.</w:t>
            </w:r>
          </w:p>
        </w:tc>
        <w:tc>
          <w:tcPr>
            <w:tcW w:w="8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0" w:type="dxa"/>
            <w:vAlign w:val="bottom"/>
          </w:tcPr>
          <w:p>
            <w:pPr>
              <w:spacing w:after="0"/>
              <w:rPr>
                <w:sz w:val="23"/>
                <w:szCs w:val="23"/>
                <w:color w:val="auto"/>
              </w:rPr>
            </w:pPr>
          </w:p>
        </w:tc>
        <w:tc>
          <w:tcPr>
            <w:tcW w:w="5340" w:type="dxa"/>
            <w:vAlign w:val="bottom"/>
            <w:gridSpan w:val="11"/>
          </w:tcPr>
          <w:p>
            <w:pPr>
              <w:spacing w:after="0"/>
              <w:rPr>
                <w:sz w:val="20"/>
                <w:szCs w:val="20"/>
                <w:color w:val="auto"/>
              </w:rPr>
            </w:pPr>
            <w:r>
              <w:rPr>
                <w:rFonts w:ascii="Arial" w:cs="Arial" w:eastAsia="Arial" w:hAnsi="Arial"/>
                <w:sz w:val="18"/>
                <w:szCs w:val="18"/>
                <w:color w:val="auto"/>
              </w:rPr>
              <w:t>The following exhibits are filed herewith:</w:t>
            </w:r>
          </w:p>
        </w:tc>
        <w:tc>
          <w:tcPr>
            <w:tcW w:w="8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4"/>
        </w:trPr>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80" w:type="dxa"/>
            <w:vAlign w:val="bottom"/>
            <w:gridSpan w:val="2"/>
          </w:tcPr>
          <w:p>
            <w:pPr>
              <w:ind w:left="320"/>
              <w:spacing w:after="0"/>
              <w:rPr>
                <w:sz w:val="20"/>
                <w:szCs w:val="20"/>
                <w:color w:val="auto"/>
              </w:rPr>
            </w:pPr>
            <w:r>
              <w:rPr>
                <w:rFonts w:ascii="Arial" w:cs="Arial" w:eastAsia="Arial" w:hAnsi="Arial"/>
                <w:sz w:val="18"/>
                <w:szCs w:val="18"/>
                <w:color w:val="auto"/>
                <w:w w:val="91"/>
              </w:rPr>
              <w:t>Incorporated by Reference</w:t>
            </w: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40" w:type="dxa"/>
            <w:vAlign w:val="bottom"/>
            <w:vMerge w:val="restart"/>
          </w:tcPr>
          <w:p>
            <w:pPr>
              <w:ind w:left="140"/>
              <w:spacing w:after="0"/>
              <w:rPr>
                <w:sz w:val="20"/>
                <w:szCs w:val="20"/>
                <w:color w:val="auto"/>
              </w:rPr>
            </w:pPr>
            <w:r>
              <w:rPr>
                <w:rFonts w:ascii="Arial" w:cs="Arial" w:eastAsia="Arial" w:hAnsi="Arial"/>
                <w:sz w:val="18"/>
                <w:szCs w:val="18"/>
                <w:color w:val="auto"/>
              </w:rPr>
              <w:t>Exhibit</w:t>
            </w:r>
          </w:p>
        </w:tc>
        <w:tc>
          <w:tcPr>
            <w:tcW w:w="3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2"/>
              </w:rPr>
              <w:t>Filed</w:t>
            </w:r>
          </w:p>
        </w:tc>
        <w:tc>
          <w:tcPr>
            <w:tcW w:w="0" w:type="dxa"/>
            <w:vAlign w:val="bottom"/>
          </w:tcPr>
          <w:p>
            <w:pPr>
              <w:spacing w:after="0"/>
              <w:rPr>
                <w:sz w:val="1"/>
                <w:szCs w:val="1"/>
                <w:color w:val="auto"/>
              </w:rPr>
            </w:pPr>
          </w:p>
        </w:tc>
      </w:tr>
      <w:tr>
        <w:trPr>
          <w:trHeight w:val="209"/>
        </w:trPr>
        <w:tc>
          <w:tcPr>
            <w:tcW w:w="8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tcPr>
          <w:p>
            <w:pPr>
              <w:ind w:left="280"/>
              <w:spacing w:after="0"/>
              <w:rPr>
                <w:sz w:val="20"/>
                <w:szCs w:val="20"/>
                <w:color w:val="auto"/>
              </w:rPr>
            </w:pPr>
            <w:r>
              <w:rPr>
                <w:rFonts w:ascii="Arial" w:cs="Arial" w:eastAsia="Arial" w:hAnsi="Arial"/>
                <w:sz w:val="18"/>
                <w:szCs w:val="18"/>
                <w:color w:val="auto"/>
              </w:rPr>
              <w:t>No.</w:t>
            </w:r>
          </w:p>
        </w:tc>
        <w:tc>
          <w:tcPr>
            <w:tcW w:w="380" w:type="dxa"/>
            <w:vAlign w:val="bottom"/>
          </w:tcPr>
          <w:p>
            <w:pPr>
              <w:spacing w:after="0"/>
              <w:rPr>
                <w:sz w:val="20"/>
                <w:szCs w:val="20"/>
                <w:color w:val="auto"/>
              </w:rPr>
            </w:pPr>
          </w:p>
        </w:tc>
        <w:tc>
          <w:tcPr>
            <w:tcW w:w="4960" w:type="dxa"/>
            <w:vAlign w:val="bottom"/>
            <w:gridSpan w:val="10"/>
          </w:tcPr>
          <w:p>
            <w:pPr>
              <w:ind w:left="1860"/>
              <w:spacing w:after="0"/>
              <w:rPr>
                <w:sz w:val="20"/>
                <w:szCs w:val="20"/>
                <w:color w:val="auto"/>
              </w:rPr>
            </w:pPr>
            <w:r>
              <w:rPr>
                <w:rFonts w:ascii="Arial" w:cs="Arial" w:eastAsia="Arial" w:hAnsi="Arial"/>
                <w:sz w:val="18"/>
                <w:szCs w:val="18"/>
                <w:color w:val="auto"/>
              </w:rPr>
              <w:t>Description</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Form</w:t>
            </w:r>
          </w:p>
        </w:tc>
        <w:tc>
          <w:tcPr>
            <w:tcW w:w="1280" w:type="dxa"/>
            <w:vAlign w:val="bottom"/>
          </w:tcPr>
          <w:p>
            <w:pPr>
              <w:ind w:left="360"/>
              <w:spacing w:after="0"/>
              <w:rPr>
                <w:sz w:val="20"/>
                <w:szCs w:val="20"/>
                <w:color w:val="auto"/>
              </w:rPr>
            </w:pPr>
            <w:r>
              <w:rPr>
                <w:rFonts w:ascii="Arial" w:cs="Arial" w:eastAsia="Arial" w:hAnsi="Arial"/>
                <w:sz w:val="18"/>
                <w:szCs w:val="18"/>
                <w:color w:val="auto"/>
              </w:rPr>
              <w:t>File No.</w:t>
            </w:r>
          </w:p>
        </w:tc>
        <w:tc>
          <w:tcPr>
            <w:tcW w:w="1000" w:type="dxa"/>
            <w:vAlign w:val="bottom"/>
          </w:tcPr>
          <w:p>
            <w:pPr>
              <w:ind w:left="180"/>
              <w:spacing w:after="0"/>
              <w:rPr>
                <w:sz w:val="20"/>
                <w:szCs w:val="20"/>
                <w:color w:val="auto"/>
              </w:rPr>
            </w:pPr>
            <w:r>
              <w:rPr>
                <w:rFonts w:ascii="Arial" w:cs="Arial" w:eastAsia="Arial" w:hAnsi="Arial"/>
                <w:sz w:val="18"/>
                <w:szCs w:val="18"/>
                <w:color w:val="auto"/>
              </w:rPr>
              <w:t>Exhibit</w:t>
            </w:r>
          </w:p>
        </w:tc>
        <w:tc>
          <w:tcPr>
            <w:tcW w:w="1100" w:type="dxa"/>
            <w:vAlign w:val="bottom"/>
          </w:tcPr>
          <w:p>
            <w:pPr>
              <w:ind w:left="60"/>
              <w:spacing w:after="0"/>
              <w:rPr>
                <w:sz w:val="20"/>
                <w:szCs w:val="20"/>
                <w:color w:val="auto"/>
              </w:rPr>
            </w:pPr>
            <w:r>
              <w:rPr>
                <w:rFonts w:ascii="Arial" w:cs="Arial" w:eastAsia="Arial" w:hAnsi="Arial"/>
                <w:sz w:val="18"/>
                <w:szCs w:val="18"/>
                <w:color w:val="auto"/>
              </w:rPr>
              <w:t>Filing Date</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Herewith</w:t>
            </w:r>
          </w:p>
        </w:tc>
        <w:tc>
          <w:tcPr>
            <w:tcW w:w="0" w:type="dxa"/>
            <w:vAlign w:val="bottom"/>
          </w:tcPr>
          <w:p>
            <w:pPr>
              <w:spacing w:after="0"/>
              <w:rPr>
                <w:sz w:val="1"/>
                <w:szCs w:val="1"/>
                <w:color w:val="auto"/>
              </w:rPr>
            </w:pPr>
          </w:p>
        </w:tc>
      </w:tr>
      <w:tr>
        <w:trPr>
          <w:trHeight w:val="27"/>
        </w:trPr>
        <w:tc>
          <w:tcPr>
            <w:tcW w:w="8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40" w:type="dxa"/>
            <w:vAlign w:val="bottom"/>
          </w:tcPr>
          <w:p>
            <w:pPr>
              <w:ind w:left="20"/>
              <w:spacing w:after="0" w:line="196" w:lineRule="exact"/>
              <w:rPr>
                <w:sz w:val="20"/>
                <w:szCs w:val="20"/>
                <w:color w:val="auto"/>
              </w:rPr>
            </w:pPr>
            <w:r>
              <w:rPr>
                <w:rFonts w:ascii="Arial" w:cs="Arial" w:eastAsia="Arial" w:hAnsi="Arial"/>
                <w:sz w:val="18"/>
                <w:szCs w:val="18"/>
                <w:color w:val="auto"/>
              </w:rPr>
              <w:t>4.1</w:t>
            </w:r>
          </w:p>
        </w:tc>
        <w:tc>
          <w:tcPr>
            <w:tcW w:w="5340" w:type="dxa"/>
            <w:vAlign w:val="bottom"/>
            <w:gridSpan w:val="11"/>
          </w:tcPr>
          <w:p>
            <w:pPr>
              <w:spacing w:after="0" w:line="196" w:lineRule="exact"/>
              <w:rPr>
                <w:rFonts w:ascii="Arial" w:cs="Arial" w:eastAsia="Arial" w:hAnsi="Arial"/>
                <w:sz w:val="18"/>
                <w:szCs w:val="18"/>
                <w:color w:val="0000FF"/>
              </w:rPr>
            </w:pPr>
            <w:hyperlink r:id="rId10">
              <w:r>
                <w:rPr>
                  <w:rFonts w:ascii="Arial" w:cs="Arial" w:eastAsia="Arial" w:hAnsi="Arial"/>
                  <w:sz w:val="18"/>
                  <w:szCs w:val="18"/>
                  <w:color w:val="0000FF"/>
                </w:rPr>
                <w:t>Restated Certificate of Incorporation of the Registrant</w:t>
              </w:r>
            </w:hyperlink>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128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001-36156</w:t>
            </w:r>
          </w:p>
        </w:tc>
        <w:tc>
          <w:tcPr>
            <w:tcW w:w="100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87"/>
              </w:rPr>
              <w:t>3.1</w:t>
            </w:r>
          </w:p>
        </w:tc>
        <w:tc>
          <w:tcPr>
            <w:tcW w:w="1100" w:type="dxa"/>
            <w:vAlign w:val="bottom"/>
          </w:tcPr>
          <w:p>
            <w:pPr>
              <w:jc w:val="center"/>
              <w:ind w:right="50"/>
              <w:spacing w:after="0" w:line="196" w:lineRule="exact"/>
              <w:rPr>
                <w:sz w:val="20"/>
                <w:szCs w:val="20"/>
                <w:color w:val="auto"/>
              </w:rPr>
            </w:pPr>
            <w:r>
              <w:rPr>
                <w:rFonts w:ascii="Arial" w:cs="Arial" w:eastAsia="Arial" w:hAnsi="Arial"/>
                <w:sz w:val="18"/>
                <w:szCs w:val="18"/>
                <w:color w:val="auto"/>
                <w:w w:val="89"/>
              </w:rPr>
              <w:t>11/8/2013</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4.2</w:t>
            </w:r>
          </w:p>
        </w:tc>
        <w:tc>
          <w:tcPr>
            <w:tcW w:w="3880" w:type="dxa"/>
            <w:vAlign w:val="bottom"/>
            <w:tcBorders>
              <w:top w:val="single" w:sz="8" w:color="0000FF"/>
            </w:tcBorders>
            <w:gridSpan w:val="5"/>
          </w:tcPr>
          <w:p>
            <w:pPr>
              <w:spacing w:after="0"/>
              <w:rPr>
                <w:rFonts w:ascii="Arial" w:cs="Arial" w:eastAsia="Arial" w:hAnsi="Arial"/>
                <w:sz w:val="18"/>
                <w:szCs w:val="18"/>
                <w:color w:val="0000FF"/>
              </w:rPr>
            </w:pPr>
            <w:hyperlink r:id="rId11">
              <w:r>
                <w:rPr>
                  <w:rFonts w:ascii="Arial" w:cs="Arial" w:eastAsia="Arial" w:hAnsi="Arial"/>
                  <w:sz w:val="18"/>
                  <w:szCs w:val="18"/>
                  <w:color w:val="0000FF"/>
                </w:rPr>
                <w:t>Restated Bylaws of the Registrant</w:t>
              </w:r>
            </w:hyperlink>
          </w:p>
        </w:tc>
        <w:tc>
          <w:tcPr>
            <w:tcW w:w="1460" w:type="dxa"/>
            <w:vAlign w:val="bottom"/>
            <w:gridSpan w:val="6"/>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001-36156</w:t>
            </w:r>
          </w:p>
        </w:tc>
        <w:tc>
          <w:tcPr>
            <w:tcW w:w="1000" w:type="dxa"/>
            <w:vAlign w:val="bottom"/>
          </w:tcPr>
          <w:p>
            <w:pPr>
              <w:jc w:val="center"/>
              <w:ind w:right="10"/>
              <w:spacing w:after="0"/>
              <w:rPr>
                <w:sz w:val="20"/>
                <w:szCs w:val="20"/>
                <w:color w:val="auto"/>
              </w:rPr>
            </w:pPr>
            <w:r>
              <w:rPr>
                <w:rFonts w:ascii="Arial" w:cs="Arial" w:eastAsia="Arial" w:hAnsi="Arial"/>
                <w:sz w:val="18"/>
                <w:szCs w:val="18"/>
                <w:color w:val="auto"/>
                <w:w w:val="87"/>
              </w:rPr>
              <w:t>3.2</w:t>
            </w: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89"/>
              </w:rPr>
              <w:t>11/8/2013</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4.3</w:t>
            </w:r>
          </w:p>
        </w:tc>
        <w:tc>
          <w:tcPr>
            <w:tcW w:w="2560" w:type="dxa"/>
            <w:vAlign w:val="bottom"/>
            <w:tcBorders>
              <w:bottom w:val="single" w:sz="8" w:color="0000FF"/>
            </w:tcBorders>
            <w:gridSpan w:val="4"/>
          </w:tcPr>
          <w:p>
            <w:pPr>
              <w:spacing w:after="0"/>
              <w:rPr>
                <w:rFonts w:ascii="Arial" w:cs="Arial" w:eastAsia="Arial" w:hAnsi="Arial"/>
                <w:sz w:val="18"/>
                <w:szCs w:val="18"/>
                <w:color w:val="0000FF"/>
                <w:w w:val="91"/>
              </w:rPr>
            </w:pPr>
            <w:hyperlink r:id="rId12">
              <w:r>
                <w:rPr>
                  <w:rFonts w:ascii="Arial" w:cs="Arial" w:eastAsia="Arial" w:hAnsi="Arial"/>
                  <w:sz w:val="18"/>
                  <w:szCs w:val="18"/>
                  <w:color w:val="0000FF"/>
                  <w:w w:val="91"/>
                </w:rPr>
                <w:t>Form of Common Stock Certificate</w:t>
              </w:r>
            </w:hyperlink>
          </w:p>
        </w:tc>
        <w:tc>
          <w:tcPr>
            <w:tcW w:w="2780" w:type="dxa"/>
            <w:vAlign w:val="bottom"/>
            <w:gridSpan w:val="7"/>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333-191282</w:t>
            </w:r>
          </w:p>
        </w:tc>
        <w:tc>
          <w:tcPr>
            <w:tcW w:w="1000" w:type="dxa"/>
            <w:vAlign w:val="bottom"/>
          </w:tcPr>
          <w:p>
            <w:pPr>
              <w:jc w:val="center"/>
              <w:ind w:right="10"/>
              <w:spacing w:after="0"/>
              <w:rPr>
                <w:sz w:val="20"/>
                <w:szCs w:val="20"/>
                <w:color w:val="auto"/>
              </w:rPr>
            </w:pPr>
            <w:r>
              <w:rPr>
                <w:rFonts w:ascii="Arial" w:cs="Arial" w:eastAsia="Arial" w:hAnsi="Arial"/>
                <w:sz w:val="18"/>
                <w:szCs w:val="18"/>
                <w:color w:val="auto"/>
                <w:w w:val="87"/>
              </w:rPr>
              <w:t>4.1</w:t>
            </w:r>
          </w:p>
        </w:tc>
        <w:tc>
          <w:tcPr>
            <w:tcW w:w="1100" w:type="dxa"/>
            <w:vAlign w:val="bottom"/>
          </w:tcPr>
          <w:p>
            <w:pPr>
              <w:jc w:val="center"/>
              <w:ind w:right="70"/>
              <w:spacing w:after="0"/>
              <w:rPr>
                <w:sz w:val="20"/>
                <w:szCs w:val="20"/>
                <w:color w:val="auto"/>
              </w:rPr>
            </w:pPr>
            <w:r>
              <w:rPr>
                <w:rFonts w:ascii="Arial" w:cs="Arial" w:eastAsia="Arial" w:hAnsi="Arial"/>
                <w:sz w:val="18"/>
                <w:szCs w:val="18"/>
                <w:color w:val="auto"/>
                <w:w w:val="90"/>
              </w:rPr>
              <w:t>10/15/2013</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5.1</w:t>
            </w:r>
          </w:p>
        </w:tc>
        <w:tc>
          <w:tcPr>
            <w:tcW w:w="5340" w:type="dxa"/>
            <w:vAlign w:val="bottom"/>
            <w:gridSpan w:val="11"/>
          </w:tcPr>
          <w:p>
            <w:pPr>
              <w:spacing w:after="0"/>
              <w:rPr>
                <w:sz w:val="20"/>
                <w:szCs w:val="20"/>
                <w:color w:val="auto"/>
              </w:rPr>
            </w:pPr>
            <w:r>
              <w:rPr>
                <w:rFonts w:ascii="Arial" w:cs="Arial" w:eastAsia="Arial" w:hAnsi="Arial"/>
                <w:sz w:val="18"/>
                <w:szCs w:val="18"/>
                <w:color w:val="0000FF"/>
              </w:rPr>
              <w:t>Opinion of Fenwick &amp; West, LLP.</w:t>
            </w:r>
          </w:p>
        </w:tc>
        <w:tc>
          <w:tcPr>
            <w:tcW w:w="8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4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23.1</w:t>
            </w:r>
          </w:p>
        </w:tc>
        <w:tc>
          <w:tcPr>
            <w:tcW w:w="420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0"/>
              </w:rPr>
              <w:t>Consent of independent registered public accounting firm.</w:t>
            </w:r>
          </w:p>
        </w:tc>
        <w:tc>
          <w:tcPr>
            <w:tcW w:w="1140" w:type="dxa"/>
            <w:vAlign w:val="bottom"/>
            <w:gridSpan w:val="4"/>
          </w:tcPr>
          <w:p>
            <w:pPr>
              <w:spacing w:after="0"/>
              <w:rPr>
                <w:sz w:val="21"/>
                <w:szCs w:val="21"/>
                <w:color w:val="auto"/>
              </w:rPr>
            </w:pPr>
          </w:p>
        </w:tc>
        <w:tc>
          <w:tcPr>
            <w:tcW w:w="8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23.2</w:t>
            </w:r>
          </w:p>
        </w:tc>
        <w:tc>
          <w:tcPr>
            <w:tcW w:w="426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3"/>
              </w:rPr>
              <w:t>Consent of Fenwick &amp; West LLP (included in Exhibit 5.1).</w:t>
            </w:r>
          </w:p>
        </w:tc>
        <w:tc>
          <w:tcPr>
            <w:tcW w:w="1080" w:type="dxa"/>
            <w:vAlign w:val="bottom"/>
            <w:gridSpan w:val="3"/>
          </w:tcPr>
          <w:p>
            <w:pPr>
              <w:spacing w:after="0"/>
              <w:rPr>
                <w:sz w:val="21"/>
                <w:szCs w:val="21"/>
                <w:color w:val="auto"/>
              </w:rPr>
            </w:pPr>
          </w:p>
        </w:tc>
        <w:tc>
          <w:tcPr>
            <w:tcW w:w="8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24.1</w:t>
            </w:r>
          </w:p>
        </w:tc>
        <w:tc>
          <w:tcPr>
            <w:tcW w:w="406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Power of Attorney (contained on signature page hereto).</w:t>
              </w:r>
            </w:hyperlink>
          </w:p>
        </w:tc>
        <w:tc>
          <w:tcPr>
            <w:tcW w:w="1280" w:type="dxa"/>
            <w:vAlign w:val="bottom"/>
            <w:gridSpan w:val="5"/>
          </w:tcPr>
          <w:p>
            <w:pPr>
              <w:spacing w:after="0"/>
              <w:rPr>
                <w:sz w:val="21"/>
                <w:szCs w:val="21"/>
                <w:color w:val="auto"/>
              </w:rPr>
            </w:pPr>
          </w:p>
        </w:tc>
        <w:tc>
          <w:tcPr>
            <w:tcW w:w="8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99.1</w:t>
            </w:r>
          </w:p>
        </w:tc>
        <w:tc>
          <w:tcPr>
            <w:tcW w:w="5260" w:type="dxa"/>
            <w:vAlign w:val="bottom"/>
            <w:tcBorders>
              <w:bottom w:val="single" w:sz="8" w:color="0000FF"/>
            </w:tcBorders>
            <w:gridSpan w:val="10"/>
          </w:tcPr>
          <w:p>
            <w:pPr>
              <w:spacing w:after="0"/>
              <w:rPr>
                <w:rFonts w:ascii="Arial" w:cs="Arial" w:eastAsia="Arial" w:hAnsi="Arial"/>
                <w:sz w:val="18"/>
                <w:szCs w:val="18"/>
                <w:color w:val="0000FF"/>
                <w:w w:val="89"/>
              </w:rPr>
            </w:pPr>
            <w:hyperlink r:id="rId13">
              <w:r>
                <w:rPr>
                  <w:rFonts w:ascii="Arial" w:cs="Arial" w:eastAsia="Arial" w:hAnsi="Arial"/>
                  <w:sz w:val="18"/>
                  <w:szCs w:val="18"/>
                  <w:color w:val="0000FF"/>
                  <w:w w:val="89"/>
                </w:rPr>
                <w:t>2013 Stock Incentive Plan, as amended, and forms of stock option award</w:t>
              </w:r>
            </w:hyperlink>
          </w:p>
        </w:tc>
        <w:tc>
          <w:tcPr>
            <w:tcW w:w="8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001-36156</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10.3#</w:t>
            </w:r>
          </w:p>
        </w:tc>
        <w:tc>
          <w:tcPr>
            <w:tcW w:w="1100" w:type="dxa"/>
            <w:vAlign w:val="bottom"/>
          </w:tcPr>
          <w:p>
            <w:pPr>
              <w:jc w:val="center"/>
              <w:ind w:right="70"/>
              <w:spacing w:after="0"/>
              <w:rPr>
                <w:sz w:val="20"/>
                <w:szCs w:val="20"/>
                <w:color w:val="auto"/>
              </w:rPr>
            </w:pPr>
            <w:r>
              <w:rPr>
                <w:rFonts w:ascii="Arial" w:cs="Arial" w:eastAsia="Arial" w:hAnsi="Arial"/>
                <w:sz w:val="18"/>
                <w:szCs w:val="18"/>
                <w:color w:val="auto"/>
                <w:w w:val="92"/>
              </w:rPr>
              <w:t>2/27/2018</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5140" w:type="dxa"/>
            <w:vAlign w:val="bottom"/>
            <w:tcBorders>
              <w:bottom w:val="single" w:sz="8" w:color="0000FF"/>
            </w:tcBorders>
            <w:gridSpan w:val="9"/>
          </w:tcPr>
          <w:p>
            <w:pPr>
              <w:spacing w:after="0" w:line="196" w:lineRule="exact"/>
              <w:rPr>
                <w:rFonts w:ascii="Arial" w:cs="Arial" w:eastAsia="Arial" w:hAnsi="Arial"/>
                <w:sz w:val="18"/>
                <w:szCs w:val="18"/>
                <w:color w:val="0000FF"/>
                <w:w w:val="88"/>
              </w:rPr>
            </w:pPr>
            <w:hyperlink r:id="rId13">
              <w:r>
                <w:rPr>
                  <w:rFonts w:ascii="Arial" w:cs="Arial" w:eastAsia="Arial" w:hAnsi="Arial"/>
                  <w:sz w:val="18"/>
                  <w:szCs w:val="18"/>
                  <w:color w:val="0000FF"/>
                  <w:w w:val="88"/>
                </w:rPr>
                <w:t>agreement, stock option exercise agreement, restricted stock agreement</w:t>
              </w:r>
            </w:hyperlink>
          </w:p>
        </w:tc>
        <w:tc>
          <w:tcPr>
            <w:tcW w:w="20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5340" w:type="dxa"/>
            <w:vAlign w:val="bottom"/>
            <w:gridSpan w:val="11"/>
          </w:tcPr>
          <w:p>
            <w:pPr>
              <w:spacing w:after="0" w:line="196" w:lineRule="exact"/>
              <w:rPr>
                <w:rFonts w:ascii="Arial" w:cs="Arial" w:eastAsia="Arial" w:hAnsi="Arial"/>
                <w:sz w:val="18"/>
                <w:szCs w:val="18"/>
                <w:color w:val="0000FF"/>
              </w:rPr>
            </w:pPr>
            <w:hyperlink r:id="rId13">
              <w:r>
                <w:rPr>
                  <w:rFonts w:ascii="Arial" w:cs="Arial" w:eastAsia="Arial" w:hAnsi="Arial"/>
                  <w:sz w:val="18"/>
                  <w:szCs w:val="18"/>
                  <w:color w:val="0000FF"/>
                </w:rPr>
                <w:t>and restricted stock unit agreement.</w:t>
              </w:r>
            </w:hyperlink>
          </w:p>
        </w:tc>
        <w:tc>
          <w:tcPr>
            <w:tcW w:w="8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40"/>
        <w:spacing w:after="0"/>
        <w:tabs>
          <w:tab w:leader="none" w:pos="13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The undersigned Registrant hereby undertakes:</w:t>
      </w:r>
    </w:p>
    <w:p>
      <w:pPr>
        <w:spacing w:after="0" w:line="225" w:lineRule="exact"/>
        <w:rPr>
          <w:sz w:val="20"/>
          <w:szCs w:val="20"/>
          <w:color w:val="auto"/>
        </w:rPr>
      </w:pPr>
    </w:p>
    <w:p>
      <w:pPr>
        <w:ind w:left="700" w:hanging="260"/>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w:t>
      </w:r>
    </w:p>
    <w:p>
      <w:pPr>
        <w:spacing w:after="0" w:line="225" w:lineRule="exact"/>
        <w:rPr>
          <w:sz w:val="20"/>
          <w:szCs w:val="20"/>
          <w:color w:val="auto"/>
        </w:rPr>
      </w:pPr>
    </w:p>
    <w:p>
      <w:pPr>
        <w:jc w:val="both"/>
        <w:ind w:firstLine="440"/>
        <w:spacing w:after="0" w:line="273" w:lineRule="auto"/>
        <w:tabs>
          <w:tab w:leader="none" w:pos="723"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78" w:lineRule="exact"/>
        <w:rPr>
          <w:rFonts w:ascii="Arial" w:cs="Arial" w:eastAsia="Arial" w:hAnsi="Arial"/>
          <w:sz w:val="17"/>
          <w:szCs w:val="17"/>
          <w:color w:val="auto"/>
        </w:rPr>
      </w:pPr>
    </w:p>
    <w:p>
      <w:pPr>
        <w:ind w:firstLine="440"/>
        <w:spacing w:after="0" w:line="277" w:lineRule="auto"/>
        <w:tabs>
          <w:tab w:leader="none" w:pos="756"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provided, however, that paragraphs (a)(1)(i) and (a)(1)(ii) of this section shall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spacing w:after="0" w:line="181" w:lineRule="exact"/>
        <w:rPr>
          <w:sz w:val="20"/>
          <w:szCs w:val="20"/>
          <w:color w:val="auto"/>
        </w:rPr>
      </w:pPr>
    </w:p>
    <w:p>
      <w:pPr>
        <w:jc w:val="both"/>
        <w:ind w:firstLine="440"/>
        <w:spacing w:after="0" w:line="264" w:lineRule="auto"/>
        <w:tabs>
          <w:tab w:leader="none" w:pos="71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firstLine="440"/>
        <w:spacing w:after="0" w:line="277" w:lineRule="auto"/>
        <w:tabs>
          <w:tab w:leader="none" w:pos="694"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sz w:val="20"/>
          <w:szCs w:val="20"/>
          <w:color w:val="auto"/>
        </w:rPr>
      </w:pPr>
    </w:p>
    <w:p>
      <w:pPr>
        <w:jc w:val="both"/>
        <w:ind w:firstLine="440"/>
        <w:spacing w:after="0" w:line="264" w:lineRule="auto"/>
        <w:tabs>
          <w:tab w:leader="none" w:pos="69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w:t>
      </w:r>
    </w:p>
    <w:p>
      <w:pPr>
        <w:sectPr>
          <w:pgSz w:w="11900" w:h="16838" w:orient="portrait"/>
          <w:cols w:equalWidth="0" w:num="1">
            <w:col w:w="11420"/>
          </w:cols>
          <w:pgMar w:left="240" w:top="958" w:right="239" w:bottom="1440" w:gutter="0" w:footer="0" w:header="0"/>
        </w:sectPr>
      </w:pPr>
    </w:p>
    <w:bookmarkStart w:id="4" w:name="page5"/>
    <w:bookmarkEnd w:id="4"/>
    <w:p>
      <w:pPr>
        <w:spacing w:after="0" w:line="277" w:lineRule="auto"/>
        <w:rPr>
          <w:sz w:val="20"/>
          <w:szCs w:val="20"/>
          <w:color w:val="auto"/>
        </w:rPr>
      </w:pPr>
      <w:r>
        <w:rPr>
          <w:rFonts w:ascii="Arial" w:cs="Arial" w:eastAsia="Arial" w:hAnsi="Arial"/>
          <w:sz w:val="18"/>
          <w:szCs w:val="18"/>
          <w:color w:val="auto"/>
        </w:rPr>
        <w:t>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0" w:lineRule="exact"/>
        <w:rPr>
          <w:sz w:val="20"/>
          <w:szCs w:val="20"/>
          <w:color w:val="auto"/>
        </w:rPr>
      </w:pPr>
    </w:p>
    <w:p>
      <w:pPr>
        <w:jc w:val="both"/>
        <w:ind w:firstLine="440"/>
        <w:spacing w:after="0" w:line="291" w:lineRule="auto"/>
        <w:tabs>
          <w:tab w:leader="none" w:pos="703" w:val="left"/>
        </w:tabs>
        <w:numPr>
          <w:ilvl w:val="0"/>
          <w:numId w:val="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ectPr>
          <w:pgSz w:w="11900" w:h="16838" w:orient="portrait"/>
          <w:cols w:equalWidth="0" w:num="1">
            <w:col w:w="11420"/>
          </w:cols>
          <w:pgMar w:left="240" w:top="800"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South San Francisco, State of California, on the 27th day of February, 2018.</w:t>
      </w:r>
    </w:p>
    <w:p>
      <w:pPr>
        <w:spacing w:after="0" w:line="12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VERACYTE, INC.</w:t>
      </w:r>
    </w:p>
    <w:p>
      <w:pPr>
        <w:spacing w:after="0" w:line="63" w:lineRule="exact"/>
        <w:rPr>
          <w:sz w:val="20"/>
          <w:szCs w:val="20"/>
          <w:color w:val="auto"/>
        </w:rPr>
      </w:pPr>
    </w:p>
    <w:p>
      <w:pPr>
        <w:ind w:left="6060"/>
        <w:spacing w:after="0"/>
        <w:tabs>
          <w:tab w:leader="none" w:pos="6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31750</wp:posOffset>
            </wp:positionV>
            <wp:extent cx="30270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Bonnie H. Anderson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18"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POWER OF ATTORNEY</w:t>
      </w:r>
    </w:p>
    <w:p>
      <w:pPr>
        <w:spacing w:after="0" w:line="27"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Bonnie H. Anderson and Keith S. Kennedy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on Form S-8,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attorneys-in-fact and agents, or his or her substitute or substitutes may lawfully do or cause to be done by virtue hereof.</w:t>
      </w:r>
    </w:p>
    <w:p>
      <w:pPr>
        <w:spacing w:after="0" w:line="16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14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90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1640" w:type="dxa"/>
            <w:vAlign w:val="bottom"/>
            <w:gridSpan w:val="3"/>
          </w:tcPr>
          <w:p>
            <w:pPr>
              <w:jc w:val="center"/>
              <w:ind w:left="23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14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561"/>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5"/>
              </w:rPr>
              <w:t>/s/ BONNIE H. ANDERSON</w:t>
            </w:r>
          </w:p>
        </w:tc>
        <w:tc>
          <w:tcPr>
            <w:tcW w:w="5520" w:type="dxa"/>
            <w:vAlign w:val="bottom"/>
            <w:gridSpan w:val="3"/>
          </w:tcPr>
          <w:p>
            <w:pPr>
              <w:ind w:left="260"/>
              <w:spacing w:after="0"/>
              <w:rPr>
                <w:sz w:val="20"/>
                <w:szCs w:val="20"/>
                <w:color w:val="auto"/>
              </w:rPr>
            </w:pPr>
            <w:r>
              <w:rPr>
                <w:rFonts w:ascii="Arial" w:cs="Arial" w:eastAsia="Arial" w:hAnsi="Arial"/>
                <w:sz w:val="18"/>
                <w:szCs w:val="18"/>
                <w:color w:val="auto"/>
                <w:w w:val="99"/>
              </w:rPr>
              <w:t>Chairman and Chief Executive Officer (Principal Executive Officer)</w:t>
            </w:r>
          </w:p>
        </w:tc>
        <w:tc>
          <w:tcPr>
            <w:tcW w:w="1640" w:type="dxa"/>
            <w:vAlign w:val="bottom"/>
            <w:gridSpan w:val="3"/>
          </w:tcPr>
          <w:p>
            <w:pPr>
              <w:jc w:val="center"/>
              <w:ind w:left="230"/>
              <w:spacing w:after="0"/>
              <w:rPr>
                <w:sz w:val="20"/>
                <w:szCs w:val="20"/>
                <w:color w:val="auto"/>
              </w:rPr>
            </w:pPr>
            <w:r>
              <w:rPr>
                <w:rFonts w:ascii="Arial" w:cs="Arial" w:eastAsia="Arial" w:hAnsi="Arial"/>
                <w:sz w:val="18"/>
                <w:szCs w:val="18"/>
                <w:color w:val="auto"/>
                <w:w w:val="89"/>
              </w:rPr>
              <w:t>February 27, 2018</w:t>
            </w:r>
          </w:p>
        </w:tc>
      </w:tr>
      <w:tr>
        <w:trPr>
          <w:trHeight w:val="27"/>
        </w:trPr>
        <w:tc>
          <w:tcPr>
            <w:tcW w:w="1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1"/>
              </w:rPr>
              <w:t>Bonnie H. Anderson</w:t>
            </w:r>
          </w:p>
        </w:tc>
        <w:tc>
          <w:tcPr>
            <w:tcW w:w="2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392"/>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7"/>
              </w:rPr>
              <w:t>/s/ KEITH S. KENNEDY</w:t>
            </w:r>
          </w:p>
        </w:tc>
        <w:tc>
          <w:tcPr>
            <w:tcW w:w="5520" w:type="dxa"/>
            <w:vAlign w:val="bottom"/>
            <w:gridSpan w:val="3"/>
          </w:tcPr>
          <w:p>
            <w:pPr>
              <w:ind w:left="260"/>
              <w:spacing w:after="0"/>
              <w:rPr>
                <w:sz w:val="20"/>
                <w:szCs w:val="20"/>
                <w:color w:val="auto"/>
              </w:rPr>
            </w:pPr>
            <w:r>
              <w:rPr>
                <w:rFonts w:ascii="Arial" w:cs="Arial" w:eastAsia="Arial" w:hAnsi="Arial"/>
                <w:sz w:val="18"/>
                <w:szCs w:val="18"/>
                <w:color w:val="auto"/>
                <w:w w:val="99"/>
              </w:rPr>
              <w:t>Chief Financial Officer (Principal Financial and Accounting Officer)</w:t>
            </w:r>
          </w:p>
        </w:tc>
        <w:tc>
          <w:tcPr>
            <w:tcW w:w="1640" w:type="dxa"/>
            <w:vAlign w:val="bottom"/>
            <w:gridSpan w:val="3"/>
          </w:tcPr>
          <w:p>
            <w:pPr>
              <w:jc w:val="center"/>
              <w:ind w:left="230"/>
              <w:spacing w:after="0"/>
              <w:rPr>
                <w:sz w:val="20"/>
                <w:szCs w:val="20"/>
                <w:color w:val="auto"/>
              </w:rPr>
            </w:pPr>
            <w:r>
              <w:rPr>
                <w:rFonts w:ascii="Arial" w:cs="Arial" w:eastAsia="Arial" w:hAnsi="Arial"/>
                <w:sz w:val="18"/>
                <w:szCs w:val="18"/>
                <w:color w:val="auto"/>
                <w:w w:val="89"/>
              </w:rPr>
              <w:t>February 27, 2018</w:t>
            </w:r>
          </w:p>
        </w:tc>
      </w:tr>
      <w:tr>
        <w:trPr>
          <w:trHeight w:val="27"/>
        </w:trPr>
        <w:tc>
          <w:tcPr>
            <w:tcW w:w="1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1"/>
              </w:rPr>
              <w:t>Keith S. Kennedy</w:t>
            </w:r>
          </w:p>
        </w:tc>
        <w:tc>
          <w:tcPr>
            <w:tcW w:w="2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392"/>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3"/>
              </w:rPr>
              <w:t>/s/ JOHN L. BISHOP</w:t>
            </w:r>
          </w:p>
        </w:tc>
        <w:tc>
          <w:tcPr>
            <w:tcW w:w="5520" w:type="dxa"/>
            <w:vAlign w:val="bottom"/>
            <w:gridSpan w:val="3"/>
          </w:tcPr>
          <w:p>
            <w:pPr>
              <w:ind w:left="260"/>
              <w:spacing w:after="0"/>
              <w:rPr>
                <w:sz w:val="20"/>
                <w:szCs w:val="20"/>
                <w:color w:val="auto"/>
              </w:rPr>
            </w:pPr>
            <w:r>
              <w:rPr>
                <w:rFonts w:ascii="Arial" w:cs="Arial" w:eastAsia="Arial" w:hAnsi="Arial"/>
                <w:sz w:val="18"/>
                <w:szCs w:val="18"/>
                <w:color w:val="auto"/>
              </w:rPr>
              <w:t>Lead Independent Director</w:t>
            </w:r>
          </w:p>
        </w:tc>
        <w:tc>
          <w:tcPr>
            <w:tcW w:w="1640" w:type="dxa"/>
            <w:vAlign w:val="bottom"/>
            <w:gridSpan w:val="3"/>
          </w:tcPr>
          <w:p>
            <w:pPr>
              <w:jc w:val="center"/>
              <w:ind w:left="230"/>
              <w:spacing w:after="0"/>
              <w:rPr>
                <w:sz w:val="20"/>
                <w:szCs w:val="20"/>
                <w:color w:val="auto"/>
              </w:rPr>
            </w:pPr>
            <w:r>
              <w:rPr>
                <w:rFonts w:ascii="Arial" w:cs="Arial" w:eastAsia="Arial" w:hAnsi="Arial"/>
                <w:sz w:val="18"/>
                <w:szCs w:val="18"/>
                <w:color w:val="auto"/>
                <w:w w:val="89"/>
              </w:rPr>
              <w:t>February 27, 2018</w:t>
            </w:r>
          </w:p>
        </w:tc>
      </w:tr>
      <w:tr>
        <w:trPr>
          <w:trHeight w:val="27"/>
        </w:trPr>
        <w:tc>
          <w:tcPr>
            <w:tcW w:w="1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0"/>
              </w:rPr>
              <w:t>John L. Bishop</w:t>
            </w:r>
          </w:p>
        </w:tc>
        <w:tc>
          <w:tcPr>
            <w:tcW w:w="2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392"/>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5"/>
              </w:rPr>
              <w:t>/s/ FRED E. COHEN, M.D., D.PHIL.</w:t>
            </w:r>
          </w:p>
        </w:tc>
        <w:tc>
          <w:tcPr>
            <w:tcW w:w="552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640" w:type="dxa"/>
            <w:vAlign w:val="bottom"/>
            <w:gridSpan w:val="3"/>
          </w:tcPr>
          <w:p>
            <w:pPr>
              <w:jc w:val="center"/>
              <w:ind w:left="230"/>
              <w:spacing w:after="0"/>
              <w:rPr>
                <w:sz w:val="20"/>
                <w:szCs w:val="20"/>
                <w:color w:val="auto"/>
              </w:rPr>
            </w:pPr>
            <w:r>
              <w:rPr>
                <w:rFonts w:ascii="Arial" w:cs="Arial" w:eastAsia="Arial" w:hAnsi="Arial"/>
                <w:sz w:val="18"/>
                <w:szCs w:val="18"/>
                <w:color w:val="auto"/>
                <w:w w:val="89"/>
              </w:rPr>
              <w:t>February 27, 2018</w:t>
            </w:r>
          </w:p>
        </w:tc>
      </w:tr>
      <w:tr>
        <w:trPr>
          <w:trHeight w:val="27"/>
        </w:trPr>
        <w:tc>
          <w:tcPr>
            <w:tcW w:w="1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2"/>
              </w:rPr>
              <w:t>Fred E. Cohen, M.D., D.Phil.</w:t>
            </w:r>
          </w:p>
        </w:tc>
        <w:tc>
          <w:tcPr>
            <w:tcW w:w="2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392"/>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9"/>
              </w:rPr>
              <w:t>/s/ KARIN EASTHAM</w:t>
            </w:r>
          </w:p>
        </w:tc>
        <w:tc>
          <w:tcPr>
            <w:tcW w:w="552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640" w:type="dxa"/>
            <w:vAlign w:val="bottom"/>
            <w:gridSpan w:val="3"/>
          </w:tcPr>
          <w:p>
            <w:pPr>
              <w:jc w:val="center"/>
              <w:ind w:left="230"/>
              <w:spacing w:after="0"/>
              <w:rPr>
                <w:sz w:val="20"/>
                <w:szCs w:val="20"/>
                <w:color w:val="auto"/>
              </w:rPr>
            </w:pPr>
            <w:r>
              <w:rPr>
                <w:rFonts w:ascii="Arial" w:cs="Arial" w:eastAsia="Arial" w:hAnsi="Arial"/>
                <w:sz w:val="18"/>
                <w:szCs w:val="18"/>
                <w:color w:val="auto"/>
                <w:w w:val="89"/>
              </w:rPr>
              <w:t>February 27, 2018</w:t>
            </w:r>
          </w:p>
        </w:tc>
      </w:tr>
      <w:tr>
        <w:trPr>
          <w:trHeight w:val="27"/>
        </w:trPr>
        <w:tc>
          <w:tcPr>
            <w:tcW w:w="1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1"/>
              </w:rPr>
              <w:t>Karin Eastham</w:t>
            </w:r>
          </w:p>
        </w:tc>
        <w:tc>
          <w:tcPr>
            <w:tcW w:w="2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392"/>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2"/>
              </w:rPr>
              <w:t>/s/ ROBERT S. EPSTEIN</w:t>
            </w:r>
          </w:p>
        </w:tc>
        <w:tc>
          <w:tcPr>
            <w:tcW w:w="552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640" w:type="dxa"/>
            <w:vAlign w:val="bottom"/>
            <w:gridSpan w:val="3"/>
          </w:tcPr>
          <w:p>
            <w:pPr>
              <w:jc w:val="center"/>
              <w:ind w:left="230"/>
              <w:spacing w:after="0"/>
              <w:rPr>
                <w:sz w:val="20"/>
                <w:szCs w:val="20"/>
                <w:color w:val="auto"/>
              </w:rPr>
            </w:pPr>
            <w:r>
              <w:rPr>
                <w:rFonts w:ascii="Arial" w:cs="Arial" w:eastAsia="Arial" w:hAnsi="Arial"/>
                <w:sz w:val="18"/>
                <w:szCs w:val="18"/>
                <w:color w:val="auto"/>
                <w:w w:val="89"/>
              </w:rPr>
              <w:t>February 27, 2018</w:t>
            </w:r>
          </w:p>
        </w:tc>
      </w:tr>
      <w:tr>
        <w:trPr>
          <w:trHeight w:val="27"/>
        </w:trPr>
        <w:tc>
          <w:tcPr>
            <w:tcW w:w="1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0"/>
              </w:rPr>
              <w:t>Robert S. Epstein</w:t>
            </w:r>
          </w:p>
        </w:tc>
        <w:tc>
          <w:tcPr>
            <w:tcW w:w="2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392"/>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6"/>
              </w:rPr>
              <w:t>/s/ KEVIN K. GORDON</w:t>
            </w:r>
          </w:p>
        </w:tc>
        <w:tc>
          <w:tcPr>
            <w:tcW w:w="552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640" w:type="dxa"/>
            <w:vAlign w:val="bottom"/>
            <w:gridSpan w:val="3"/>
          </w:tcPr>
          <w:p>
            <w:pPr>
              <w:jc w:val="center"/>
              <w:ind w:left="230"/>
              <w:spacing w:after="0"/>
              <w:rPr>
                <w:sz w:val="20"/>
                <w:szCs w:val="20"/>
                <w:color w:val="auto"/>
              </w:rPr>
            </w:pPr>
            <w:r>
              <w:rPr>
                <w:rFonts w:ascii="Arial" w:cs="Arial" w:eastAsia="Arial" w:hAnsi="Arial"/>
                <w:sz w:val="18"/>
                <w:szCs w:val="18"/>
                <w:color w:val="auto"/>
                <w:w w:val="89"/>
              </w:rPr>
              <w:t>February 27, 2018</w:t>
            </w:r>
          </w:p>
        </w:tc>
      </w:tr>
      <w:tr>
        <w:trPr>
          <w:trHeight w:val="27"/>
        </w:trPr>
        <w:tc>
          <w:tcPr>
            <w:tcW w:w="1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3"/>
              </w:rPr>
              <w:t>Kevin K. Gordon</w:t>
            </w:r>
          </w:p>
        </w:tc>
        <w:tc>
          <w:tcPr>
            <w:tcW w:w="2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392"/>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2"/>
              </w:rPr>
              <w:t>/s/ EVAN JONES</w:t>
            </w:r>
          </w:p>
        </w:tc>
        <w:tc>
          <w:tcPr>
            <w:tcW w:w="552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640" w:type="dxa"/>
            <w:vAlign w:val="bottom"/>
            <w:gridSpan w:val="3"/>
          </w:tcPr>
          <w:p>
            <w:pPr>
              <w:jc w:val="center"/>
              <w:ind w:left="230"/>
              <w:spacing w:after="0"/>
              <w:rPr>
                <w:sz w:val="20"/>
                <w:szCs w:val="20"/>
                <w:color w:val="auto"/>
              </w:rPr>
            </w:pPr>
            <w:r>
              <w:rPr>
                <w:rFonts w:ascii="Arial" w:cs="Arial" w:eastAsia="Arial" w:hAnsi="Arial"/>
                <w:sz w:val="18"/>
                <w:szCs w:val="18"/>
                <w:color w:val="auto"/>
                <w:w w:val="89"/>
              </w:rPr>
              <w:t>February 27, 2018</w:t>
            </w:r>
          </w:p>
        </w:tc>
      </w:tr>
      <w:tr>
        <w:trPr>
          <w:trHeight w:val="27"/>
        </w:trPr>
        <w:tc>
          <w:tcPr>
            <w:tcW w:w="1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85"/>
              </w:rPr>
              <w:t>Evan Jones</w:t>
            </w:r>
          </w:p>
        </w:tc>
        <w:tc>
          <w:tcPr>
            <w:tcW w:w="2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392"/>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5"/>
              </w:rPr>
              <w:t>/s/ TINA S. NOVA, PH.D.</w:t>
            </w:r>
          </w:p>
        </w:tc>
        <w:tc>
          <w:tcPr>
            <w:tcW w:w="552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640" w:type="dxa"/>
            <w:vAlign w:val="bottom"/>
            <w:gridSpan w:val="3"/>
          </w:tcPr>
          <w:p>
            <w:pPr>
              <w:jc w:val="center"/>
              <w:ind w:left="230"/>
              <w:spacing w:after="0"/>
              <w:rPr>
                <w:sz w:val="20"/>
                <w:szCs w:val="20"/>
                <w:color w:val="auto"/>
              </w:rPr>
            </w:pPr>
            <w:r>
              <w:rPr>
                <w:rFonts w:ascii="Arial" w:cs="Arial" w:eastAsia="Arial" w:hAnsi="Arial"/>
                <w:sz w:val="18"/>
                <w:szCs w:val="18"/>
                <w:color w:val="auto"/>
                <w:w w:val="89"/>
              </w:rPr>
              <w:t>February 27, 2018</w:t>
            </w:r>
          </w:p>
        </w:tc>
      </w:tr>
      <w:tr>
        <w:trPr>
          <w:trHeight w:val="27"/>
        </w:trPr>
        <w:tc>
          <w:tcPr>
            <w:tcW w:w="1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0"/>
              </w:rPr>
              <w:t>Tina S. Nova, Ph.D.</w:t>
            </w:r>
          </w:p>
        </w:tc>
        <w:tc>
          <w:tcPr>
            <w:tcW w:w="2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392"/>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2"/>
              </w:rPr>
              <w:t>/s/ JESSE I. TREU, PH.D.</w:t>
            </w:r>
          </w:p>
        </w:tc>
        <w:tc>
          <w:tcPr>
            <w:tcW w:w="552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640" w:type="dxa"/>
            <w:vAlign w:val="bottom"/>
            <w:gridSpan w:val="3"/>
          </w:tcPr>
          <w:p>
            <w:pPr>
              <w:jc w:val="center"/>
              <w:ind w:left="230"/>
              <w:spacing w:after="0"/>
              <w:rPr>
                <w:sz w:val="20"/>
                <w:szCs w:val="20"/>
                <w:color w:val="auto"/>
              </w:rPr>
            </w:pPr>
            <w:r>
              <w:rPr>
                <w:rFonts w:ascii="Arial" w:cs="Arial" w:eastAsia="Arial" w:hAnsi="Arial"/>
                <w:sz w:val="18"/>
                <w:szCs w:val="18"/>
                <w:color w:val="auto"/>
                <w:w w:val="89"/>
              </w:rPr>
              <w:t>February 27, 2018</w:t>
            </w:r>
          </w:p>
        </w:tc>
      </w:tr>
      <w:tr>
        <w:trPr>
          <w:trHeight w:val="27"/>
        </w:trPr>
        <w:tc>
          <w:tcPr>
            <w:tcW w:w="1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87"/>
              </w:rPr>
              <w:t>Jesse I. Treu, Ph.D.</w:t>
            </w:r>
          </w:p>
        </w:tc>
        <w:tc>
          <w:tcPr>
            <w:tcW w:w="2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r>
    </w:tbl>
    <w:p>
      <w:pPr>
        <w:sectPr>
          <w:pgSz w:w="11900" w:h="16838" w:orient="portrait"/>
          <w:cols w:equalWidth="0" w:num="1">
            <w:col w:w="11420"/>
          </w:cols>
          <w:pgMar w:left="240" w:top="580" w:right="239" w:bottom="1440" w:gutter="0" w:footer="0" w:header="0"/>
        </w:sectPr>
      </w:pPr>
    </w:p>
    <w:bookmarkStart w:id="6" w:name="page7"/>
    <w:bookmarkEnd w:id="6"/>
    <w:p>
      <w:pPr>
        <w:ind w:left="10280"/>
        <w:spacing w:after="0"/>
        <w:rPr>
          <w:sz w:val="20"/>
          <w:szCs w:val="20"/>
          <w:color w:val="auto"/>
        </w:rPr>
      </w:pPr>
      <w:r>
        <w:rPr>
          <w:rFonts w:ascii="Arial" w:cs="Arial" w:eastAsia="Arial" w:hAnsi="Arial"/>
          <w:sz w:val="20"/>
          <w:szCs w:val="20"/>
          <w:b w:val="1"/>
          <w:bCs w:val="1"/>
          <w:u w:val="single" w:color="auto"/>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297180</wp:posOffset>
            </wp:positionV>
            <wp:extent cx="3618865" cy="969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3618865" cy="96901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0"/>
        <w:spacing w:after="0"/>
        <w:tabs>
          <w:tab w:leader="none" w:pos="4920" w:val="left"/>
        </w:tabs>
        <w:rPr>
          <w:sz w:val="20"/>
          <w:szCs w:val="20"/>
          <w:color w:val="auto"/>
        </w:rPr>
      </w:pPr>
      <w:r>
        <w:rPr>
          <w:rFonts w:ascii="Arial" w:cs="Arial" w:eastAsia="Arial" w:hAnsi="Arial"/>
          <w:sz w:val="14"/>
          <w:szCs w:val="14"/>
          <w:color w:val="auto"/>
        </w:rPr>
        <w:t>Robert A. Freedman</w:t>
      </w:r>
      <w:r>
        <w:rPr>
          <w:sz w:val="20"/>
          <w:szCs w:val="20"/>
          <w:color w:val="auto"/>
        </w:rPr>
        <w:tab/>
      </w:r>
      <w:r>
        <w:rPr>
          <w:rFonts w:ascii="Arial" w:cs="Arial" w:eastAsia="Arial" w:hAnsi="Arial"/>
          <w:sz w:val="16"/>
          <w:szCs w:val="16"/>
          <w:color w:val="auto"/>
        </w:rPr>
        <w:t>February 27, 2018</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0"/>
          <w:szCs w:val="20"/>
          <w:color w:val="auto"/>
        </w:rPr>
        <w:t>Veracyte,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6000 Shoreline Court, Suite 300</w:t>
      </w:r>
    </w:p>
    <w:p>
      <w:pPr>
        <w:spacing w:after="0"/>
        <w:rPr>
          <w:sz w:val="20"/>
          <w:szCs w:val="20"/>
          <w:color w:val="auto"/>
        </w:rPr>
      </w:pPr>
      <w:r>
        <w:rPr>
          <w:rFonts w:ascii="Arial" w:cs="Arial" w:eastAsia="Arial" w:hAnsi="Arial"/>
          <w:sz w:val="20"/>
          <w:szCs w:val="20"/>
          <w:color w:val="auto"/>
        </w:rPr>
        <w:t>South San Francisco, California 94080</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auto"/>
        </w:rPr>
        <w:t>Email rfreedman@fenwick.com</w:t>
      </w:r>
    </w:p>
    <w:p>
      <w:pPr>
        <w:spacing w:after="0" w:line="200" w:lineRule="exact"/>
        <w:rPr>
          <w:sz w:val="20"/>
          <w:szCs w:val="20"/>
          <w:color w:val="auto"/>
        </w:rPr>
      </w:pPr>
    </w:p>
    <w:p>
      <w:pPr>
        <w:spacing w:after="0" w:line="231"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Direct Dial (650) 335-7292</w:t>
      </w:r>
    </w:p>
    <w:p>
      <w:pPr>
        <w:spacing w:after="0" w:line="2026" w:lineRule="exact"/>
        <w:rPr>
          <w:sz w:val="20"/>
          <w:szCs w:val="20"/>
          <w:color w:val="auto"/>
        </w:rPr>
      </w:pPr>
    </w:p>
    <w:p>
      <w:pPr>
        <w:sectPr>
          <w:pgSz w:w="11900" w:h="16838" w:orient="portrait"/>
          <w:cols w:equalWidth="0" w:num="2">
            <w:col w:w="8820" w:space="720"/>
            <w:col w:w="1880"/>
          </w:cols>
          <w:pgMar w:left="240" w:top="873" w:right="239" w:bottom="1440" w:gutter="0" w:footer="0" w:header="0"/>
          <w:type w:val="continuous"/>
        </w:sectPr>
      </w:pPr>
    </w:p>
    <w:p>
      <w:pPr>
        <w:spacing w:after="0" w:line="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At your request, as your counsel, we have examined the Registration Statement on Form S-8 (the “</w:t>
      </w:r>
      <w:r>
        <w:rPr>
          <w:rFonts w:ascii="Arial" w:cs="Arial" w:eastAsia="Arial" w:hAnsi="Arial"/>
          <w:sz w:val="20"/>
          <w:szCs w:val="20"/>
          <w:b w:val="1"/>
          <w:bCs w:val="1"/>
          <w:i w:val="1"/>
          <w:iCs w:val="1"/>
          <w:color w:val="auto"/>
        </w:rPr>
        <w:t>Registration Statement</w:t>
      </w:r>
      <w:r>
        <w:rPr>
          <w:rFonts w:ascii="Arial" w:cs="Arial" w:eastAsia="Arial" w:hAnsi="Arial"/>
          <w:sz w:val="20"/>
          <w:szCs w:val="20"/>
          <w:color w:val="auto"/>
        </w:rPr>
        <w:t>”) to be filed by Veracyte, Inc., a Delaware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with the Securities and Exchange Commission (the “</w:t>
      </w:r>
      <w:r>
        <w:rPr>
          <w:rFonts w:ascii="Arial" w:cs="Arial" w:eastAsia="Arial" w:hAnsi="Arial"/>
          <w:sz w:val="20"/>
          <w:szCs w:val="20"/>
          <w:b w:val="1"/>
          <w:bCs w:val="1"/>
          <w:i w:val="1"/>
          <w:iCs w:val="1"/>
          <w:color w:val="auto"/>
        </w:rPr>
        <w:t>Commission</w:t>
      </w:r>
      <w:r>
        <w:rPr>
          <w:rFonts w:ascii="Arial" w:cs="Arial" w:eastAsia="Arial" w:hAnsi="Arial"/>
          <w:sz w:val="20"/>
          <w:szCs w:val="20"/>
          <w:color w:val="auto"/>
        </w:rPr>
        <w:t>”) on or about February 27, 2018 in connection with the registration under the Securities Act of 1933, as amended (the “</w:t>
      </w:r>
      <w:r>
        <w:rPr>
          <w:rFonts w:ascii="Arial" w:cs="Arial" w:eastAsia="Arial" w:hAnsi="Arial"/>
          <w:sz w:val="20"/>
          <w:szCs w:val="20"/>
          <w:b w:val="1"/>
          <w:bCs w:val="1"/>
          <w:i w:val="1"/>
          <w:iCs w:val="1"/>
          <w:color w:val="auto"/>
        </w:rPr>
        <w:t>Securities Act</w:t>
      </w:r>
      <w:r>
        <w:rPr>
          <w:rFonts w:ascii="Arial" w:cs="Arial" w:eastAsia="Arial" w:hAnsi="Arial"/>
          <w:sz w:val="20"/>
          <w:szCs w:val="20"/>
          <w:color w:val="auto"/>
        </w:rPr>
        <w:t>”), of an aggregate of 1,368,159 shares (the “</w:t>
      </w:r>
      <w:r>
        <w:rPr>
          <w:rFonts w:ascii="Arial" w:cs="Arial" w:eastAsia="Arial" w:hAnsi="Arial"/>
          <w:sz w:val="20"/>
          <w:szCs w:val="20"/>
          <w:b w:val="1"/>
          <w:bCs w:val="1"/>
          <w:i w:val="1"/>
          <w:iCs w:val="1"/>
          <w:color w:val="auto"/>
        </w:rPr>
        <w:t>Shares</w:t>
      </w:r>
      <w:r>
        <w:rPr>
          <w:rFonts w:ascii="Arial" w:cs="Arial" w:eastAsia="Arial" w:hAnsi="Arial"/>
          <w:sz w:val="20"/>
          <w:szCs w:val="20"/>
          <w:color w:val="auto"/>
        </w:rPr>
        <w:t>”) of the Company’s Common Stock, $0.001 par value per share (the “</w:t>
      </w:r>
      <w:r>
        <w:rPr>
          <w:rFonts w:ascii="Arial" w:cs="Arial" w:eastAsia="Arial" w:hAnsi="Arial"/>
          <w:sz w:val="20"/>
          <w:szCs w:val="20"/>
          <w:b w:val="1"/>
          <w:bCs w:val="1"/>
          <w:i w:val="1"/>
          <w:iCs w:val="1"/>
          <w:color w:val="auto"/>
        </w:rPr>
        <w:t>Common Stock</w:t>
      </w:r>
      <w:r>
        <w:rPr>
          <w:rFonts w:ascii="Arial" w:cs="Arial" w:eastAsia="Arial" w:hAnsi="Arial"/>
          <w:sz w:val="20"/>
          <w:szCs w:val="20"/>
          <w:color w:val="auto"/>
        </w:rPr>
        <w:t xml:space="preserve">”), subject to issuance by the Company upon the exercise or settlement of awards granted or to be granted under the Company’s 2013 Stock Incentive Plan, as amended </w:t>
      </w:r>
      <w:r>
        <w:rPr>
          <w:rFonts w:ascii="Arial" w:cs="Arial" w:eastAsia="Arial" w:hAnsi="Arial"/>
          <w:sz w:val="20"/>
          <w:szCs w:val="20"/>
          <w:b w:val="1"/>
          <w:bCs w:val="1"/>
          <w:color w:val="auto"/>
        </w:rPr>
        <w:t>(</w:t>
      </w:r>
      <w:r>
        <w:rPr>
          <w:rFonts w:ascii="Arial" w:cs="Arial" w:eastAsia="Arial" w:hAnsi="Arial"/>
          <w:sz w:val="20"/>
          <w:szCs w:val="20"/>
          <w:color w:val="auto"/>
        </w:rPr>
        <w:t>the “</w:t>
      </w:r>
      <w:r>
        <w:rPr>
          <w:rFonts w:ascii="Arial" w:cs="Arial" w:eastAsia="Arial" w:hAnsi="Arial"/>
          <w:sz w:val="20"/>
          <w:szCs w:val="20"/>
          <w:b w:val="1"/>
          <w:bCs w:val="1"/>
          <w:i w:val="1"/>
          <w:iCs w:val="1"/>
          <w:color w:val="auto"/>
        </w:rPr>
        <w:t>2013 Plan</w:t>
      </w:r>
      <w:r>
        <w:rPr>
          <w:rFonts w:ascii="Arial" w:cs="Arial" w:eastAsia="Arial" w:hAnsi="Arial"/>
          <w:sz w:val="20"/>
          <w:szCs w:val="20"/>
          <w:color w:val="auto"/>
        </w:rPr>
        <w: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At your request we are providing this letter to express our opinion on the matters set forth below in this letter (“</w:t>
      </w:r>
      <w:r>
        <w:rPr>
          <w:rFonts w:ascii="Arial" w:cs="Arial" w:eastAsia="Arial" w:hAnsi="Arial"/>
          <w:sz w:val="19"/>
          <w:szCs w:val="19"/>
          <w:b w:val="1"/>
          <w:bCs w:val="1"/>
          <w:i w:val="1"/>
          <w:iCs w:val="1"/>
          <w:color w:val="auto"/>
        </w:rPr>
        <w:t>our opinion</w:t>
      </w:r>
      <w:r>
        <w:rPr>
          <w:rFonts w:ascii="Arial" w:cs="Arial" w:eastAsia="Arial" w:hAnsi="Arial"/>
          <w:sz w:val="19"/>
          <w:szCs w:val="19"/>
          <w:color w:val="auto"/>
        </w:rPr>
        <w:t>”).</w:t>
      </w:r>
    </w:p>
    <w:p>
      <w:pPr>
        <w:spacing w:after="0" w:line="227"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6"/>
          <w:szCs w:val="16"/>
          <w:color w:val="auto"/>
        </w:rPr>
        <w:t>In connection with our opinion, we have examined such matters of fact as we have deemed necessary, which included examination of originals or copies of: the Company’s current Certificate of Incorporation and Bylaws, as amended (collectively, the “</w:t>
      </w:r>
      <w:r>
        <w:rPr>
          <w:rFonts w:ascii="Arial" w:cs="Arial" w:eastAsia="Arial" w:hAnsi="Arial"/>
          <w:sz w:val="16"/>
          <w:szCs w:val="16"/>
          <w:b w:val="1"/>
          <w:bCs w:val="1"/>
          <w:i w:val="1"/>
          <w:iCs w:val="1"/>
          <w:color w:val="auto"/>
        </w:rPr>
        <w:t>Charter Documents</w:t>
      </w:r>
      <w:r>
        <w:rPr>
          <w:rFonts w:ascii="Arial" w:cs="Arial" w:eastAsia="Arial" w:hAnsi="Arial"/>
          <w:sz w:val="16"/>
          <w:szCs w:val="16"/>
          <w:color w:val="auto"/>
        </w:rPr>
        <w:t>”), the 2013 Plan, the Registration Statement and the exhibits thereto; certain corporate proceedings of the Company’s Board of Directors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and the Company’s stockholders relating to adoption or approval of the Charter Documents, the 2013 Plan, the reservation of the Shares for sale and issuance, the filing of the Registration Statement and the registration of the Shares under the Securities Act and documents (including a certificate from the Company’s transfer agent) regarding the Company’s outstanding and reserved capital stock and other securities and such other documents as we have deemed advisable, and we have examined such questions of law as we have considered necessary.</w:t>
      </w:r>
    </w:p>
    <w:p>
      <w:pPr>
        <w:spacing w:after="0" w:line="14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In our examination of documents for purposes of this opinion, we have assumed, and express no opinion as to, the authenticity and completeness of all documents submitted to us as originals, the genuineness of signatures on documents reviewed by us, the conformity to originals and the completeness of all documents submitted to us as copies, the legal capacity of all parties executing any documents (other than the Company), the lack of any undisclosed termination or modification or waiver of any document, the absence of any</w:t>
      </w:r>
    </w:p>
    <w:p>
      <w:pPr>
        <w:sectPr>
          <w:pgSz w:w="11900" w:h="16838" w:orient="portrait"/>
          <w:cols w:equalWidth="0" w:num="1">
            <w:col w:w="11420"/>
          </w:cols>
          <w:pgMar w:left="240" w:top="873" w:right="239" w:bottom="1440" w:gutter="0" w:footer="0" w:header="0"/>
          <w:type w:val="continuous"/>
        </w:sectPr>
      </w:pPr>
    </w:p>
    <w:bookmarkStart w:id="7" w:name="page8"/>
    <w:bookmarkEnd w:id="7"/>
    <w:p>
      <w:pPr>
        <w:jc w:val="both"/>
        <w:spacing w:after="0" w:line="273" w:lineRule="auto"/>
        <w:rPr>
          <w:sz w:val="20"/>
          <w:szCs w:val="20"/>
          <w:color w:val="auto"/>
        </w:rPr>
      </w:pPr>
      <w:r>
        <w:rPr>
          <w:rFonts w:ascii="Arial" w:cs="Arial" w:eastAsia="Arial" w:hAnsi="Arial"/>
          <w:sz w:val="18"/>
          <w:szCs w:val="18"/>
          <w:color w:val="auto"/>
        </w:rPr>
        <w:t>extrinsic agreements or documents that might change or affect the interpretation or terms of documents, and the due authorization, execution and delivery of all documents by each party thereto other than the Company. We have also assumed that any certificates or instruments representing the Shares, when issued, will be executed by the Company by officers of the Company duly authorized to do so. In rendering our opinion, we have also relied upon a Certificate of Good Standing dated February 26, 2018 issued by the Delaware Secretary of State with respect to the Company and representations and certifications made to us by the Company, including without limitation representations in a Management Certificate addressed to us of even date herewith that the Company has available a sufficient number of authorized shares of Common Stock that are not currently outstanding or reserved for issuance under other outstanding securities or plans of the Company, to enable the Company to issue and deliver all of the Shares as of the date of this letter.</w:t>
      </w:r>
    </w:p>
    <w:p>
      <w:pPr>
        <w:spacing w:after="0" w:line="1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We render this opinion only with respect to, and we express no opinion herein concerning the application or effect of the laws of any jurisdiction other than, the existing Delaware General Corporation Law now in effect. We express no opinion with respect to the securities or “blue sky” laws of any state.</w:t>
      </w:r>
    </w:p>
    <w:p>
      <w:pPr>
        <w:spacing w:after="0" w:line="19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Based upon, and subject to, the foregoing, it is our opinion that when the 1,368,159 Shares of Common Stock that may be issued and sold by the Company upon the exercise or settlement of awards granted or to be granted under the 2013 Plan, have been issued and sold by the Company against the Company’s receipt of payment therefor (in an amount and type of consideration not less than the par value per Share) in accordance with the terms (including without limitation payment and authorization provisions) of the 2013 Plan and have been duly registered on the books of the transfer agent and registrar for the Shares in the name or on behalf of the holders thereof, such Shares will be validly issued, fully paid and non-assessable.</w:t>
      </w:r>
    </w:p>
    <w:p>
      <w:pPr>
        <w:spacing w:after="0" w:line="194" w:lineRule="exact"/>
        <w:rPr>
          <w:sz w:val="20"/>
          <w:szCs w:val="20"/>
          <w:color w:val="auto"/>
        </w:rPr>
      </w:pPr>
    </w:p>
    <w:p>
      <w:pPr>
        <w:jc w:val="both"/>
        <w:ind w:firstLine="662"/>
        <w:spacing w:after="0" w:line="305" w:lineRule="auto"/>
        <w:rPr>
          <w:sz w:val="20"/>
          <w:szCs w:val="20"/>
          <w:color w:val="auto"/>
        </w:rPr>
      </w:pPr>
      <w:r>
        <w:rPr>
          <w:rFonts w:ascii="Arial" w:cs="Arial" w:eastAsia="Arial" w:hAnsi="Arial"/>
          <w:sz w:val="18"/>
          <w:szCs w:val="18"/>
          <w:color w:val="auto"/>
        </w:rPr>
        <w:t>We consent to the use of this opinion as an exhibit to the Registration Statement and further consent to all references to us, if any, in the Registration Statement, the prospectuses constituting a part thereof and any amendments thereto. We do not thereby admit that we are within the category of persons whose consent is required under Section 7 of the Securities Act or the rules and regulations of the Commission thereunder</w:t>
      </w:r>
      <w:r>
        <w:rPr>
          <w:rFonts w:ascii="Arial" w:cs="Arial" w:eastAsia="Arial" w:hAnsi="Arial"/>
          <w:sz w:val="16"/>
          <w:szCs w:val="16"/>
          <w:color w:val="auto"/>
        </w:rPr>
        <w:t>.</w:t>
      </w:r>
      <w:r>
        <w:rPr>
          <w:rFonts w:ascii="Arial" w:cs="Arial" w:eastAsia="Arial" w:hAnsi="Arial"/>
          <w:sz w:val="18"/>
          <w:szCs w:val="18"/>
          <w:color w:val="auto"/>
        </w:rPr>
        <w:t xml:space="preserve"> This opinion is intended solely for use in connection with issuance and sale of the Shares subject to the Registration Statement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and does not address any potential change in facts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Very truly yours,</w:t>
      </w:r>
    </w:p>
    <w:p>
      <w:pPr>
        <w:spacing w:after="0" w:line="383" w:lineRule="exact"/>
        <w:rPr>
          <w:sz w:val="20"/>
          <w:szCs w:val="20"/>
          <w:color w:val="auto"/>
        </w:rPr>
      </w:pPr>
    </w:p>
    <w:p>
      <w:pPr>
        <w:ind w:left="6140"/>
        <w:spacing w:after="0"/>
        <w:rPr>
          <w:sz w:val="20"/>
          <w:szCs w:val="20"/>
          <w:color w:val="auto"/>
        </w:rPr>
      </w:pPr>
      <w:r>
        <w:rPr>
          <w:rFonts w:ascii="Arial" w:cs="Arial" w:eastAsia="Arial" w:hAnsi="Arial"/>
          <w:sz w:val="18"/>
          <w:szCs w:val="18"/>
          <w:b w:val="1"/>
          <w:bCs w:val="1"/>
          <w:color w:val="auto"/>
        </w:rPr>
        <w:t>FENWICK &amp; WEST LLP</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140"/>
        <w:spacing w:after="0"/>
        <w:tabs>
          <w:tab w:leader="none" w:pos="6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A. Freedman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17068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Robert A. Freedman, a Partner</w:t>
      </w:r>
    </w:p>
    <w:p>
      <w:pPr>
        <w:sectPr>
          <w:pgSz w:w="11900" w:h="16838" w:orient="portrait"/>
          <w:cols w:equalWidth="0" w:num="1">
            <w:col w:w="11420"/>
          </w:cols>
          <w:pgMar w:left="240" w:top="879" w:right="239" w:bottom="1440" w:gutter="0" w:footer="0" w:header="0"/>
        </w:sectPr>
      </w:pPr>
    </w:p>
    <w:bookmarkStart w:id="8" w:name="page9"/>
    <w:bookmarkEnd w:id="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9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2013 Stock Incentive Plan of Veracyte, Inc. of our report dated February 27, 2018, with respect to the financial statements of Veracyte, Inc. included in its Annual Report (Form 10-K) for the year ended December 31, 2017, filed with the Securities and Exchange Commission.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lowerRoman"/>
      <w:start w:val="2"/>
    </w:lvl>
  </w:abstractNum>
  <w:abstractNum w:abstractNumId="4">
    <w:nsid w:val="507ED7AB"/>
    <w:multiLevelType w:val="hybridMultilevel"/>
    <w:lvl w:ilvl="0">
      <w:lvlJc w:val="left"/>
      <w:lvlText w:val="(%1)"/>
      <w:numFmt w:val="decimal"/>
      <w:start w:val="2"/>
    </w:lvl>
  </w:abstractNum>
  <w:abstractNum w:abstractNumId="5">
    <w:nsid w:val="2EB141F2"/>
    <w:multiLevelType w:val="hybridMultilevel"/>
    <w:lvl w:ilvl="0">
      <w:lvlJc w:val="left"/>
      <w:lvlText w:val="(%1)"/>
      <w:numFmt w:val="lowerLetter"/>
      <w:start w:val="2"/>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jpeg"/><Relationship Id="rId16" Type="http://schemas.openxmlformats.org/officeDocument/2006/relationships/image" Target="media/image5.png"/><Relationship Id="rId10" Type="http://schemas.openxmlformats.org/officeDocument/2006/relationships/hyperlink" Target="http://www.sec.gov/Archives/edgar/data/1384101/000110465913082910/a13-23874_1ex3d1.htm" TargetMode="External"/><Relationship Id="rId11" Type="http://schemas.openxmlformats.org/officeDocument/2006/relationships/hyperlink" Target="http://www.sec.gov/Archives/edgar/data/1384101/000110465913082910/a13-23874_1ex3d2.htm" TargetMode="External"/><Relationship Id="rId12" Type="http://schemas.openxmlformats.org/officeDocument/2006/relationships/hyperlink" Target="http://www.sec.gov/Archives/edgar/data/1384101/000104746913009631/a2216954zex-4_1.htm" TargetMode="External"/><Relationship Id="rId13" Type="http://schemas.openxmlformats.org/officeDocument/2006/relationships/hyperlink" Target="http://www.sec.gov/Archives/edgar/data/1384101/000138410118000006/vcyt-12312017x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2019-12-07T07:39:58Z</dcterms:created>
  <dcterms:modified xsi:type="dcterms:W3CDTF">2019-12-07T07:39:58Z</dcterms:modified>
</cp:coreProperties>
</file>