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21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31115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(Titles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92337F107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-130810</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80" w:hanging="199"/>
        <w:spacing w:after="0"/>
        <w:tabs>
          <w:tab w:leader="none" w:pos="52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00" w:hanging="214"/>
        <w:spacing w:after="0"/>
        <w:tabs>
          <w:tab w:leader="none" w:pos="53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20" w:hanging="217"/>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0" w:type="dxa"/>
            <w:vAlign w:val="bottom"/>
            <w:tcBorders>
              <w:top w:val="single" w:sz="8" w:color="auto"/>
              <w:left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1"/>
              </w:rPr>
              <w:t>CUSIP No. 92337F107</w:t>
            </w:r>
          </w:p>
        </w:tc>
        <w:tc>
          <w:tcPr>
            <w:tcW w:w="920" w:type="dxa"/>
            <w:vAlign w:val="bottom"/>
            <w:tcBorders>
              <w:top w:val="single" w:sz="8" w:color="auto"/>
              <w:bottom w:val="single" w:sz="8" w:color="auto"/>
              <w:right w:val="single" w:sz="8" w:color="auto"/>
            </w:tcBorders>
          </w:tcPr>
          <w:p>
            <w:pPr>
              <w:spacing w:after="0"/>
              <w:rPr>
                <w:sz w:val="24"/>
                <w:szCs w:val="24"/>
                <w:color w:val="auto"/>
              </w:rPr>
            </w:pPr>
          </w:p>
        </w:tc>
        <w:tc>
          <w:tcPr>
            <w:tcW w:w="3980" w:type="dxa"/>
            <w:vAlign w:val="bottom"/>
            <w:tcBorders>
              <w:top w:val="single" w:sz="8" w:color="auto"/>
              <w:bottom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rPr>
              <w:t>13G</w:t>
            </w:r>
          </w:p>
        </w:tc>
        <w:tc>
          <w:tcPr>
            <w:tcW w:w="880" w:type="dxa"/>
            <w:vAlign w:val="bottom"/>
            <w:tcBorders>
              <w:top w:val="single" w:sz="8" w:color="auto"/>
              <w:bottom w:val="single" w:sz="8" w:color="auto"/>
            </w:tcBorders>
          </w:tcPr>
          <w:p>
            <w:pPr>
              <w:spacing w:after="0"/>
              <w:rPr>
                <w:sz w:val="24"/>
                <w:szCs w:val="24"/>
                <w:color w:val="auto"/>
              </w:rPr>
            </w:pPr>
          </w:p>
        </w:tc>
        <w:tc>
          <w:tcPr>
            <w:tcW w:w="298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Page 2 of 9</w:t>
            </w: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79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 OF REPORTING PERSON</w:t>
            </w:r>
          </w:p>
        </w:tc>
        <w:tc>
          <w:tcPr>
            <w:tcW w:w="2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960" w:type="dxa"/>
            <w:vAlign w:val="bottom"/>
            <w:gridSpan w:val="5"/>
            <w:vMerge w:val="restart"/>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2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960" w:type="dxa"/>
            <w:vAlign w:val="bottom"/>
            <w:gridSpan w:val="5"/>
            <w:vMerge w:val="continue"/>
          </w:tcPr>
          <w:p>
            <w:pPr>
              <w:spacing w:after="0"/>
              <w:rPr>
                <w:sz w:val="10"/>
                <w:szCs w:val="10"/>
                <w:color w:val="auto"/>
              </w:rPr>
            </w:pPr>
          </w:p>
        </w:tc>
        <w:tc>
          <w:tcPr>
            <w:tcW w:w="2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TPG Group Holdings (SBS) Advisors, Inc.</w:t>
            </w:r>
          </w:p>
        </w:tc>
        <w:tc>
          <w:tcPr>
            <w:tcW w:w="2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9"/>
                <w:szCs w:val="19"/>
                <w:color w:val="auto"/>
              </w:rPr>
            </w:pPr>
          </w:p>
        </w:tc>
        <w:tc>
          <w:tcPr>
            <w:tcW w:w="79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72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SEC USE ONLY</w:t>
            </w:r>
          </w:p>
        </w:tc>
        <w:tc>
          <w:tcPr>
            <w:tcW w:w="460" w:type="dxa"/>
            <w:vAlign w:val="bottom"/>
            <w:tcBorders>
              <w:right w:val="single" w:sz="8" w:color="CCCCCC"/>
            </w:tcBorders>
            <w:shd w:val="clear" w:color="auto" w:fill="CCCCCC"/>
          </w:tcPr>
          <w:p>
            <w:pPr>
              <w:spacing w:after="0"/>
              <w:rPr>
                <w:sz w:val="19"/>
                <w:szCs w:val="19"/>
                <w:color w:val="auto"/>
              </w:rPr>
            </w:pPr>
          </w:p>
        </w:tc>
        <w:tc>
          <w:tcPr>
            <w:tcW w:w="920" w:type="dxa"/>
            <w:vAlign w:val="bottom"/>
            <w:tcBorders>
              <w:right w:val="single" w:sz="8" w:color="CCCCCC"/>
            </w:tcBorders>
            <w:shd w:val="clear" w:color="auto" w:fill="CCCCCC"/>
          </w:tcPr>
          <w:p>
            <w:pPr>
              <w:spacing w:after="0"/>
              <w:rPr>
                <w:sz w:val="19"/>
                <w:szCs w:val="19"/>
                <w:color w:val="auto"/>
              </w:rPr>
            </w:pPr>
          </w:p>
        </w:tc>
        <w:tc>
          <w:tcPr>
            <w:tcW w:w="3980" w:type="dxa"/>
            <w:vAlign w:val="bottom"/>
            <w:tcBorders>
              <w:right w:val="single" w:sz="8" w:color="CCCCCC"/>
            </w:tcBorders>
            <w:shd w:val="clear" w:color="auto" w:fill="CCCCCC"/>
          </w:tcPr>
          <w:p>
            <w:pPr>
              <w:spacing w:after="0"/>
              <w:rPr>
                <w:sz w:val="19"/>
                <w:szCs w:val="19"/>
                <w:color w:val="auto"/>
              </w:rPr>
            </w:pPr>
          </w:p>
        </w:tc>
        <w:tc>
          <w:tcPr>
            <w:tcW w:w="880" w:type="dxa"/>
            <w:vAlign w:val="bottom"/>
            <w:shd w:val="clear" w:color="auto" w:fill="CCCCCC"/>
          </w:tcPr>
          <w:p>
            <w:pPr>
              <w:spacing w:after="0"/>
              <w:rPr>
                <w:sz w:val="19"/>
                <w:szCs w:val="19"/>
                <w:color w:val="auto"/>
              </w:rPr>
            </w:pPr>
          </w:p>
        </w:tc>
        <w:tc>
          <w:tcPr>
            <w:tcW w:w="2980" w:type="dxa"/>
            <w:vAlign w:val="bottom"/>
            <w:tcBorders>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80" w:type="dxa"/>
            <w:vAlign w:val="bottom"/>
            <w:tcBorders>
              <w:lef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720" w:type="dxa"/>
            <w:vAlign w:val="bottom"/>
            <w:tcBorders>
              <w:bottom w:val="single" w:sz="8" w:color="CCCCCC"/>
              <w:right w:val="single" w:sz="8" w:color="CCCCCC"/>
            </w:tcBorders>
            <w:shd w:val="clear" w:color="auto" w:fill="CCCCCC"/>
          </w:tcPr>
          <w:p>
            <w:pPr>
              <w:spacing w:after="0"/>
              <w:rPr>
                <w:sz w:val="9"/>
                <w:szCs w:val="9"/>
                <w:color w:val="auto"/>
              </w:rPr>
            </w:pPr>
          </w:p>
        </w:tc>
        <w:tc>
          <w:tcPr>
            <w:tcW w:w="460" w:type="dxa"/>
            <w:vAlign w:val="bottom"/>
            <w:tcBorders>
              <w:bottom w:val="single" w:sz="8" w:color="CCCCCC"/>
              <w:right w:val="single" w:sz="8" w:color="CCCCCC"/>
            </w:tcBorders>
            <w:shd w:val="clear" w:color="auto" w:fill="CCCCCC"/>
          </w:tcPr>
          <w:p>
            <w:pPr>
              <w:spacing w:after="0"/>
              <w:rPr>
                <w:sz w:val="9"/>
                <w:szCs w:val="9"/>
                <w:color w:val="auto"/>
              </w:rPr>
            </w:pPr>
          </w:p>
        </w:tc>
        <w:tc>
          <w:tcPr>
            <w:tcW w:w="920" w:type="dxa"/>
            <w:vAlign w:val="bottom"/>
            <w:tcBorders>
              <w:bottom w:val="single" w:sz="8" w:color="CCCCCC"/>
              <w:right w:val="single" w:sz="8" w:color="CCCCCC"/>
            </w:tcBorders>
            <w:shd w:val="clear" w:color="auto" w:fill="CCCCCC"/>
          </w:tcPr>
          <w:p>
            <w:pPr>
              <w:spacing w:after="0"/>
              <w:rPr>
                <w:sz w:val="9"/>
                <w:szCs w:val="9"/>
                <w:color w:val="auto"/>
              </w:rPr>
            </w:pPr>
          </w:p>
        </w:tc>
        <w:tc>
          <w:tcPr>
            <w:tcW w:w="3980" w:type="dxa"/>
            <w:vAlign w:val="bottom"/>
            <w:tcBorders>
              <w:bottom w:val="single" w:sz="8" w:color="CCCCCC"/>
              <w:right w:val="single" w:sz="8" w:color="CCCCCC"/>
            </w:tcBorders>
            <w:shd w:val="clear" w:color="auto" w:fill="CCCCCC"/>
          </w:tcPr>
          <w:p>
            <w:pPr>
              <w:spacing w:after="0"/>
              <w:rPr>
                <w:sz w:val="9"/>
                <w:szCs w:val="9"/>
                <w:color w:val="auto"/>
              </w:rPr>
            </w:pPr>
          </w:p>
        </w:tc>
        <w:tc>
          <w:tcPr>
            <w:tcW w:w="880" w:type="dxa"/>
            <w:vAlign w:val="bottom"/>
            <w:tcBorders>
              <w:bottom w:val="single" w:sz="8" w:color="CCCCCC"/>
            </w:tcBorders>
            <w:shd w:val="clear" w:color="auto" w:fill="CCCCCC"/>
          </w:tcPr>
          <w:p>
            <w:pPr>
              <w:spacing w:after="0"/>
              <w:rPr>
                <w:sz w:val="9"/>
                <w:szCs w:val="9"/>
                <w:color w:val="auto"/>
              </w:rPr>
            </w:pPr>
          </w:p>
        </w:tc>
        <w:tc>
          <w:tcPr>
            <w:tcW w:w="2980" w:type="dxa"/>
            <w:vAlign w:val="bottom"/>
            <w:tcBorders>
              <w:bottom w:val="single" w:sz="8" w:color="CCCCCC"/>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80" w:type="dxa"/>
            <w:vAlign w:val="bottom"/>
            <w:tcBorders>
              <w:top w:val="single" w:sz="8" w:color="auto"/>
              <w:left w:val="single" w:sz="8" w:color="auto"/>
            </w:tcBorders>
            <w:vMerge w:val="restart"/>
          </w:tcPr>
          <w:p>
            <w:pPr>
              <w:ind w:left="12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right w:val="single" w:sz="8" w:color="auto"/>
            </w:tcBorders>
          </w:tcPr>
          <w:p>
            <w:pPr>
              <w:spacing w:after="0"/>
              <w:rPr>
                <w:sz w:val="19"/>
                <w:szCs w:val="19"/>
                <w:color w:val="auto"/>
              </w:rPr>
            </w:pPr>
          </w:p>
        </w:tc>
        <w:tc>
          <w:tcPr>
            <w:tcW w:w="796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9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5</w:t>
            </w:r>
          </w:p>
        </w:tc>
        <w:tc>
          <w:tcPr>
            <w:tcW w:w="578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2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NUMBER OF</w:t>
            </w:r>
          </w:p>
        </w:tc>
        <w:tc>
          <w:tcPr>
            <w:tcW w:w="460" w:type="dxa"/>
            <w:vAlign w:val="bottom"/>
            <w:tcBorders>
              <w:right w:val="single" w:sz="8" w:color="auto"/>
            </w:tcBorders>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- 0 -</w:t>
            </w:r>
          </w:p>
        </w:tc>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color w:val="auto"/>
                <w:w w:val="91"/>
              </w:rPr>
              <w:t>SHARES</w:t>
            </w:r>
          </w:p>
        </w:tc>
        <w:tc>
          <w:tcPr>
            <w:tcW w:w="4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578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2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- 0 -</w:t>
            </w:r>
          </w:p>
        </w:tc>
        <w:tc>
          <w:tcPr>
            <w:tcW w:w="3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right w:val="single" w:sz="8" w:color="auto"/>
            </w:tcBorders>
          </w:tcPr>
          <w:p>
            <w:pPr>
              <w:jc w:val="center"/>
              <w:ind w:right="43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578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REPORTING</w:t>
            </w:r>
          </w:p>
        </w:tc>
        <w:tc>
          <w:tcPr>
            <w:tcW w:w="460" w:type="dxa"/>
            <w:vAlign w:val="bottom"/>
            <w:tcBorders>
              <w:right w:val="single" w:sz="8" w:color="auto"/>
            </w:tcBorders>
            <w:vMerge w:val="continue"/>
          </w:tcPr>
          <w:p>
            <w:pPr>
              <w:spacing w:after="0"/>
              <w:rPr>
                <w:sz w:val="9"/>
                <w:szCs w:val="9"/>
                <w:color w:val="auto"/>
              </w:rPr>
            </w:pPr>
          </w:p>
        </w:tc>
        <w:tc>
          <w:tcPr>
            <w:tcW w:w="9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color w:val="auto"/>
                <w:w w:val="89"/>
              </w:rPr>
              <w:t>PERSON</w:t>
            </w:r>
          </w:p>
        </w:tc>
        <w:tc>
          <w:tcPr>
            <w:tcW w:w="460" w:type="dxa"/>
            <w:vAlign w:val="bottom"/>
            <w:tcBorders>
              <w:right w:val="single" w:sz="8" w:color="auto"/>
            </w:tcBorders>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- 0 -</w:t>
            </w: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8</w:t>
            </w:r>
          </w:p>
        </w:tc>
        <w:tc>
          <w:tcPr>
            <w:tcW w:w="578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vMerge w:val="continue"/>
          </w:tcPr>
          <w:p>
            <w:pPr>
              <w:spacing w:after="0"/>
              <w:rPr>
                <w:sz w:val="9"/>
                <w:szCs w:val="9"/>
                <w:color w:val="auto"/>
              </w:rPr>
            </w:pPr>
          </w:p>
        </w:tc>
        <w:tc>
          <w:tcPr>
            <w:tcW w:w="5780" w:type="dxa"/>
            <w:vAlign w:val="bottom"/>
            <w:gridSpan w:val="3"/>
            <w:vMerge w:val="continue"/>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- 0 -</w:t>
            </w:r>
          </w:p>
        </w:tc>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AGGREGATE AMOUNT</w:t>
            </w:r>
          </w:p>
        </w:tc>
        <w:tc>
          <w:tcPr>
            <w:tcW w:w="5780" w:type="dxa"/>
            <w:vAlign w:val="bottom"/>
            <w:gridSpan w:val="3"/>
          </w:tcPr>
          <w:p>
            <w:pPr>
              <w:spacing w:after="0"/>
              <w:rPr>
                <w:sz w:val="20"/>
                <w:szCs w:val="20"/>
                <w:color w:val="auto"/>
              </w:rPr>
            </w:pPr>
            <w:r>
              <w:rPr>
                <w:rFonts w:ascii="Arial" w:cs="Arial" w:eastAsia="Arial" w:hAnsi="Arial"/>
                <w:sz w:val="18"/>
                <w:szCs w:val="18"/>
                <w:color w:val="auto"/>
              </w:rPr>
              <w:t>BENEFICIALLY OWNED BY EACH REPORTING PERSON</w:t>
            </w:r>
          </w:p>
        </w:tc>
        <w:tc>
          <w:tcPr>
            <w:tcW w:w="2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- 0 -</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79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80" w:type="dxa"/>
            <w:vAlign w:val="bottom"/>
            <w:tcBorders>
              <w:left w:val="single" w:sz="8" w:color="auto"/>
            </w:tcBorders>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80" w:type="dxa"/>
            <w:vAlign w:val="bottom"/>
            <w:tcBorders>
              <w:left w:val="single" w:sz="8" w:color="auto"/>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79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79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1"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0" w:type="dxa"/>
            <w:vAlign w:val="bottom"/>
            <w:tcBorders>
              <w:top w:val="single" w:sz="8" w:color="auto"/>
              <w:left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3"/>
              </w:rPr>
              <w:t>CUSIP No. 92337F107</w:t>
            </w:r>
          </w:p>
        </w:tc>
        <w:tc>
          <w:tcPr>
            <w:tcW w:w="860" w:type="dxa"/>
            <w:vAlign w:val="bottom"/>
            <w:tcBorders>
              <w:top w:val="single" w:sz="8" w:color="auto"/>
              <w:bottom w:val="single" w:sz="8" w:color="auto"/>
              <w:right w:val="single" w:sz="8" w:color="auto"/>
            </w:tcBorders>
          </w:tcPr>
          <w:p>
            <w:pPr>
              <w:spacing w:after="0"/>
              <w:rPr>
                <w:sz w:val="24"/>
                <w:szCs w:val="24"/>
                <w:color w:val="auto"/>
              </w:rPr>
            </w:pPr>
          </w:p>
        </w:tc>
        <w:tc>
          <w:tcPr>
            <w:tcW w:w="3980" w:type="dxa"/>
            <w:vAlign w:val="bottom"/>
            <w:tcBorders>
              <w:top w:val="single" w:sz="8" w:color="auto"/>
              <w:bottom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rPr>
              <w:t>13G</w:t>
            </w:r>
          </w:p>
        </w:tc>
        <w:tc>
          <w:tcPr>
            <w:tcW w:w="920" w:type="dxa"/>
            <w:vAlign w:val="bottom"/>
            <w:tcBorders>
              <w:top w:val="single" w:sz="8" w:color="auto"/>
              <w:bottom w:val="single" w:sz="8" w:color="auto"/>
            </w:tcBorders>
          </w:tcPr>
          <w:p>
            <w:pPr>
              <w:spacing w:after="0"/>
              <w:rPr>
                <w:sz w:val="24"/>
                <w:szCs w:val="24"/>
                <w:color w:val="auto"/>
              </w:rPr>
            </w:pPr>
          </w:p>
        </w:tc>
        <w:tc>
          <w:tcPr>
            <w:tcW w:w="29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Page 3 of 9</w:t>
            </w: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80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NAME OF REPORTING PERSON</w:t>
            </w:r>
          </w:p>
        </w:tc>
        <w:tc>
          <w:tcPr>
            <w:tcW w:w="2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00" w:type="dxa"/>
            <w:vAlign w:val="bottom"/>
            <w:gridSpan w:val="6"/>
            <w:vMerge w:val="restart"/>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2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00" w:type="dxa"/>
            <w:vAlign w:val="bottom"/>
            <w:gridSpan w:val="6"/>
            <w:vMerge w:val="continue"/>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David Bonderman</w:t>
            </w: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9"/>
                <w:szCs w:val="19"/>
                <w:color w:val="auto"/>
              </w:rPr>
            </w:pPr>
          </w:p>
        </w:tc>
        <w:tc>
          <w:tcPr>
            <w:tcW w:w="800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72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SEC USE ONLY</w:t>
            </w:r>
          </w:p>
        </w:tc>
        <w:tc>
          <w:tcPr>
            <w:tcW w:w="460" w:type="dxa"/>
            <w:vAlign w:val="bottom"/>
            <w:tcBorders>
              <w:right w:val="single" w:sz="8" w:color="CCCCCC"/>
            </w:tcBorders>
            <w:shd w:val="clear" w:color="auto" w:fill="CCCCCC"/>
          </w:tcPr>
          <w:p>
            <w:pPr>
              <w:spacing w:after="0"/>
              <w:rPr>
                <w:sz w:val="19"/>
                <w:szCs w:val="19"/>
                <w:color w:val="auto"/>
              </w:rPr>
            </w:pPr>
          </w:p>
        </w:tc>
        <w:tc>
          <w:tcPr>
            <w:tcW w:w="60" w:type="dxa"/>
            <w:vAlign w:val="bottom"/>
            <w:shd w:val="clear" w:color="auto" w:fill="CCCCCC"/>
          </w:tcPr>
          <w:p>
            <w:pPr>
              <w:spacing w:after="0"/>
              <w:rPr>
                <w:sz w:val="19"/>
                <w:szCs w:val="19"/>
                <w:color w:val="auto"/>
              </w:rPr>
            </w:pPr>
          </w:p>
        </w:tc>
        <w:tc>
          <w:tcPr>
            <w:tcW w:w="860" w:type="dxa"/>
            <w:vAlign w:val="bottom"/>
            <w:tcBorders>
              <w:right w:val="single" w:sz="8" w:color="CCCCCC"/>
            </w:tcBorders>
            <w:shd w:val="clear" w:color="auto" w:fill="CCCCCC"/>
          </w:tcPr>
          <w:p>
            <w:pPr>
              <w:spacing w:after="0"/>
              <w:rPr>
                <w:sz w:val="19"/>
                <w:szCs w:val="19"/>
                <w:color w:val="auto"/>
              </w:rPr>
            </w:pPr>
          </w:p>
        </w:tc>
        <w:tc>
          <w:tcPr>
            <w:tcW w:w="3980" w:type="dxa"/>
            <w:vAlign w:val="bottom"/>
            <w:tcBorders>
              <w:right w:val="single" w:sz="8" w:color="CCCCCC"/>
            </w:tcBorders>
            <w:shd w:val="clear" w:color="auto" w:fill="CCCCCC"/>
          </w:tcPr>
          <w:p>
            <w:pPr>
              <w:spacing w:after="0"/>
              <w:rPr>
                <w:sz w:val="19"/>
                <w:szCs w:val="19"/>
                <w:color w:val="auto"/>
              </w:rPr>
            </w:pPr>
          </w:p>
        </w:tc>
        <w:tc>
          <w:tcPr>
            <w:tcW w:w="920" w:type="dxa"/>
            <w:vAlign w:val="bottom"/>
            <w:shd w:val="clear" w:color="auto" w:fill="CCCCCC"/>
          </w:tcPr>
          <w:p>
            <w:pPr>
              <w:spacing w:after="0"/>
              <w:rPr>
                <w:sz w:val="19"/>
                <w:szCs w:val="19"/>
                <w:color w:val="auto"/>
              </w:rPr>
            </w:pPr>
          </w:p>
        </w:tc>
        <w:tc>
          <w:tcPr>
            <w:tcW w:w="2940" w:type="dxa"/>
            <w:vAlign w:val="bottom"/>
            <w:tcBorders>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80" w:type="dxa"/>
            <w:vAlign w:val="bottom"/>
            <w:tcBorders>
              <w:lef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720" w:type="dxa"/>
            <w:vAlign w:val="bottom"/>
            <w:tcBorders>
              <w:bottom w:val="single" w:sz="8" w:color="CCCCCC"/>
              <w:right w:val="single" w:sz="8" w:color="CCCCCC"/>
            </w:tcBorders>
            <w:shd w:val="clear" w:color="auto" w:fill="CCCCCC"/>
          </w:tcPr>
          <w:p>
            <w:pPr>
              <w:spacing w:after="0"/>
              <w:rPr>
                <w:sz w:val="9"/>
                <w:szCs w:val="9"/>
                <w:color w:val="auto"/>
              </w:rPr>
            </w:pPr>
          </w:p>
        </w:tc>
        <w:tc>
          <w:tcPr>
            <w:tcW w:w="460" w:type="dxa"/>
            <w:vAlign w:val="bottom"/>
            <w:tcBorders>
              <w:bottom w:val="single" w:sz="8" w:color="CCCCCC"/>
              <w:right w:val="single" w:sz="8" w:color="CCCCCC"/>
            </w:tcBorders>
            <w:shd w:val="clear" w:color="auto" w:fill="CCCCCC"/>
          </w:tcPr>
          <w:p>
            <w:pPr>
              <w:spacing w:after="0"/>
              <w:rPr>
                <w:sz w:val="9"/>
                <w:szCs w:val="9"/>
                <w:color w:val="auto"/>
              </w:rPr>
            </w:pPr>
          </w:p>
        </w:tc>
        <w:tc>
          <w:tcPr>
            <w:tcW w:w="60" w:type="dxa"/>
            <w:vAlign w:val="bottom"/>
            <w:tcBorders>
              <w:bottom w:val="single" w:sz="8" w:color="CCCCCC"/>
            </w:tcBorders>
            <w:shd w:val="clear" w:color="auto" w:fill="CCCCCC"/>
          </w:tcPr>
          <w:p>
            <w:pPr>
              <w:spacing w:after="0"/>
              <w:rPr>
                <w:sz w:val="9"/>
                <w:szCs w:val="9"/>
                <w:color w:val="auto"/>
              </w:rPr>
            </w:pPr>
          </w:p>
        </w:tc>
        <w:tc>
          <w:tcPr>
            <w:tcW w:w="860" w:type="dxa"/>
            <w:vAlign w:val="bottom"/>
            <w:tcBorders>
              <w:bottom w:val="single" w:sz="8" w:color="CCCCCC"/>
              <w:right w:val="single" w:sz="8" w:color="CCCCCC"/>
            </w:tcBorders>
            <w:shd w:val="clear" w:color="auto" w:fill="CCCCCC"/>
          </w:tcPr>
          <w:p>
            <w:pPr>
              <w:spacing w:after="0"/>
              <w:rPr>
                <w:sz w:val="9"/>
                <w:szCs w:val="9"/>
                <w:color w:val="auto"/>
              </w:rPr>
            </w:pPr>
          </w:p>
        </w:tc>
        <w:tc>
          <w:tcPr>
            <w:tcW w:w="3980" w:type="dxa"/>
            <w:vAlign w:val="bottom"/>
            <w:tcBorders>
              <w:bottom w:val="single" w:sz="8" w:color="CCCCCC"/>
              <w:right w:val="single" w:sz="8" w:color="CCCCCC"/>
            </w:tcBorders>
            <w:shd w:val="clear" w:color="auto" w:fill="CCCCCC"/>
          </w:tcPr>
          <w:p>
            <w:pPr>
              <w:spacing w:after="0"/>
              <w:rPr>
                <w:sz w:val="9"/>
                <w:szCs w:val="9"/>
                <w:color w:val="auto"/>
              </w:rPr>
            </w:pPr>
          </w:p>
        </w:tc>
        <w:tc>
          <w:tcPr>
            <w:tcW w:w="920" w:type="dxa"/>
            <w:vAlign w:val="bottom"/>
            <w:tcBorders>
              <w:bottom w:val="single" w:sz="8" w:color="CCCCCC"/>
            </w:tcBorders>
            <w:shd w:val="clear" w:color="auto" w:fill="CCCCCC"/>
          </w:tcPr>
          <w:p>
            <w:pPr>
              <w:spacing w:after="0"/>
              <w:rPr>
                <w:sz w:val="9"/>
                <w:szCs w:val="9"/>
                <w:color w:val="auto"/>
              </w:rPr>
            </w:pPr>
          </w:p>
        </w:tc>
        <w:tc>
          <w:tcPr>
            <w:tcW w:w="2940" w:type="dxa"/>
            <w:vAlign w:val="bottom"/>
            <w:tcBorders>
              <w:bottom w:val="single" w:sz="8" w:color="CCCCCC"/>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80" w:type="dxa"/>
            <w:vAlign w:val="bottom"/>
            <w:tcBorders>
              <w:top w:val="single" w:sz="8" w:color="auto"/>
              <w:left w:val="single" w:sz="8" w:color="auto"/>
            </w:tcBorders>
            <w:vMerge w:val="restart"/>
          </w:tcPr>
          <w:p>
            <w:pPr>
              <w:ind w:left="12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right w:val="single" w:sz="8" w:color="auto"/>
            </w:tcBorders>
          </w:tcPr>
          <w:p>
            <w:pPr>
              <w:spacing w:after="0"/>
              <w:rPr>
                <w:sz w:val="19"/>
                <w:szCs w:val="19"/>
                <w:color w:val="auto"/>
              </w:rPr>
            </w:pPr>
          </w:p>
        </w:tc>
        <w:tc>
          <w:tcPr>
            <w:tcW w:w="8000" w:type="dxa"/>
            <w:vAlign w:val="bottom"/>
            <w:tcBorders>
              <w:top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29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576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NUMBER OF</w:t>
            </w:r>
          </w:p>
        </w:tc>
        <w:tc>
          <w:tcPr>
            <w:tcW w:w="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- 0 -</w:t>
            </w: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4"/>
                <w:szCs w:val="14"/>
                <w:color w:val="auto"/>
              </w:rPr>
            </w:pPr>
          </w:p>
        </w:tc>
        <w:tc>
          <w:tcPr>
            <w:tcW w:w="576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Borders>
              <w:right w:val="single" w:sz="8" w:color="auto"/>
            </w:tcBorders>
            <w:vMerge w:val="restart"/>
          </w:tcPr>
          <w:p>
            <w:pPr>
              <w:jc w:val="center"/>
              <w:ind w:right="430"/>
              <w:spacing w:after="0"/>
              <w:rPr>
                <w:sz w:val="20"/>
                <w:szCs w:val="20"/>
                <w:color w:val="auto"/>
              </w:rPr>
            </w:pPr>
            <w:r>
              <w:rPr>
                <w:rFonts w:ascii="Arial" w:cs="Arial" w:eastAsia="Arial" w:hAnsi="Arial"/>
                <w:sz w:val="18"/>
                <w:szCs w:val="18"/>
                <w:color w:val="auto"/>
                <w:w w:val="91"/>
              </w:rPr>
              <w:t>SHARES</w:t>
            </w:r>
          </w:p>
        </w:tc>
        <w:tc>
          <w:tcPr>
            <w:tcW w:w="4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760" w:type="dxa"/>
            <w:vAlign w:val="bottom"/>
            <w:gridSpan w:val="3"/>
            <w:vMerge w:val="continue"/>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- 0 -</w:t>
            </w:r>
          </w:p>
        </w:tc>
        <w:tc>
          <w:tcPr>
            <w:tcW w:w="3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OWNED BY</w:t>
            </w:r>
          </w:p>
        </w:tc>
        <w:tc>
          <w:tcPr>
            <w:tcW w:w="4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38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6"/>
                <w:szCs w:val="6"/>
                <w:color w:val="auto"/>
              </w:rPr>
            </w:pPr>
          </w:p>
        </w:tc>
        <w:tc>
          <w:tcPr>
            <w:tcW w:w="5760" w:type="dxa"/>
            <w:vAlign w:val="bottom"/>
            <w:gridSpan w:val="3"/>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right w:val="single" w:sz="8" w:color="auto"/>
            </w:tcBorders>
            <w:vMerge w:val="restart"/>
          </w:tcPr>
          <w:p>
            <w:pPr>
              <w:jc w:val="center"/>
              <w:ind w:right="430"/>
              <w:spacing w:after="0"/>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760" w:type="dxa"/>
            <w:vAlign w:val="bottom"/>
            <w:gridSpan w:val="3"/>
            <w:vMerge w:val="continue"/>
          </w:tcPr>
          <w:p>
            <w:pPr>
              <w:spacing w:after="0"/>
              <w:rPr>
                <w:sz w:val="13"/>
                <w:szCs w:val="13"/>
                <w:color w:val="auto"/>
              </w:rPr>
            </w:pPr>
          </w:p>
        </w:tc>
        <w:tc>
          <w:tcPr>
            <w:tcW w:w="2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REPORTING</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- 0 -</w:t>
            </w:r>
          </w:p>
        </w:tc>
        <w:tc>
          <w:tcPr>
            <w:tcW w:w="3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right w:val="single" w:sz="8" w:color="auto"/>
            </w:tcBorders>
            <w:vMerge w:val="restart"/>
          </w:tcPr>
          <w:p>
            <w:pPr>
              <w:jc w:val="center"/>
              <w:ind w:right="430"/>
              <w:spacing w:after="0"/>
              <w:rPr>
                <w:sz w:val="20"/>
                <w:szCs w:val="20"/>
                <w:color w:val="auto"/>
              </w:rPr>
            </w:pPr>
            <w:r>
              <w:rPr>
                <w:rFonts w:ascii="Arial" w:cs="Arial" w:eastAsia="Arial" w:hAnsi="Arial"/>
                <w:sz w:val="18"/>
                <w:szCs w:val="18"/>
                <w:color w:val="auto"/>
                <w:w w:val="89"/>
              </w:rPr>
              <w:t>PERSON</w:t>
            </w:r>
          </w:p>
        </w:tc>
        <w:tc>
          <w:tcPr>
            <w:tcW w:w="4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8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6"/>
                <w:szCs w:val="6"/>
                <w:color w:val="auto"/>
              </w:rPr>
            </w:pPr>
          </w:p>
        </w:tc>
        <w:tc>
          <w:tcPr>
            <w:tcW w:w="576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5760" w:type="dxa"/>
            <w:vAlign w:val="bottom"/>
            <w:gridSpan w:val="3"/>
            <w:vMerge w:val="continue"/>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- 0 -</w:t>
            </w: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AGGREGATE AMOUNT</w:t>
            </w:r>
          </w:p>
        </w:tc>
        <w:tc>
          <w:tcPr>
            <w:tcW w:w="5820" w:type="dxa"/>
            <w:vAlign w:val="bottom"/>
            <w:gridSpan w:val="4"/>
          </w:tcPr>
          <w:p>
            <w:pPr>
              <w:spacing w:after="0"/>
              <w:rPr>
                <w:sz w:val="20"/>
                <w:szCs w:val="20"/>
                <w:color w:val="auto"/>
              </w:rPr>
            </w:pPr>
            <w:r>
              <w:rPr>
                <w:rFonts w:ascii="Arial" w:cs="Arial" w:eastAsia="Arial" w:hAnsi="Arial"/>
                <w:sz w:val="18"/>
                <w:szCs w:val="18"/>
                <w:color w:val="auto"/>
              </w:rPr>
              <w:t>BENEFICIALLY OWNED BY EACH REPORTING PERSON</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- 0 -</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000" w:type="dxa"/>
            <w:vAlign w:val="bottom"/>
            <w:gridSpan w:val="6"/>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80" w:type="dxa"/>
            <w:vAlign w:val="bottom"/>
            <w:tcBorders>
              <w:left w:val="single" w:sz="8" w:color="auto"/>
            </w:tcBorders>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80" w:type="dxa"/>
            <w:vAlign w:val="bottom"/>
            <w:tcBorders>
              <w:left w:val="single" w:sz="8" w:color="auto"/>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00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800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1"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5694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94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11"/>
        </w:trPr>
        <w:tc>
          <w:tcPr>
            <w:tcW w:w="3580" w:type="dxa"/>
            <w:vAlign w:val="bottom"/>
            <w:tcBorders>
              <w:top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CUSIP No. 92337F107</w:t>
            </w:r>
          </w:p>
        </w:tc>
        <w:tc>
          <w:tcPr>
            <w:tcW w:w="398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86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8"/>
                <w:szCs w:val="18"/>
                <w:b w:val="1"/>
                <w:bCs w:val="1"/>
                <w:color w:val="auto"/>
              </w:rPr>
              <w:t>Page 4 of 9</w:t>
            </w:r>
          </w:p>
        </w:tc>
      </w:tr>
    </w:tbl>
    <w:p>
      <w:pPr>
        <w:ind w:left="580" w:hanging="461"/>
        <w:spacing w:after="0" w:line="180" w:lineRule="auto"/>
        <w:tabs>
          <w:tab w:leader="none" w:pos="580" w:val="left"/>
        </w:tabs>
        <w:numPr>
          <w:ilvl w:val="0"/>
          <w:numId w:val="2"/>
        </w:numPr>
        <w:rPr>
          <w:rFonts w:ascii="Arial" w:cs="Arial" w:eastAsia="Arial" w:hAnsi="Arial"/>
          <w:sz w:val="25"/>
          <w:szCs w:val="25"/>
          <w:color w:val="auto"/>
          <w:vertAlign w:val="subscript"/>
        </w:rPr>
      </w:pPr>
      <w:r>
        <w:rPr>
          <w:rFonts w:ascii="Arial" w:cs="Arial" w:eastAsia="Arial" w:hAnsi="Arial"/>
          <w:sz w:val="14"/>
          <w:szCs w:val="14"/>
          <w:color w:val="auto"/>
        </w:rPr>
        <w:t>NAME OF REPORTING PERSON</w:t>
      </w:r>
    </w:p>
    <w:p>
      <w:pPr>
        <w:spacing w:after="0" w:line="2" w:lineRule="exact"/>
        <w:rPr>
          <w:rFonts w:ascii="Arial" w:cs="Arial" w:eastAsia="Arial" w:hAnsi="Arial"/>
          <w:sz w:val="25"/>
          <w:szCs w:val="25"/>
          <w:color w:val="auto"/>
          <w:vertAlign w:val="subscript"/>
        </w:rPr>
      </w:pPr>
    </w:p>
    <w:p>
      <w:pPr>
        <w:ind w:left="580" w:right="5460"/>
        <w:spacing w:after="0" w:line="249" w:lineRule="auto"/>
        <w:rPr>
          <w:rFonts w:ascii="Arial" w:cs="Arial" w:eastAsia="Arial" w:hAnsi="Arial"/>
          <w:sz w:val="25"/>
          <w:szCs w:val="25"/>
          <w:color w:val="auto"/>
          <w:vertAlign w:val="subscript"/>
        </w:rPr>
      </w:pPr>
      <w:r>
        <w:rPr>
          <w:rFonts w:ascii="Arial" w:cs="Arial" w:eastAsia="Arial" w:hAnsi="Arial"/>
          <w:sz w:val="18"/>
          <w:szCs w:val="18"/>
          <w:color w:val="auto"/>
        </w:rPr>
        <w:t>I.R.S. IDENTIFICATION NO. OF ABOVE PERSON (ENTITIES ONLY) James G. Coulter</w:t>
      </w:r>
    </w:p>
    <w:p>
      <w:pPr>
        <w:ind w:left="580" w:hanging="461"/>
        <w:spacing w:after="0" w:line="185" w:lineRule="auto"/>
        <w:tabs>
          <w:tab w:leader="none" w:pos="580" w:val="left"/>
        </w:tabs>
        <w:numPr>
          <w:ilvl w:val="0"/>
          <w:numId w:val="3"/>
        </w:numPr>
        <w:rPr>
          <w:rFonts w:ascii="Arial" w:cs="Arial" w:eastAsia="Arial" w:hAnsi="Arial"/>
          <w:sz w:val="26"/>
          <w:szCs w:val="26"/>
          <w:color w:val="auto"/>
          <w:vertAlign w:val="subscript"/>
        </w:rPr>
      </w:pPr>
      <w:r>
        <w:rPr>
          <w:rFonts w:ascii="Arial" w:cs="Arial" w:eastAsia="Arial" w:hAnsi="Arial"/>
          <w:sz w:val="15"/>
          <w:szCs w:val="15"/>
          <w:color w:val="auto"/>
        </w:rPr>
        <w:t>CHECK THE APPROPRIATE BOX IF A MEMBER OF A GROUP</w:t>
      </w:r>
    </w:p>
    <w:p>
      <w:pPr>
        <w:spacing w:after="0" w:line="169" w:lineRule="exact"/>
        <w:rPr>
          <w:rFonts w:ascii="Arial" w:cs="Arial" w:eastAsia="Arial" w:hAnsi="Arial"/>
          <w:sz w:val="26"/>
          <w:szCs w:val="26"/>
          <w:color w:val="auto"/>
          <w:vertAlign w:val="subscript"/>
        </w:rPr>
      </w:pPr>
    </w:p>
    <w:p>
      <w:pPr>
        <w:ind w:left="760" w:hanging="182"/>
        <w:spacing w:after="0" w:line="207" w:lineRule="exact"/>
        <w:tabs>
          <w:tab w:leader="none" w:pos="7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780" w:hanging="202"/>
        <w:spacing w:after="0" w:line="207" w:lineRule="exact"/>
        <w:tabs>
          <w:tab w:leader="none" w:pos="7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8" w:lineRule="exact"/>
        <w:rPr>
          <w:sz w:val="20"/>
          <w:szCs w:val="20"/>
          <w:color w:val="auto"/>
        </w:rPr>
      </w:pPr>
    </w:p>
    <w:p>
      <w:pPr>
        <w:ind w:left="580" w:hanging="461"/>
        <w:spacing w:after="0"/>
        <w:tabs>
          <w:tab w:leader="none" w:pos="58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121" w:lineRule="exact"/>
        <w:rPr>
          <w:sz w:val="20"/>
          <w:szCs w:val="20"/>
          <w:color w:val="auto"/>
        </w:rPr>
      </w:pPr>
    </w:p>
    <w:p>
      <w:pPr>
        <w:ind w:left="580" w:right="7180" w:hanging="461"/>
        <w:spacing w:after="0" w:line="256" w:lineRule="auto"/>
        <w:tabs>
          <w:tab w:leader="none" w:pos="58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 United States</w:t>
      </w:r>
    </w:p>
    <w:p>
      <w:pPr>
        <w:ind w:left="2760" w:hanging="467"/>
        <w:spacing w:after="0" w:line="184" w:lineRule="auto"/>
        <w:tabs>
          <w:tab w:leader="none" w:pos="2760" w:val="left"/>
        </w:tabs>
        <w:numPr>
          <w:ilvl w:val="0"/>
          <w:numId w:val="6"/>
        </w:numPr>
        <w:rPr>
          <w:rFonts w:ascii="Arial" w:cs="Arial" w:eastAsia="Arial" w:hAnsi="Arial"/>
          <w:sz w:val="29"/>
          <w:szCs w:val="29"/>
          <w:color w:val="auto"/>
          <w:vertAlign w:val="subscript"/>
        </w:rPr>
      </w:pPr>
      <w:r>
        <w:rPr>
          <w:rFonts w:ascii="Arial" w:cs="Arial" w:eastAsia="Arial" w:hAnsi="Arial"/>
          <w:sz w:val="16"/>
          <w:szCs w:val="16"/>
          <w:color w:val="auto"/>
        </w:rPr>
        <w:t>SOLE VOTING POWER</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680" w:type="dxa"/>
            <w:vAlign w:val="bottom"/>
            <w:vMerge w:val="restart"/>
          </w:tcPr>
          <w:p>
            <w:pPr>
              <w:jc w:val="center"/>
              <w:ind w:right="330"/>
              <w:spacing w:after="0"/>
              <w:rPr>
                <w:sz w:val="20"/>
                <w:szCs w:val="20"/>
                <w:color w:val="auto"/>
              </w:rPr>
            </w:pPr>
            <w:r>
              <w:rPr>
                <w:rFonts w:ascii="Arial" w:cs="Arial" w:eastAsia="Arial" w:hAnsi="Arial"/>
                <w:sz w:val="18"/>
                <w:szCs w:val="18"/>
                <w:color w:val="auto"/>
                <w:w w:val="98"/>
              </w:rPr>
              <w:t>NUMBER OF</w:t>
            </w:r>
          </w:p>
        </w:tc>
        <w:tc>
          <w:tcPr>
            <w:tcW w:w="380" w:type="dxa"/>
            <w:vAlign w:val="bottom"/>
          </w:tcPr>
          <w:p>
            <w:pPr>
              <w:spacing w:after="0"/>
              <w:rPr>
                <w:sz w:val="20"/>
                <w:szCs w:val="20"/>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7"/>
        </w:trPr>
        <w:tc>
          <w:tcPr>
            <w:tcW w:w="1680" w:type="dxa"/>
            <w:vAlign w:val="bottom"/>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80" w:type="dxa"/>
            <w:vAlign w:val="bottom"/>
            <w:vMerge w:val="continue"/>
          </w:tcPr>
          <w:p>
            <w:pPr>
              <w:spacing w:after="0"/>
              <w:rPr>
                <w:sz w:val="14"/>
                <w:szCs w:val="14"/>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88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80" w:type="dxa"/>
            <w:vAlign w:val="bottom"/>
            <w:vMerge w:val="restart"/>
          </w:tcPr>
          <w:p>
            <w:pPr>
              <w:jc w:val="center"/>
              <w:ind w:right="330"/>
              <w:spacing w:after="0"/>
              <w:rPr>
                <w:sz w:val="20"/>
                <w:szCs w:val="20"/>
                <w:color w:val="auto"/>
              </w:rPr>
            </w:pPr>
            <w:r>
              <w:rPr>
                <w:rFonts w:ascii="Arial" w:cs="Arial" w:eastAsia="Arial" w:hAnsi="Arial"/>
                <w:sz w:val="18"/>
                <w:szCs w:val="18"/>
                <w:color w:val="auto"/>
                <w:w w:val="94"/>
              </w:rPr>
              <w:t>SHARES</w:t>
            </w:r>
          </w:p>
        </w:tc>
        <w:tc>
          <w:tcPr>
            <w:tcW w:w="380" w:type="dxa"/>
            <w:vAlign w:val="bottom"/>
            <w:vMerge w:val="continue"/>
          </w:tcPr>
          <w:p>
            <w:pPr>
              <w:spacing w:after="0"/>
              <w:rPr>
                <w:sz w:val="10"/>
                <w:szCs w:val="10"/>
                <w:color w:val="auto"/>
              </w:rPr>
            </w:pPr>
          </w:p>
        </w:tc>
        <w:tc>
          <w:tcPr>
            <w:tcW w:w="8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8"/>
                <w:szCs w:val="18"/>
                <w:color w:val="auto"/>
              </w:rPr>
            </w:pPr>
          </w:p>
        </w:tc>
        <w:tc>
          <w:tcPr>
            <w:tcW w:w="8860" w:type="dxa"/>
            <w:vAlign w:val="bottom"/>
            <w:vMerge w:val="restart"/>
          </w:tcPr>
          <w:p>
            <w:pPr>
              <w:ind w:left="20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22"/>
        </w:trPr>
        <w:tc>
          <w:tcPr>
            <w:tcW w:w="168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OWNED BY</w:t>
            </w:r>
          </w:p>
        </w:tc>
        <w:tc>
          <w:tcPr>
            <w:tcW w:w="380" w:type="dxa"/>
            <w:vAlign w:val="bottom"/>
            <w:tcBorders>
              <w:bottom w:val="single" w:sz="8" w:color="auto"/>
            </w:tcBorders>
          </w:tcPr>
          <w:p>
            <w:pPr>
              <w:spacing w:after="0"/>
              <w:rPr>
                <w:sz w:val="10"/>
                <w:szCs w:val="10"/>
                <w:color w:val="auto"/>
              </w:rPr>
            </w:pPr>
          </w:p>
        </w:tc>
        <w:tc>
          <w:tcPr>
            <w:tcW w:w="8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80" w:type="dxa"/>
            <w:vAlign w:val="bottom"/>
            <w:vMerge w:val="continue"/>
          </w:tcPr>
          <w:p>
            <w:pPr>
              <w:spacing w:after="0"/>
              <w:rPr>
                <w:sz w:val="6"/>
                <w:szCs w:val="6"/>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88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8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EACH</w:t>
            </w:r>
          </w:p>
        </w:tc>
        <w:tc>
          <w:tcPr>
            <w:tcW w:w="380" w:type="dxa"/>
            <w:vAlign w:val="bottom"/>
            <w:vMerge w:val="continue"/>
          </w:tcPr>
          <w:p>
            <w:pPr>
              <w:spacing w:after="0"/>
              <w:rPr>
                <w:sz w:val="13"/>
                <w:szCs w:val="13"/>
                <w:color w:val="auto"/>
              </w:rPr>
            </w:pPr>
          </w:p>
        </w:tc>
        <w:tc>
          <w:tcPr>
            <w:tcW w:w="8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ind w:right="350"/>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spacing w:after="0"/>
              <w:rPr>
                <w:sz w:val="18"/>
                <w:szCs w:val="18"/>
                <w:color w:val="auto"/>
              </w:rPr>
            </w:pPr>
          </w:p>
        </w:tc>
        <w:tc>
          <w:tcPr>
            <w:tcW w:w="8860" w:type="dxa"/>
            <w:vAlign w:val="bottom"/>
            <w:vMerge w:val="restart"/>
          </w:tcPr>
          <w:p>
            <w:pPr>
              <w:ind w:left="20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36"/>
        </w:trPr>
        <w:tc>
          <w:tcPr>
            <w:tcW w:w="1680" w:type="dxa"/>
            <w:vAlign w:val="bottom"/>
            <w:vMerge w:val="restart"/>
          </w:tcPr>
          <w:p>
            <w:pPr>
              <w:jc w:val="center"/>
              <w:ind w:right="330"/>
              <w:spacing w:after="0"/>
              <w:rPr>
                <w:sz w:val="20"/>
                <w:szCs w:val="20"/>
                <w:color w:val="auto"/>
              </w:rPr>
            </w:pPr>
            <w:r>
              <w:rPr>
                <w:rFonts w:ascii="Arial" w:cs="Arial" w:eastAsia="Arial" w:hAnsi="Arial"/>
                <w:sz w:val="18"/>
                <w:szCs w:val="18"/>
                <w:color w:val="auto"/>
                <w:w w:val="92"/>
              </w:rPr>
              <w:t>PERSON</w:t>
            </w:r>
          </w:p>
        </w:tc>
        <w:tc>
          <w:tcPr>
            <w:tcW w:w="380" w:type="dxa"/>
            <w:vAlign w:val="bottom"/>
          </w:tcPr>
          <w:p>
            <w:pPr>
              <w:spacing w:after="0"/>
              <w:rPr>
                <w:sz w:val="11"/>
                <w:szCs w:val="11"/>
                <w:color w:val="auto"/>
              </w:rPr>
            </w:pPr>
          </w:p>
        </w:tc>
        <w:tc>
          <w:tcPr>
            <w:tcW w:w="8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68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tcBorders>
          </w:tcPr>
          <w:p>
            <w:pPr>
              <w:spacing w:after="0"/>
              <w:rPr>
                <w:sz w:val="11"/>
                <w:szCs w:val="11"/>
                <w:color w:val="auto"/>
              </w:rPr>
            </w:pPr>
          </w:p>
        </w:tc>
        <w:tc>
          <w:tcPr>
            <w:tcW w:w="8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680" w:type="dxa"/>
            <w:vAlign w:val="bottom"/>
            <w:vMerge w:val="continue"/>
          </w:tcPr>
          <w:p>
            <w:pPr>
              <w:spacing w:after="0"/>
              <w:rPr>
                <w:sz w:val="6"/>
                <w:szCs w:val="6"/>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86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- 0 -</w:t>
      </w:r>
    </w:p>
    <w:p>
      <w:pPr>
        <w:spacing w:after="0" w:line="50" w:lineRule="exact"/>
        <w:rPr>
          <w:sz w:val="20"/>
          <w:szCs w:val="20"/>
          <w:color w:val="auto"/>
        </w:rPr>
      </w:pPr>
    </w:p>
    <w:p>
      <w:pPr>
        <w:ind w:left="580" w:right="4300" w:hanging="461"/>
        <w:spacing w:after="0" w:line="277" w:lineRule="auto"/>
        <w:tabs>
          <w:tab w:leader="none" w:pos="580" w:val="left"/>
        </w:tabs>
        <w:numPr>
          <w:ilvl w:val="0"/>
          <w:numId w:val="7"/>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 - 0 -</w:t>
      </w:r>
    </w:p>
    <w:p>
      <w:pPr>
        <w:ind w:left="580" w:hanging="461"/>
        <w:spacing w:after="0" w:line="411" w:lineRule="exact"/>
        <w:tabs>
          <w:tab w:leader="none" w:pos="58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101" w:lineRule="exact"/>
        <w:rPr>
          <w:rFonts w:ascii="Arial" w:cs="Arial" w:eastAsia="Arial" w:hAnsi="Arial"/>
          <w:sz w:val="36"/>
          <w:szCs w:val="36"/>
          <w:color w:val="auto"/>
          <w:vertAlign w:val="subscript"/>
        </w:rPr>
      </w:pPr>
    </w:p>
    <w:p>
      <w:pPr>
        <w:ind w:left="580" w:right="5900" w:hanging="461"/>
        <w:spacing w:after="0" w:line="256" w:lineRule="auto"/>
        <w:tabs>
          <w:tab w:leader="none" w:pos="58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0%</w:t>
      </w:r>
    </w:p>
    <w:p>
      <w:pPr>
        <w:ind w:left="580" w:right="8340" w:hanging="461"/>
        <w:spacing w:after="0" w:line="287" w:lineRule="auto"/>
        <w:tabs>
          <w:tab w:leader="none" w:pos="58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380" w:type="dxa"/>
            <w:vAlign w:val="bottom"/>
            <w:gridSpan w:val="15"/>
          </w:tcPr>
          <w:p>
            <w:pPr>
              <w:ind w:left="260"/>
              <w:spacing w:after="0"/>
              <w:rPr>
                <w:sz w:val="20"/>
                <w:szCs w:val="20"/>
                <w:color w:val="auto"/>
              </w:rPr>
            </w:pPr>
            <w:r>
              <w:rPr>
                <w:rFonts w:ascii="Arial" w:cs="Arial" w:eastAsia="Arial" w:hAnsi="Arial"/>
                <w:sz w:val="18"/>
                <w:szCs w:val="18"/>
                <w:b w:val="1"/>
                <w:bCs w:val="1"/>
                <w:color w:val="auto"/>
              </w:rPr>
              <w:t>Name of Issuer:</w:t>
            </w:r>
          </w:p>
        </w:tc>
      </w:tr>
      <w:tr>
        <w:trPr>
          <w:trHeight w:val="392"/>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Veracyte, Inc. (the “Issuer”)</w:t>
            </w: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380" w:type="dxa"/>
            <w:vAlign w:val="bottom"/>
            <w:gridSpan w:val="15"/>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18"/>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6000 Shoreline Court, Suite 300</w:t>
            </w:r>
          </w:p>
        </w:tc>
      </w:tr>
      <w:tr>
        <w:trPr>
          <w:trHeight w:val="230"/>
        </w:trPr>
        <w:tc>
          <w:tcPr>
            <w:tcW w:w="1040" w:type="dxa"/>
            <w:vAlign w:val="bottom"/>
          </w:tcPr>
          <w:p>
            <w:pPr>
              <w:spacing w:after="0"/>
              <w:rPr>
                <w:sz w:val="20"/>
                <w:szCs w:val="20"/>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South San Francisco, California 94080</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380" w:type="dxa"/>
            <w:vAlign w:val="bottom"/>
            <w:gridSpan w:val="15"/>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418"/>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w w:val="97"/>
              </w:rPr>
              <w:t>This Amendment No. 1 to Schedule 13G is being filed jointly by TPG Group Holdings (SBS) Advisors, Inc., a Delaware corporation</w:t>
            </w:r>
          </w:p>
        </w:tc>
      </w:tr>
      <w:tr>
        <w:trPr>
          <w:trHeight w:val="190"/>
        </w:trPr>
        <w:tc>
          <w:tcPr>
            <w:tcW w:w="1040" w:type="dxa"/>
            <w:vAlign w:val="bottom"/>
          </w:tcPr>
          <w:p>
            <w:pPr>
              <w:spacing w:after="0"/>
              <w:rPr>
                <w:sz w:val="16"/>
                <w:szCs w:val="16"/>
                <w:color w:val="auto"/>
              </w:rPr>
            </w:pPr>
          </w:p>
        </w:tc>
        <w:tc>
          <w:tcPr>
            <w:tcW w:w="10380" w:type="dxa"/>
            <w:vAlign w:val="bottom"/>
            <w:gridSpan w:val="15"/>
          </w:tcPr>
          <w:p>
            <w:pPr>
              <w:ind w:left="260"/>
              <w:spacing w:after="0" w:line="190" w:lineRule="exact"/>
              <w:rPr>
                <w:sz w:val="20"/>
                <w:szCs w:val="20"/>
                <w:color w:val="auto"/>
              </w:rPr>
            </w:pPr>
            <w:r>
              <w:rPr>
                <w:rFonts w:ascii="Arial" w:cs="Arial" w:eastAsia="Arial" w:hAnsi="Arial"/>
                <w:sz w:val="18"/>
                <w:szCs w:val="18"/>
                <w:color w:val="auto"/>
                <w:w w:val="91"/>
              </w:rPr>
              <w:t>(“Group Advisors”), David Bonderman and James G. Coulter (each, a “Reporting Person” and, together, the “Reporting Persons”), pursuant</w:t>
            </w: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to an Agreement of Joint Filing incorporated by reference herein in accordance with Rule 13d-1(k)(1) under the Act.</w:t>
            </w:r>
          </w:p>
        </w:tc>
      </w:tr>
      <w:tr>
        <w:trPr>
          <w:trHeight w:val="418"/>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w w:val="96"/>
              </w:rPr>
              <w:t>Group Advisors is the sole member of TPG Group Holdings (SBS) Advisors, LLC, a Delaware limited liability company, which is the</w:t>
            </w:r>
          </w:p>
        </w:tc>
      </w:tr>
      <w:tr>
        <w:trPr>
          <w:trHeight w:val="216"/>
        </w:trPr>
        <w:tc>
          <w:tcPr>
            <w:tcW w:w="1040" w:type="dxa"/>
            <w:vAlign w:val="bottom"/>
          </w:tcPr>
          <w:p>
            <w:pPr>
              <w:spacing w:after="0"/>
              <w:rPr>
                <w:sz w:val="18"/>
                <w:szCs w:val="18"/>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w w:val="92"/>
              </w:rPr>
              <w:t>general partner of TPG Group Holdings (SBS), L.P., a Delaware limited partnership, which is the sole member of TPG Holdings I-A, LLC,</w:t>
            </w:r>
          </w:p>
        </w:tc>
      </w:tr>
      <w:tr>
        <w:trPr>
          <w:trHeight w:val="216"/>
        </w:trPr>
        <w:tc>
          <w:tcPr>
            <w:tcW w:w="1040" w:type="dxa"/>
            <w:vAlign w:val="bottom"/>
          </w:tcPr>
          <w:p>
            <w:pPr>
              <w:spacing w:after="0"/>
              <w:rPr>
                <w:sz w:val="18"/>
                <w:szCs w:val="18"/>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w w:val="95"/>
              </w:rPr>
              <w:t>a Delaware limited liability company, which is the general partner of TPG Holdings I, L.P., a Delaware limited partnership, which is the</w:t>
            </w:r>
          </w:p>
        </w:tc>
      </w:tr>
      <w:tr>
        <w:trPr>
          <w:trHeight w:val="216"/>
        </w:trPr>
        <w:tc>
          <w:tcPr>
            <w:tcW w:w="1040" w:type="dxa"/>
            <w:vAlign w:val="bottom"/>
          </w:tcPr>
          <w:p>
            <w:pPr>
              <w:spacing w:after="0"/>
              <w:rPr>
                <w:sz w:val="18"/>
                <w:szCs w:val="18"/>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w w:val="94"/>
              </w:rPr>
              <w:t>sole member of TPG Biotechnology GenPar II Advisors, LLC, a Delaware limited liability company, which is the general partner of TPG</w:t>
            </w:r>
          </w:p>
        </w:tc>
      </w:tr>
      <w:tr>
        <w:trPr>
          <w:trHeight w:val="216"/>
        </w:trPr>
        <w:tc>
          <w:tcPr>
            <w:tcW w:w="1040" w:type="dxa"/>
            <w:vAlign w:val="bottom"/>
          </w:tcPr>
          <w:p>
            <w:pPr>
              <w:spacing w:after="0"/>
              <w:rPr>
                <w:sz w:val="18"/>
                <w:szCs w:val="18"/>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w w:val="96"/>
              </w:rPr>
              <w:t>Biotechnology GenPar II, L.P., a Delaware limited partnership, which is the general partner of TPG Biotechnology Partners II, L.P., a</w:t>
            </w:r>
          </w:p>
        </w:tc>
      </w:tr>
      <w:tr>
        <w:trPr>
          <w:trHeight w:val="190"/>
        </w:trPr>
        <w:tc>
          <w:tcPr>
            <w:tcW w:w="1040" w:type="dxa"/>
            <w:vAlign w:val="bottom"/>
          </w:tcPr>
          <w:p>
            <w:pPr>
              <w:spacing w:after="0"/>
              <w:rPr>
                <w:sz w:val="16"/>
                <w:szCs w:val="16"/>
                <w:color w:val="auto"/>
              </w:rPr>
            </w:pPr>
          </w:p>
        </w:tc>
        <w:tc>
          <w:tcPr>
            <w:tcW w:w="10380" w:type="dxa"/>
            <w:vAlign w:val="bottom"/>
            <w:gridSpan w:val="15"/>
          </w:tcPr>
          <w:p>
            <w:pPr>
              <w:ind w:left="260"/>
              <w:spacing w:after="0" w:line="190" w:lineRule="exact"/>
              <w:rPr>
                <w:sz w:val="20"/>
                <w:szCs w:val="20"/>
                <w:color w:val="auto"/>
              </w:rPr>
            </w:pPr>
            <w:r>
              <w:rPr>
                <w:rFonts w:ascii="Arial" w:cs="Arial" w:eastAsia="Arial" w:hAnsi="Arial"/>
                <w:sz w:val="18"/>
                <w:szCs w:val="18"/>
                <w:color w:val="auto"/>
                <w:w w:val="98"/>
              </w:rPr>
              <w:t>Delaware limited partnership (“TPG Biotech II”), which directly held shares of Common Stock (as defined below) of the Issuer (the</w:t>
            </w: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15"/>
          </w:tcPr>
          <w:p>
            <w:pPr>
              <w:ind w:left="260"/>
              <w:spacing w:after="0" w:line="196" w:lineRule="exact"/>
              <w:rPr>
                <w:sz w:val="20"/>
                <w:szCs w:val="20"/>
                <w:color w:val="auto"/>
              </w:rPr>
            </w:pPr>
            <w:r>
              <w:rPr>
                <w:rFonts w:ascii="Arial" w:cs="Arial" w:eastAsia="Arial" w:hAnsi="Arial"/>
                <w:sz w:val="18"/>
                <w:szCs w:val="18"/>
                <w:color w:val="auto"/>
                <w:w w:val="94"/>
              </w:rPr>
              <w:t>“Shares”) reported herein. Because of Group Advisors’ relationship to TPG Biotech II, Group Advisors may have been deemed to have</w:t>
            </w: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beneficially owned the Shares directly held by TPG Biotech II.</w:t>
            </w:r>
          </w:p>
        </w:tc>
      </w:tr>
      <w:tr>
        <w:trPr>
          <w:trHeight w:val="418"/>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w w:val="90"/>
              </w:rPr>
              <w:t>David Bonderman and James G. Coulter are sole shareholders of Group Advisors and may therefore have been deemed to have beneficially</w:t>
            </w:r>
          </w:p>
        </w:tc>
      </w:tr>
      <w:tr>
        <w:trPr>
          <w:trHeight w:val="216"/>
        </w:trPr>
        <w:tc>
          <w:tcPr>
            <w:tcW w:w="1040" w:type="dxa"/>
            <w:vAlign w:val="bottom"/>
          </w:tcPr>
          <w:p>
            <w:pPr>
              <w:spacing w:after="0"/>
              <w:rPr>
                <w:sz w:val="18"/>
                <w:szCs w:val="18"/>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w w:val="90"/>
              </w:rPr>
              <w:t>owned the Shares held by TPG Biotech II. Messrs. Bonderman and Coulter disclaim beneficial ownership of the Shares except to the extent</w:t>
            </w:r>
          </w:p>
        </w:tc>
      </w:tr>
      <w:tr>
        <w:trPr>
          <w:trHeight w:val="230"/>
        </w:trPr>
        <w:tc>
          <w:tcPr>
            <w:tcW w:w="1040" w:type="dxa"/>
            <w:vAlign w:val="bottom"/>
          </w:tcPr>
          <w:p>
            <w:pPr>
              <w:spacing w:after="0"/>
              <w:rPr>
                <w:sz w:val="20"/>
                <w:szCs w:val="20"/>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of their pecuniary interest therein.</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380" w:type="dxa"/>
            <w:vAlign w:val="bottom"/>
            <w:gridSpan w:val="15"/>
          </w:tcPr>
          <w:p>
            <w:pPr>
              <w:ind w:left="2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The principal business address of each of the Reporting Persons is as follows:</w:t>
            </w:r>
          </w:p>
        </w:tc>
      </w:tr>
      <w:tr>
        <w:trPr>
          <w:trHeight w:val="418"/>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c/o TPG Global, LLC</w:t>
            </w:r>
          </w:p>
        </w:tc>
      </w:tr>
      <w:tr>
        <w:trPr>
          <w:trHeight w:val="216"/>
        </w:trPr>
        <w:tc>
          <w:tcPr>
            <w:tcW w:w="1040" w:type="dxa"/>
            <w:vAlign w:val="bottom"/>
          </w:tcPr>
          <w:p>
            <w:pPr>
              <w:spacing w:after="0"/>
              <w:rPr>
                <w:sz w:val="18"/>
                <w:szCs w:val="18"/>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301 Commerce Street, Suite 3300</w:t>
            </w:r>
          </w:p>
        </w:tc>
      </w:tr>
      <w:tr>
        <w:trPr>
          <w:trHeight w:val="230"/>
        </w:trPr>
        <w:tc>
          <w:tcPr>
            <w:tcW w:w="1040" w:type="dxa"/>
            <w:vAlign w:val="bottom"/>
          </w:tcPr>
          <w:p>
            <w:pPr>
              <w:spacing w:after="0"/>
              <w:rPr>
                <w:sz w:val="20"/>
                <w:szCs w:val="20"/>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Fort Worth, Texas 76102</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380" w:type="dxa"/>
            <w:vAlign w:val="bottom"/>
            <w:gridSpan w:val="15"/>
          </w:tcPr>
          <w:p>
            <w:pPr>
              <w:ind w:left="260"/>
              <w:spacing w:after="0"/>
              <w:rPr>
                <w:sz w:val="20"/>
                <w:szCs w:val="20"/>
                <w:color w:val="auto"/>
              </w:rPr>
            </w:pPr>
            <w:r>
              <w:rPr>
                <w:rFonts w:ascii="Arial" w:cs="Arial" w:eastAsia="Arial" w:hAnsi="Arial"/>
                <w:sz w:val="18"/>
                <w:szCs w:val="18"/>
                <w:b w:val="1"/>
                <w:bCs w:val="1"/>
                <w:color w:val="auto"/>
              </w:rPr>
              <w:t>Citizenship:</w:t>
            </w:r>
          </w:p>
        </w:tc>
      </w:tr>
      <w:tr>
        <w:trPr>
          <w:trHeight w:val="432"/>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See responses to Item 4 of each of the cover pages.</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380" w:type="dxa"/>
            <w:vAlign w:val="bottom"/>
            <w:gridSpan w:val="15"/>
          </w:tcPr>
          <w:p>
            <w:pPr>
              <w:ind w:left="260"/>
              <w:spacing w:after="0"/>
              <w:rPr>
                <w:sz w:val="20"/>
                <w:szCs w:val="20"/>
                <w:color w:val="auto"/>
              </w:rPr>
            </w:pPr>
            <w:r>
              <w:rPr>
                <w:rFonts w:ascii="Arial" w:cs="Arial" w:eastAsia="Arial" w:hAnsi="Arial"/>
                <w:sz w:val="18"/>
                <w:szCs w:val="18"/>
                <w:b w:val="1"/>
                <w:bCs w:val="1"/>
                <w:color w:val="auto"/>
              </w:rPr>
              <w:t>Titles of Classes of Securities:</w:t>
            </w:r>
          </w:p>
        </w:tc>
      </w:tr>
      <w:tr>
        <w:trPr>
          <w:trHeight w:val="392"/>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Common Stock, $0.001 par value (“Common Stock”)</w:t>
            </w:r>
          </w:p>
        </w:tc>
      </w:tr>
      <w:tr>
        <w:trPr>
          <w:trHeight w:val="453"/>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2860" w:type="dxa"/>
            <w:vAlign w:val="bottom"/>
            <w:gridSpan w:val="8"/>
          </w:tcPr>
          <w:p>
            <w:pPr>
              <w:ind w:left="260"/>
              <w:spacing w:after="0"/>
              <w:rPr>
                <w:sz w:val="20"/>
                <w:szCs w:val="20"/>
                <w:color w:val="auto"/>
              </w:rPr>
            </w:pPr>
            <w:r>
              <w:rPr>
                <w:rFonts w:ascii="Arial" w:cs="Arial" w:eastAsia="Arial" w:hAnsi="Arial"/>
                <w:sz w:val="18"/>
                <w:szCs w:val="18"/>
                <w:b w:val="1"/>
                <w:bCs w:val="1"/>
                <w:color w:val="auto"/>
              </w:rPr>
              <w:t>CUSIP Number:</w:t>
            </w:r>
          </w:p>
        </w:tc>
        <w:tc>
          <w:tcPr>
            <w:tcW w:w="1140" w:type="dxa"/>
            <w:vAlign w:val="bottom"/>
            <w:tcBorders>
              <w:top w:val="single" w:sz="8" w:color="auto"/>
            </w:tcBorders>
            <w:gridSpan w:val="2"/>
          </w:tcPr>
          <w:p>
            <w:pPr>
              <w:spacing w:after="0"/>
              <w:rPr>
                <w:sz w:val="24"/>
                <w:szCs w:val="24"/>
                <w:color w:val="auto"/>
              </w:rPr>
            </w:pPr>
          </w:p>
        </w:tc>
        <w:tc>
          <w:tcPr>
            <w:tcW w:w="6380" w:type="dxa"/>
            <w:vAlign w:val="bottom"/>
            <w:gridSpan w:val="5"/>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0380" w:type="dxa"/>
            <w:vAlign w:val="bottom"/>
            <w:gridSpan w:val="15"/>
          </w:tcPr>
          <w:p>
            <w:pPr>
              <w:ind w:left="260"/>
              <w:spacing w:after="0"/>
              <w:rPr>
                <w:sz w:val="20"/>
                <w:szCs w:val="20"/>
                <w:color w:val="auto"/>
              </w:rPr>
            </w:pPr>
            <w:r>
              <w:rPr>
                <w:rFonts w:ascii="Arial" w:cs="Arial" w:eastAsia="Arial" w:hAnsi="Arial"/>
                <w:sz w:val="18"/>
                <w:szCs w:val="18"/>
                <w:color w:val="auto"/>
              </w:rPr>
              <w:t>92337F107</w:t>
            </w:r>
          </w:p>
        </w:tc>
      </w:tr>
      <w:tr>
        <w:trPr>
          <w:trHeight w:val="540"/>
        </w:trPr>
        <w:tc>
          <w:tcPr>
            <w:tcW w:w="10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11"/>
          </w:tcPr>
          <w:p>
            <w:pPr>
              <w:ind w:left="460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a(n):</w:t>
      </w:r>
    </w:p>
    <w:p>
      <w:pPr>
        <w:spacing w:after="0" w:line="197" w:lineRule="exact"/>
        <w:rPr>
          <w:sz w:val="20"/>
          <w:szCs w:val="20"/>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 (15 U.S.C. 78o).</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 (15 U.S.C. 78c).</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 (15 U.S.C. 78c).</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§240.13d-1(b)(1)(ii)(E).</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§240.13d-1(b)(1)(ii)(F).</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§240.13d-1(b)(1)(ii)(G).</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(13 U.S.C. 1813).</w:t>
      </w:r>
    </w:p>
    <w:p>
      <w:pPr>
        <w:spacing w:after="0" w:line="225" w:lineRule="exact"/>
        <w:rPr>
          <w:rFonts w:ascii="Arial" w:cs="Arial" w:eastAsia="Arial" w:hAnsi="Arial"/>
          <w:sz w:val="18"/>
          <w:szCs w:val="18"/>
          <w:color w:val="auto"/>
        </w:rPr>
      </w:pPr>
    </w:p>
    <w:p>
      <w:pPr>
        <w:ind w:left="1620" w:hanging="315"/>
        <w:spacing w:after="0" w:line="239"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(15 U.S.C. 80a-3).</w:t>
      </w:r>
    </w:p>
    <w:p>
      <w:pPr>
        <w:spacing w:after="0" w:line="197"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§240. 13d-1(b)(1)(ii)(J).</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§240. 13d-1(b)(1)(ii)(J), please specify the type of institution: ______________</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22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responses to Item 9 on each cover page.</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22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responses to Item 11 on each cover page.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1" w:lineRule="exact"/>
        <w:rPr>
          <w:rFonts w:ascii="Arial" w:cs="Arial" w:eastAsia="Arial" w:hAnsi="Arial"/>
          <w:sz w:val="18"/>
          <w:szCs w:val="18"/>
          <w:color w:val="auto"/>
        </w:rPr>
      </w:pPr>
    </w:p>
    <w:p>
      <w:pPr>
        <w:ind w:left="1620" w:right="6480" w:hanging="315"/>
        <w:spacing w:after="0" w:line="679" w:lineRule="auto"/>
        <w:tabs>
          <w:tab w:leader="none" w:pos="1620" w:val="left"/>
        </w:tabs>
        <w:numPr>
          <w:ilvl w:val="1"/>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Sole power to vote or to direct the vote: </w:t>
      </w:r>
      <w:r>
        <w:rPr>
          <w:rFonts w:ascii="Arial" w:cs="Arial" w:eastAsia="Arial" w:hAnsi="Arial"/>
          <w:sz w:val="15"/>
          <w:szCs w:val="15"/>
          <w:color w:val="auto"/>
        </w:rPr>
        <w:t>See responses to Item 5 on each cover page.</w:t>
      </w: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Shared power to vote or to direct the vote:</w:t>
            </w:r>
          </w:p>
        </w:tc>
      </w:tr>
      <w:tr>
        <w:trPr>
          <w:trHeight w:val="432"/>
        </w:trPr>
        <w:tc>
          <w:tcPr>
            <w:tcW w:w="980" w:type="dxa"/>
            <w:vAlign w:val="bottom"/>
          </w:tcPr>
          <w:p>
            <w:pPr>
              <w:spacing w:after="0"/>
              <w:rPr>
                <w:sz w:val="24"/>
                <w:szCs w:val="24"/>
                <w:color w:val="auto"/>
              </w:rPr>
            </w:pPr>
          </w:p>
        </w:tc>
        <w:tc>
          <w:tcPr>
            <w:tcW w:w="10440" w:type="dxa"/>
            <w:vAlign w:val="bottom"/>
          </w:tcPr>
          <w:p>
            <w:pPr>
              <w:ind w:left="640"/>
              <w:spacing w:after="0"/>
              <w:rPr>
                <w:sz w:val="20"/>
                <w:szCs w:val="20"/>
                <w:color w:val="auto"/>
              </w:rPr>
            </w:pPr>
            <w:r>
              <w:rPr>
                <w:rFonts w:ascii="Arial" w:cs="Arial" w:eastAsia="Arial" w:hAnsi="Arial"/>
                <w:sz w:val="18"/>
                <w:szCs w:val="18"/>
                <w:color w:val="auto"/>
              </w:rPr>
              <w:t>See responses to Item 6 on each cover page.</w:t>
            </w:r>
          </w:p>
        </w:tc>
      </w:tr>
      <w:tr>
        <w:trPr>
          <w:trHeight w:val="432"/>
        </w:trPr>
        <w:tc>
          <w:tcPr>
            <w:tcW w:w="98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b w:val="1"/>
                <w:bCs w:val="1"/>
                <w:color w:val="auto"/>
              </w:rPr>
              <w:t>Sole power to dispose or to direct the disposition of:</w:t>
            </w:r>
          </w:p>
        </w:tc>
      </w:tr>
      <w:tr>
        <w:trPr>
          <w:trHeight w:val="432"/>
        </w:trPr>
        <w:tc>
          <w:tcPr>
            <w:tcW w:w="980" w:type="dxa"/>
            <w:vAlign w:val="bottom"/>
          </w:tcPr>
          <w:p>
            <w:pPr>
              <w:spacing w:after="0"/>
              <w:rPr>
                <w:sz w:val="24"/>
                <w:szCs w:val="24"/>
                <w:color w:val="auto"/>
              </w:rPr>
            </w:pPr>
          </w:p>
        </w:tc>
        <w:tc>
          <w:tcPr>
            <w:tcW w:w="10440" w:type="dxa"/>
            <w:vAlign w:val="bottom"/>
          </w:tcPr>
          <w:p>
            <w:pPr>
              <w:ind w:left="640"/>
              <w:spacing w:after="0"/>
              <w:rPr>
                <w:sz w:val="20"/>
                <w:szCs w:val="20"/>
                <w:color w:val="auto"/>
              </w:rPr>
            </w:pPr>
            <w:r>
              <w:rPr>
                <w:rFonts w:ascii="Arial" w:cs="Arial" w:eastAsia="Arial" w:hAnsi="Arial"/>
                <w:sz w:val="18"/>
                <w:szCs w:val="18"/>
                <w:color w:val="auto"/>
              </w:rPr>
              <w:t>See responses to Item 7 on each cover page.</w:t>
            </w:r>
          </w:p>
        </w:tc>
      </w:tr>
      <w:tr>
        <w:trPr>
          <w:trHeight w:val="432"/>
        </w:trPr>
        <w:tc>
          <w:tcPr>
            <w:tcW w:w="98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b w:val="1"/>
                <w:bCs w:val="1"/>
                <w:color w:val="auto"/>
              </w:rPr>
              <w:t>Shared power to dispose or to direct the disposition of:</w:t>
            </w:r>
          </w:p>
        </w:tc>
      </w:tr>
      <w:tr>
        <w:trPr>
          <w:trHeight w:val="432"/>
        </w:trPr>
        <w:tc>
          <w:tcPr>
            <w:tcW w:w="980" w:type="dxa"/>
            <w:vAlign w:val="bottom"/>
          </w:tcPr>
          <w:p>
            <w:pPr>
              <w:spacing w:after="0"/>
              <w:rPr>
                <w:sz w:val="24"/>
                <w:szCs w:val="24"/>
                <w:color w:val="auto"/>
              </w:rPr>
            </w:pPr>
          </w:p>
        </w:tc>
        <w:tc>
          <w:tcPr>
            <w:tcW w:w="10440" w:type="dxa"/>
            <w:vAlign w:val="bottom"/>
          </w:tcPr>
          <w:p>
            <w:pPr>
              <w:ind w:left="640"/>
              <w:spacing w:after="0"/>
              <w:rPr>
                <w:sz w:val="20"/>
                <w:szCs w:val="20"/>
                <w:color w:val="auto"/>
              </w:rPr>
            </w:pPr>
            <w:r>
              <w:rPr>
                <w:rFonts w:ascii="Arial" w:cs="Arial" w:eastAsia="Arial" w:hAnsi="Arial"/>
                <w:sz w:val="18"/>
                <w:szCs w:val="18"/>
                <w:color w:val="auto"/>
              </w:rPr>
              <w:t>See responses to Item 8 on each cover page.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40" w:type="dxa"/>
            <w:vAlign w:val="bottom"/>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85"/>
        </w:trPr>
        <w:tc>
          <w:tcPr>
            <w:tcW w:w="98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83"/>
        </w:trPr>
        <w:tc>
          <w:tcPr>
            <w:tcW w:w="980" w:type="dxa"/>
            <w:vAlign w:val="bottom"/>
          </w:tcPr>
          <w:p>
            <w:pPr>
              <w:spacing w:after="0"/>
              <w:rPr>
                <w:sz w:val="24"/>
                <w:szCs w:val="24"/>
                <w:color w:val="auto"/>
              </w:rPr>
            </w:pPr>
          </w:p>
        </w:tc>
        <w:tc>
          <w:tcPr>
            <w:tcW w:w="1044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40" w:type="dxa"/>
            <w:vAlign w:val="bottom"/>
          </w:tcPr>
          <w:p>
            <w:pPr>
              <w:ind w:left="32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1044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98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See response to Item 2(a) above.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4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4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4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r>
      <w:tr>
        <w:trPr>
          <w:trHeight w:val="432"/>
        </w:trPr>
        <w:tc>
          <w:tcPr>
            <w:tcW w:w="98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540"/>
        </w:trPr>
        <w:tc>
          <w:tcPr>
            <w:tcW w:w="98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ind w:left="46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79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tabs>
          <w:tab w:leader="none" w:pos="63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Bradford Berenson, on behalf of David Bonderman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Bradford Berenson, on behalf of James G. Coulter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1449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firstLine="8"/>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Bradford Berenson is signing on behalf of Mr. Bonderman pursuant to an authorization and designation letter dated March 13, 2018, which was previously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as an exhibit to a Schedule 13G filed by Mr. Bonderman on April 2, 2018 (SEC File No. 005-90172).</w:t>
      </w:r>
    </w:p>
    <w:p>
      <w:pPr>
        <w:spacing w:after="0" w:line="181" w:lineRule="exact"/>
        <w:rPr>
          <w:rFonts w:ascii="Arial" w:cs="Arial" w:eastAsia="Arial" w:hAnsi="Arial"/>
          <w:sz w:val="18"/>
          <w:szCs w:val="18"/>
          <w:color w:val="auto"/>
        </w:rPr>
      </w:pPr>
    </w:p>
    <w:p>
      <w:pPr>
        <w:ind w:right="30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Bradford Berenson is signing on behalf of Mr. Coulter pursuant to an authorization and designation letter dated March 13, 2018, which was previously filed with the Commission as an exhibit to a Schedule 13G filed by Mr. Coulter on April 2, 2018 (SEC File No. 005-90172).</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ind w:right="-23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Agreement of Joint Filing as required by Rule 13d-1(k)(1)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49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8"/>
        <w:spacing w:after="0" w:line="259" w:lineRule="auto"/>
        <w:tabs>
          <w:tab w:leader="none" w:pos="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herein by reference to the Agreement of Joint Filing by TPG Advisors II, Inc., TPG Advisors III, Inc., TPG Advisors V, Inc., TPG Advisors VI, Inc., T3 Advisors, Inc., T3 Advisors II, Inc., TPG Group Holdings (SBS) Advisors, Inc., David Bonderman and James G. Coulter, dated as of February 14, 2011, which was previously filed with the Commission as Exhibit 1 to Schedule 13G filed by TPG Group Holdings (SBS) Advisors, Inc., David Bonderman and James G. Coulter on February 14, 2011.</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80"/>
      </w:cols>
      <w:pgMar w:left="240" w:top="10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2020-02-13T16:20:08Z</dcterms:created>
  <dcterms:modified xsi:type="dcterms:W3CDTF">2020-02-13T16:20:08Z</dcterms:modified>
</cp:coreProperties>
</file>