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80" w:space="720"/>
            <w:col w:w="3020" w:space="720"/>
            <w:col w:w="2920"/>
          </w:cols>
          <w:pgMar w:left="240" w:top="544" w:right="199" w:bottom="0" w:gutter="0" w:footer="0" w:header="0"/>
          <w:type w:val="continuous"/>
        </w:sectPr>
      </w:pPr>
    </w:p>
    <w:p>
      <w:pPr>
        <w:spacing w:after="0" w:line="7"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92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8020" w:space="720"/>
            <w:col w:w="272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March 10, 2016, Veracyte, Inc. issued a press release announcing its financial results for the quarter and the year ended December 31, 2015.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5508"/>
              <w:spacing w:after="0"/>
              <w:rPr>
                <w:sz w:val="20"/>
                <w:szCs w:val="20"/>
                <w:color w:val="auto"/>
              </w:rPr>
            </w:pPr>
            <w:r>
              <w:rPr>
                <w:rFonts w:ascii="Arial" w:cs="Arial" w:eastAsia="Arial" w:hAnsi="Arial"/>
                <w:sz w:val="18"/>
                <w:szCs w:val="18"/>
                <w:color w:val="auto"/>
                <w:w w:val="94"/>
              </w:rPr>
              <w:t>Press release issued by Veracyte, Inc. dated March 10, 2016.</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March 10, 2016</w:t>
      </w:r>
    </w:p>
    <w:p>
      <w:pPr>
        <w:sectPr>
          <w:pgSz w:w="11900" w:h="16838" w:orient="portrait"/>
          <w:cols w:equalWidth="0" w:num="1">
            <w:col w:w="11460"/>
          </w:cols>
          <w:pgMar w:left="240" w:top="544" w:right="199" w:bottom="0" w:gutter="0" w:footer="0" w:header="0"/>
          <w:type w:val="continuous"/>
        </w:sectPr>
      </w:pPr>
    </w:p>
    <w:bookmarkStart w:id="1" w:name="page2"/>
    <w:bookmarkEnd w:id="1"/>
    <w:p>
      <w:pPr>
        <w:ind w:left="5900"/>
        <w:spacing w:after="0"/>
        <w:rPr>
          <w:sz w:val="20"/>
          <w:szCs w:val="20"/>
          <w:color w:val="auto"/>
        </w:rPr>
      </w:pPr>
      <w:r>
        <w:rPr>
          <w:rFonts w:ascii="Arial" w:cs="Arial" w:eastAsia="Arial" w:hAnsi="Arial"/>
          <w:sz w:val="18"/>
          <w:szCs w:val="18"/>
          <w:color w:val="auto"/>
        </w:rPr>
        <w:t>VERACYTE, INC.</w:t>
      </w:r>
    </w:p>
    <w:p>
      <w:pPr>
        <w:spacing w:after="0" w:line="225"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58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416"/>
              <w:spacing w:after="0"/>
              <w:rPr>
                <w:sz w:val="20"/>
                <w:szCs w:val="20"/>
                <w:color w:val="auto"/>
              </w:rPr>
            </w:pPr>
            <w:r>
              <w:rPr>
                <w:rFonts w:ascii="Arial" w:cs="Arial" w:eastAsia="Arial" w:hAnsi="Arial"/>
                <w:sz w:val="18"/>
                <w:szCs w:val="18"/>
                <w:color w:val="auto"/>
                <w:w w:val="98"/>
              </w:rPr>
              <w:t>INDEX TO EXHIBITS</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by Veracyte, Inc. dated March 10, 2016.</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154940</wp:posOffset>
            </wp:positionV>
            <wp:extent cx="1492250" cy="823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22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Fourth Quarter and Full-Year 2015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Provides 2016 Financial Outlook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30% Growth in Revenue, 38% Increase in Afirma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GEC Volume for 2015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Increased Covered Lives for Afirma to 180 Million, In-Network Contracted Lives to 130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Concluding U.S. Co-promotion with Sanofi Genzyme to Retain Full Value of Afirma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SOUTH SAN FRANCISCO, Calif., March 10, 2016 -— Veracyte, Inc. (NASDAQ: VCYT) today announced financial results and business progress for the quarter and full year ended December 31, 2015, and provided financial guidance for 2016.</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had an excellent year in 2015, driving the growth of our Afirma Gene Expression Classifier (GEC), gaining payer coverage and reimbursement, and advancing our pulmonology program,” said Bonnie Anderson, president and chief executive officer of Veracyte. “We are firmly establishing Afirma as a new standard of care that helps patients avoid unnecessary surgery in thyroid cancer diagnosis. We are also creating a growing body of long-term clinical utility evidence and are well-positioned to further drive market penetration for our test.</w:t>
      </w:r>
    </w:p>
    <w:p>
      <w:pPr>
        <w:spacing w:after="0" w:line="18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also believe that the substantial clinical data now supporting our Percepta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Bronchial Genomic Classifier to improve diagnosis of lung nodules that are potentially cancerous will strengthen reimbursement and commercialization efforts for the new test. Additionally, we are advancing our pipeline with clinical studies underway to support the launch of our test to help diagnose idiopathic pulmonary fibrosis, or IPF, without the need for surgery. We are targeting launch of our IPF product during the fourth quarter of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2015 Financial Results</w:t>
      </w:r>
    </w:p>
    <w:p>
      <w:pPr>
        <w:spacing w:after="0" w:line="229" w:lineRule="exact"/>
        <w:rPr>
          <w:sz w:val="20"/>
          <w:szCs w:val="20"/>
          <w:color w:val="auto"/>
        </w:rPr>
      </w:pPr>
    </w:p>
    <w:p>
      <w:pPr>
        <w:jc w:val="both"/>
        <w:ind w:left="660" w:right="140" w:hanging="328"/>
        <w:spacing w:after="0" w:line="288"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was $14.0 million for the fourth quarter of 2015, an increase of 15%, compared to $12.2 million in the fourth quarter of 2014. Excluding a one-time revenue pick-up and cash receipts in the fourth quarter of 2014, the revenue increase was 23% for the fourth quarter of 2015, compared to the same quarter of the prior year. 2015 revenue was $49.5 million, an increase of 30%, compared to 2014 revenue of $38.2 million.</w:t>
      </w:r>
    </w:p>
    <w:p>
      <w:pPr>
        <w:ind w:left="660" w:right="38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Afirma GEC test volume grew to 5,609 during the fourth quarter of 2015, an increase of 38%, compared to the same period in 2014. Total GECs performed for 2015 also increased by 38% to 19,421, compared to 14,061 GEC tests for 2014.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660" w:right="20" w:hanging="328"/>
        <w:spacing w:after="0" w:line="258"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 for the fourth quarter of 2015 was $22.0 million, compared to $20.3 million for the comparable period in 2014. Operating expense for 2015 was $83.0 million compared to operating expense of $67.2 million for 2014.</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fourth quarter of 2015 was $8.0 million, or $0.29 per common share, compared to a net loss of $8.1 million, or $0.36 per common share, for the same period in 2014. Net loss for 2015 was $33.7 million, or $1.30 per common share, compared to a net loss of $29.4 million, or $1.36 per common share, for 2014.</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December 31, 2015 totaled $39.1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-1204595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and Recent Business Highlights</w:t>
      </w:r>
    </w:p>
    <w:p>
      <w:pPr>
        <w:spacing w:after="0" w:line="229" w:lineRule="exact"/>
        <w:rPr>
          <w:sz w:val="20"/>
          <w:szCs w:val="20"/>
          <w:color w:val="auto"/>
        </w:rPr>
      </w:pPr>
    </w:p>
    <w:p>
      <w:pPr>
        <w:ind w:left="660" w:right="280" w:hanging="328"/>
        <w:spacing w:after="0" w:line="256"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the total number of covered lives for the Afirma GEC to nearly 180 million today, including more than 45 million Blues plan members, compared to approximately 140 million total and 20 million Blues covered lives at the beginning of 2015, with new coverage from HCSC in December.</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Grew the total number of contracted lives for the Afirma GEC to nearly 130 million today from 90 million at the beginning of 2015.</w:t>
      </w:r>
    </w:p>
    <w:p>
      <w:pPr>
        <w:spacing w:after="0" w:line="9" w:lineRule="exact"/>
        <w:rPr>
          <w:rFonts w:ascii="Arial" w:cs="Arial" w:eastAsia="Arial" w:hAnsi="Arial"/>
          <w:sz w:val="18"/>
          <w:szCs w:val="18"/>
          <w:color w:val="auto"/>
        </w:rPr>
      </w:pPr>
    </w:p>
    <w:p>
      <w:pPr>
        <w:ind w:left="66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Significantly expanded the clinical utility evidence for the Afirma GEC, with more than a dozen such studies now published, including two long-term clinical outcome studies published in peer-reviewed journals, and another study, conducted by Anthem, Inc. subsidiary HealthCore, presented at a major medical conference in October.</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Concluding U.S. co-promotion agreement with Sanofi Genzyme, effective mid-September 2016, when Veracyte will assume full sales and marketing responsibility for Afirma. This will allow us to end payments to Sanofi Genzyme of 15% of all U.S. Afirma sales.</w:t>
      </w:r>
    </w:p>
    <w:p>
      <w:pPr>
        <w:ind w:left="660" w:right="14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Launched the Percepta Bronchial Genomic Classifier ahead of schedule in April, followed by strong clinical validation data published in </w:t>
      </w:r>
      <w:r>
        <w:rPr>
          <w:rFonts w:ascii="Arial" w:cs="Arial" w:eastAsia="Arial" w:hAnsi="Arial"/>
          <w:sz w:val="18"/>
          <w:szCs w:val="18"/>
          <w:i w:val="1"/>
          <w:iCs w:val="1"/>
          <w:color w:val="auto"/>
        </w:rPr>
        <w:t>The New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England Journal of Medicine </w:t>
      </w:r>
      <w:r>
        <w:rPr>
          <w:rFonts w:ascii="Arial" w:cs="Arial" w:eastAsia="Arial" w:hAnsi="Arial"/>
          <w:sz w:val="18"/>
          <w:szCs w:val="18"/>
          <w:color w:val="auto"/>
        </w:rPr>
        <w:t>in July and</w:t>
      </w:r>
      <w:r>
        <w:rPr>
          <w:rFonts w:ascii="Arial" w:cs="Arial" w:eastAsia="Arial" w:hAnsi="Arial"/>
          <w:sz w:val="18"/>
          <w:szCs w:val="18"/>
          <w:i w:val="1"/>
          <w:iCs w:val="1"/>
          <w:color w:val="auto"/>
        </w:rPr>
        <w:t xml:space="preserve"> BMC Medical Genomics </w:t>
      </w:r>
      <w:r>
        <w:rPr>
          <w:rFonts w:ascii="Arial" w:cs="Arial" w:eastAsia="Arial" w:hAnsi="Arial"/>
          <w:sz w:val="18"/>
          <w:szCs w:val="18"/>
          <w:color w:val="auto"/>
        </w:rPr>
        <w:t>in May, clinical utility data published in</w:t>
      </w:r>
      <w:r>
        <w:rPr>
          <w:rFonts w:ascii="Arial" w:cs="Arial" w:eastAsia="Arial" w:hAnsi="Arial"/>
          <w:sz w:val="18"/>
          <w:szCs w:val="18"/>
          <w:i w:val="1"/>
          <w:iCs w:val="1"/>
          <w:color w:val="auto"/>
        </w:rPr>
        <w:t xml:space="preserve"> CHEST </w:t>
      </w:r>
      <w:r>
        <w:rPr>
          <w:rFonts w:ascii="Arial" w:cs="Arial" w:eastAsia="Arial" w:hAnsi="Arial"/>
          <w:sz w:val="18"/>
          <w:szCs w:val="18"/>
          <w:color w:val="auto"/>
        </w:rPr>
        <w:t>in February 2016 and analytical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verification data published in </w:t>
      </w:r>
      <w:r>
        <w:rPr>
          <w:rFonts w:ascii="Arial" w:cs="Arial" w:eastAsia="Arial" w:hAnsi="Arial"/>
          <w:sz w:val="18"/>
          <w:szCs w:val="18"/>
          <w:i w:val="1"/>
          <w:iCs w:val="1"/>
          <w:color w:val="auto"/>
        </w:rPr>
        <w:t>BMC Cancer</w:t>
      </w:r>
      <w:r>
        <w:rPr>
          <w:rFonts w:ascii="Arial" w:cs="Arial" w:eastAsia="Arial" w:hAnsi="Arial"/>
          <w:sz w:val="18"/>
          <w:szCs w:val="18"/>
          <w:color w:val="auto"/>
        </w:rPr>
        <w:t xml:space="preserve"> in February 2016.</w:t>
      </w:r>
    </w:p>
    <w:p>
      <w:pPr>
        <w:spacing w:after="0" w:line="1" w:lineRule="exact"/>
        <w:rPr>
          <w:rFonts w:ascii="Arial" w:cs="Arial" w:eastAsia="Arial" w:hAnsi="Arial"/>
          <w:sz w:val="18"/>
          <w:szCs w:val="18"/>
          <w:color w:val="auto"/>
        </w:rPr>
      </w:pPr>
    </w:p>
    <w:p>
      <w:pPr>
        <w:ind w:left="660" w:right="400" w:hanging="328"/>
        <w:spacing w:after="0" w:line="265"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Presented new data for Veracyte’s IPF classifier, which was developed and cross-validated on bronchoscopy samples — the same type of patient sample that will be used upon commercialization — at the Pulmonary Fibrosis Foundation Summit in November 2015.</w:t>
      </w:r>
    </w:p>
    <w:p>
      <w:pPr>
        <w:ind w:left="660" w:right="600" w:hanging="328"/>
        <w:spacing w:after="0" w:line="261"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Strengthened the Board with the appointments of Robert S. Epstein, M.D., M.S., and Tina S. Nova, Ph.D., and the management team with the addition of Neil M. Barth, M.D., as chief medical officer during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Outlook</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Veracyte’s guidance for 2016 is to achieve Afirma GEC test volume in the range of 24,000 to 25,500, and annual 2016 revenue in the range of $59 million to $63 million.</w:t>
      </w:r>
    </w:p>
    <w:p>
      <w:pPr>
        <w:sectPr>
          <w:pgSz w:w="11900" w:h="16861"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 541-0980 (U.S.) or (970) 315-0440 (international) to listen to the live conference call. The conference ID number is 49854042. The webcast replay will be available on the company’s website approximately two hours following completion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nearly 180 million lives in the United States, including through Medicare and many commercial insurance</w:t>
      </w:r>
    </w:p>
    <w:p>
      <w:pPr>
        <w:spacing w:after="0" w:line="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 developing a second product in pulmonology, targeting interstitial lung diseases, including idiopathic pulmonary fibrosis. For more information, please visit www.veracyte.com.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2016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successfully achieve adoption of and reimbursement for our Percepta Bronchial Genomic Classifier;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successfully transition sales and marketing of the Afirma GEC from Genzyme to our internal sales and marketing personnel; our ability to develop and commercialize new products and the timing of commercialization; our ability to achieve sales penetration in complex commercial accounts; the occurrence and outcome of clinical studies; our ability to show clinical value of our lung products;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Quarterly Report on Form 10-Q for the quarter ended September 30, 2015. These forward-looking statements speak only as of the date hereof and Veracyte specifically disclaims any obligation to update these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the Veracyte logo, and the Afirma logo are trademarks or registered trademarks of 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8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228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3,202</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5,229</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22,583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18,854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21,993</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20,258</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67,196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6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3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(8,142)</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27,672,806</w:t>
            </w:r>
          </w:p>
        </w:tc>
        <w:tc>
          <w:tcPr>
            <w:tcW w:w="3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22,508,250</w:t>
            </w:r>
          </w:p>
        </w:tc>
        <w:tc>
          <w:tcPr>
            <w:tcW w:w="28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25,944,193</w:t>
            </w: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21,639,374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35,014</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3,050</w:t>
            </w: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3,696</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10"/>
        </w:trPr>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10,314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4,161</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 net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Infinite-lived intangible assets: in-process research and development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Restricted cash</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50"/>
        </w:trPr>
        <w:tc>
          <w:tcPr>
            <w:tcW w:w="6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16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75,285</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tcPr>
          <w:p>
            <w:pPr>
              <w:spacing w:after="0"/>
              <w:rPr>
                <w:sz w:val="21"/>
                <w:szCs w:val="21"/>
                <w:color w:val="auto"/>
              </w:rPr>
            </w:pPr>
          </w:p>
        </w:tc>
      </w:tr>
      <w:tr>
        <w:trPr>
          <w:trHeight w:val="170"/>
        </w:trPr>
        <w:tc>
          <w:tcPr>
            <w:tcW w:w="66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8,689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r>
      <w:tr>
        <w:trPr>
          <w:trHeight w:val="216"/>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Genzyme co-promotion fee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w:t>
            </w:r>
          </w:p>
        </w:tc>
      </w:tr>
      <w:tr>
        <w:trPr>
          <w:trHeight w:val="210"/>
        </w:trPr>
        <w:tc>
          <w:tcPr>
            <w:tcW w:w="66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948</w:t>
            </w:r>
          </w:p>
        </w:tc>
      </w:tr>
      <w:tr>
        <w:trPr>
          <w:trHeight w:val="210"/>
        </w:trPr>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51,252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41,374</w:t>
            </w: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hanging="328"/>
        <w:spacing w:after="0" w:line="277" w:lineRule="auto"/>
        <w:tabs>
          <w:tab w:leader="none" w:pos="667"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2014 has been derived from the amended audited financial statements at that date included in the Company’s Form 10-K/A filed with the Securities and Exchange Commission dated September 25, 2015.</w:t>
      </w:r>
    </w:p>
    <w:p>
      <w:pPr>
        <w:spacing w:after="0" w:line="170" w:lineRule="exact"/>
        <w:rPr>
          <w:rFonts w:ascii="Arial" w:cs="Arial" w:eastAsia="Arial" w:hAnsi="Arial"/>
          <w:sz w:val="18"/>
          <w:szCs w:val="18"/>
          <w:b w:val="1"/>
          <w:bCs w:val="1"/>
          <w:color w:val="auto"/>
        </w:rPr>
      </w:pPr>
    </w:p>
    <w:p>
      <w:pPr>
        <w:ind w:left="5660" w:hanging="171"/>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2019-12-08T13:40:15Z</dcterms:created>
  <dcterms:modified xsi:type="dcterms:W3CDTF">2019-12-08T13:40:15Z</dcterms:modified>
</cp:coreProperties>
</file>