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Stapley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Veracyte,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6000 Shoreline Court, Suite 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Veracyte,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001-36156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Marc Stapley: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Financial Statements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5. Balance Sheet Components, Intangible Assets, Net, page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160" w:type="dxa"/>
            <w:vAlign w:val="bottom"/>
          </w:tcPr>
          <w:p>
            <w:pPr>
              <w:ind w:left="4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reference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here and throughout the filing that you recognized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impairment for certain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long-lived assets related to the HalioDx biopharmaceutical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developed technology,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 relationships and customer backlog finite-lived intangible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 due to "a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significant change in the business environment." In future filings,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more context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regarding the nature and impact of any triggering events that require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assessment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impairment of your intangible assets.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 Stapley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LastNameMarc Stapley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Veracyte,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NameVeracyte,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71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on May 7,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U.S.GAAP to Non-GAAP Financial Measures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presentation of the reconciliation of U.S. GAAP to non-GAAP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gives the appearance of a full non GAAP income statement. Please note that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 a full non- GAAP income statement, or a presentation that gives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appearance of one, may place undue prominence on the non-GAAP information. Under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102.10(c) of the C&amp;DI's on Non-GAAP Financial Measures, 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statement is considered to be one that is comprised of non-GAAP measures and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all or most of the line items and subtotals found in a GAAP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Confirm to us that you will not present full non-GAAP consolidated income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or their equivalents in future filings.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related matter, if you continue to present non-GAAP total operating costs excluding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of revenue in future filings, please revise to reconcile to the most comparable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measure, as required by Item 10(e)(1)(i) of Regulation S-K.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Note 1. to the Reconciliation of U.S. GAAP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Measures, please tell us the nature and composition of the non-GAAP adjustments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post-combination compensation expenses. Tell us how you determined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adjust for such payments in the determination of your non-GAAP measures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clarify how such compensation differs from other compensation paid to employees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management. Refer to Question 100.01 of the Commission's Compliance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 for Non-GAAP measures.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Christie Wong at 202-551-3684 or Kristin Lochhead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202-551-3664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Industrial Applications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2024-07-16T23:10:47Z</dcterms:created>
  <dcterms:modified xsi:type="dcterms:W3CDTF">2024-07-16T23:10:47Z</dcterms:modified>
</cp:coreProperties>
</file>