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590550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8-K/A</w:t>
      </w:r>
    </w:p>
    <w:p>
      <w:pPr>
        <w:spacing w:after="0" w:line="28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7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Date of Report (Date of earliest event reported): June 11, 2019</w:t>
      </w:r>
    </w:p>
    <w:p>
      <w:pPr>
        <w:spacing w:after="0" w:line="255"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VERACYTE, INC.</w:t>
      </w:r>
    </w:p>
    <w:p>
      <w:pPr>
        <w:sectPr>
          <w:pgSz w:w="11900" w:h="16838" w:orient="portrait"/>
          <w:cols w:equalWidth="0" w:num="1">
            <w:col w:w="11280"/>
          </w:cols>
          <w:pgMar w:left="240" w:top="1301" w:right="379" w:bottom="1440" w:gutter="0" w:footer="0" w:header="0"/>
        </w:sectPr>
      </w:pPr>
    </w:p>
    <w:p>
      <w:pPr>
        <w:spacing w:after="0" w:line="37" w:lineRule="exact"/>
        <w:rPr>
          <w:sz w:val="24"/>
          <w:szCs w:val="24"/>
          <w:color w:val="auto"/>
        </w:rPr>
      </w:pPr>
    </w:p>
    <w:tbl>
      <w:tblPr>
        <w:tblLayout w:type="fixed"/>
        <w:tblInd w:w="86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p>
        </w:tc>
        <w:tc>
          <w:tcPr>
            <w:tcW w:w="4300" w:type="dxa"/>
            <w:vAlign w:val="bottom"/>
          </w:tcPr>
          <w:p>
            <w:pPr>
              <w:ind w:left="400"/>
              <w:spacing w:after="0"/>
              <w:rPr>
                <w:sz w:val="20"/>
                <w:szCs w:val="20"/>
                <w:color w:val="auto"/>
              </w:rPr>
            </w:pPr>
            <w:r>
              <w:rPr>
                <w:rFonts w:ascii="Arial" w:cs="Arial" w:eastAsia="Arial" w:hAnsi="Arial"/>
                <w:sz w:val="19"/>
                <w:szCs w:val="19"/>
                <w:color w:val="auto"/>
                <w:w w:val="89"/>
              </w:rPr>
              <w:t>(Exact name of registrant as specified in its charter)</w:t>
            </w:r>
          </w:p>
        </w:tc>
      </w:tr>
      <w:tr>
        <w:trPr>
          <w:trHeight w:val="698"/>
        </w:trPr>
        <w:tc>
          <w:tcPr>
            <w:tcW w:w="2500" w:type="dxa"/>
            <w:vAlign w:val="bottom"/>
          </w:tcPr>
          <w:p>
            <w:pPr>
              <w:jc w:val="center"/>
              <w:ind w:right="350"/>
              <w:spacing w:after="0"/>
              <w:rPr>
                <w:sz w:val="20"/>
                <w:szCs w:val="20"/>
                <w:color w:val="auto"/>
              </w:rPr>
            </w:pPr>
            <w:r>
              <w:rPr>
                <w:rFonts w:ascii="Arial" w:cs="Arial" w:eastAsia="Arial" w:hAnsi="Arial"/>
                <w:sz w:val="18"/>
                <w:szCs w:val="18"/>
                <w:b w:val="1"/>
                <w:bCs w:val="1"/>
                <w:color w:val="auto"/>
                <w:w w:val="98"/>
              </w:rPr>
              <w:t>DELAWARE</w:t>
            </w:r>
          </w:p>
        </w:tc>
        <w:tc>
          <w:tcPr>
            <w:tcW w:w="4300" w:type="dxa"/>
            <w:vAlign w:val="bottom"/>
          </w:tcPr>
          <w:p>
            <w:pPr>
              <w:jc w:val="right"/>
              <w:ind w:right="1428"/>
              <w:spacing w:after="0"/>
              <w:rPr>
                <w:sz w:val="20"/>
                <w:szCs w:val="20"/>
                <w:color w:val="auto"/>
              </w:rPr>
            </w:pPr>
            <w:r>
              <w:rPr>
                <w:rFonts w:ascii="Arial" w:cs="Arial" w:eastAsia="Arial" w:hAnsi="Arial"/>
                <w:sz w:val="18"/>
                <w:szCs w:val="18"/>
                <w:b w:val="1"/>
                <w:bCs w:val="1"/>
                <w:color w:val="auto"/>
              </w:rPr>
              <w:t>001-36156</w:t>
            </w:r>
          </w:p>
        </w:tc>
      </w:tr>
      <w:tr>
        <w:trPr>
          <w:trHeight w:val="310"/>
        </w:trPr>
        <w:tc>
          <w:tcPr>
            <w:tcW w:w="2500" w:type="dxa"/>
            <w:vAlign w:val="bottom"/>
          </w:tcPr>
          <w:p>
            <w:pPr>
              <w:jc w:val="center"/>
              <w:ind w:right="330"/>
              <w:spacing w:after="0"/>
              <w:rPr>
                <w:sz w:val="20"/>
                <w:szCs w:val="20"/>
                <w:color w:val="auto"/>
              </w:rPr>
            </w:pPr>
            <w:r>
              <w:rPr>
                <w:rFonts w:ascii="Arial" w:cs="Arial" w:eastAsia="Arial" w:hAnsi="Arial"/>
                <w:sz w:val="18"/>
                <w:szCs w:val="18"/>
                <w:color w:val="auto"/>
                <w:w w:val="92"/>
              </w:rPr>
              <w:t>(State or other jurisdiction of</w:t>
            </w:r>
          </w:p>
        </w:tc>
        <w:tc>
          <w:tcPr>
            <w:tcW w:w="4300" w:type="dxa"/>
            <w:vAlign w:val="bottom"/>
          </w:tcPr>
          <w:p>
            <w:pPr>
              <w:jc w:val="center"/>
              <w:ind w:left="388"/>
              <w:spacing w:after="0"/>
              <w:rPr>
                <w:sz w:val="20"/>
                <w:szCs w:val="20"/>
                <w:color w:val="auto"/>
              </w:rPr>
            </w:pPr>
            <w:r>
              <w:rPr>
                <w:rFonts w:ascii="Arial" w:cs="Arial" w:eastAsia="Arial" w:hAnsi="Arial"/>
                <w:sz w:val="18"/>
                <w:szCs w:val="18"/>
                <w:color w:val="auto"/>
                <w:w w:val="92"/>
              </w:rPr>
              <w:t>(Commission File Number)</w:t>
            </w:r>
          </w:p>
        </w:tc>
      </w:tr>
      <w:tr>
        <w:trPr>
          <w:trHeight w:val="230"/>
        </w:trPr>
        <w:tc>
          <w:tcPr>
            <w:tcW w:w="2500" w:type="dxa"/>
            <w:vAlign w:val="bottom"/>
          </w:tcPr>
          <w:p>
            <w:pPr>
              <w:jc w:val="center"/>
              <w:ind w:right="330"/>
              <w:spacing w:after="0"/>
              <w:rPr>
                <w:sz w:val="20"/>
                <w:szCs w:val="20"/>
                <w:color w:val="auto"/>
              </w:rPr>
            </w:pPr>
            <w:r>
              <w:rPr>
                <w:rFonts w:ascii="Arial" w:cs="Arial" w:eastAsia="Arial" w:hAnsi="Arial"/>
                <w:sz w:val="18"/>
                <w:szCs w:val="18"/>
                <w:color w:val="auto"/>
                <w:w w:val="94"/>
              </w:rPr>
              <w:t>incorporation)</w:t>
            </w:r>
          </w:p>
        </w:tc>
        <w:tc>
          <w:tcPr>
            <w:tcW w:w="4300" w:type="dxa"/>
            <w:vAlign w:val="bottom"/>
          </w:tcPr>
          <w:p>
            <w:pPr>
              <w:spacing w:after="0"/>
              <w:rPr>
                <w:sz w:val="20"/>
                <w:szCs w:val="20"/>
                <w:color w:val="auto"/>
              </w:rPr>
            </w:pPr>
          </w:p>
        </w:tc>
      </w:tr>
    </w:tbl>
    <w:p>
      <w:pPr>
        <w:spacing w:after="0" w:line="198" w:lineRule="exact"/>
        <w:rPr>
          <w:sz w:val="24"/>
          <w:szCs w:val="24"/>
          <w:color w:val="auto"/>
        </w:rPr>
      </w:pPr>
    </w:p>
    <w:p>
      <w:pPr>
        <w:jc w:val="center"/>
        <w:ind w:right="3560"/>
        <w:spacing w:after="0"/>
        <w:rPr>
          <w:sz w:val="20"/>
          <w:szCs w:val="20"/>
          <w:color w:val="auto"/>
        </w:rPr>
      </w:pPr>
      <w:r>
        <w:rPr>
          <w:rFonts w:ascii="Arial" w:cs="Arial" w:eastAsia="Arial" w:hAnsi="Arial"/>
          <w:sz w:val="16"/>
          <w:szCs w:val="16"/>
          <w:b w:val="1"/>
          <w:bCs w:val="1"/>
          <w:color w:val="auto"/>
        </w:rPr>
        <w:t>6000 Shoreline Court, Suite 300, South San Francisco,</w:t>
      </w:r>
    </w:p>
    <w:p>
      <w:pPr>
        <w:spacing w:after="0" w:line="50" w:lineRule="exact"/>
        <w:rPr>
          <w:sz w:val="24"/>
          <w:szCs w:val="24"/>
          <w:color w:val="auto"/>
        </w:rPr>
      </w:pPr>
    </w:p>
    <w:p>
      <w:pPr>
        <w:jc w:val="center"/>
        <w:ind w:right="3560"/>
        <w:spacing w:after="0"/>
        <w:rPr>
          <w:sz w:val="20"/>
          <w:szCs w:val="20"/>
          <w:color w:val="auto"/>
        </w:rPr>
      </w:pPr>
      <w:r>
        <w:rPr>
          <w:rFonts w:ascii="Arial" w:cs="Arial" w:eastAsia="Arial" w:hAnsi="Arial"/>
          <w:sz w:val="18"/>
          <w:szCs w:val="18"/>
          <w:b w:val="1"/>
          <w:bCs w:val="1"/>
          <w:color w:val="auto"/>
        </w:rPr>
        <w:t>California</w:t>
      </w:r>
    </w:p>
    <w:p>
      <w:pPr>
        <w:spacing w:after="0" w:line="76" w:lineRule="exact"/>
        <w:rPr>
          <w:sz w:val="24"/>
          <w:szCs w:val="24"/>
          <w:color w:val="auto"/>
        </w:rPr>
      </w:pPr>
    </w:p>
    <w:p>
      <w:pPr>
        <w:ind w:left="860"/>
        <w:spacing w:after="0"/>
        <w:rPr>
          <w:sz w:val="20"/>
          <w:szCs w:val="20"/>
          <w:color w:val="auto"/>
        </w:rPr>
      </w:pPr>
      <w:r>
        <w:rPr>
          <w:rFonts w:ascii="Arial" w:cs="Arial" w:eastAsia="Arial" w:hAnsi="Arial"/>
          <w:sz w:val="18"/>
          <w:szCs w:val="18"/>
          <w:color w:val="auto"/>
        </w:rPr>
        <w:t>(Address of principal executive offices)</w:t>
      </w:r>
    </w:p>
    <w:p>
      <w:pPr>
        <w:spacing w:after="0" w:line="329" w:lineRule="exact"/>
        <w:rPr>
          <w:sz w:val="24"/>
          <w:szCs w:val="24"/>
          <w:color w:val="auto"/>
        </w:rPr>
      </w:pPr>
    </w:p>
    <w:p>
      <w:pPr>
        <w:jc w:val="center"/>
        <w:ind w:left="326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(650) 243-6300</w:t>
      </w:r>
    </w:p>
    <w:p>
      <w:pPr>
        <w:spacing w:after="0" w:line="50" w:lineRule="exact"/>
        <w:rPr>
          <w:sz w:val="24"/>
          <w:szCs w:val="24"/>
          <w:color w:val="auto"/>
        </w:rPr>
      </w:pPr>
    </w:p>
    <w:p>
      <w:pPr>
        <w:jc w:val="center"/>
        <w:ind w:left="3260"/>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left="3260"/>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20-5455398</w:t>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w:t>
      </w:r>
    </w:p>
    <w:p>
      <w:pPr>
        <w:spacing w:after="0" w:line="46" w:lineRule="exact"/>
        <w:rPr>
          <w:sz w:val="24"/>
          <w:szCs w:val="24"/>
          <w:color w:val="auto"/>
        </w:rPr>
      </w:pPr>
    </w:p>
    <w:p>
      <w:pPr>
        <w:ind w:left="880"/>
        <w:spacing w:after="0"/>
        <w:rPr>
          <w:sz w:val="20"/>
          <w:szCs w:val="20"/>
          <w:color w:val="auto"/>
        </w:rPr>
      </w:pPr>
      <w:r>
        <w:rPr>
          <w:rFonts w:ascii="Arial" w:cs="Arial" w:eastAsia="Arial" w:hAnsi="Arial"/>
          <w:sz w:val="18"/>
          <w:szCs w:val="18"/>
          <w:color w:val="auto"/>
        </w:rPr>
        <w:t>No.)</w:t>
      </w:r>
    </w:p>
    <w:p>
      <w:pPr>
        <w:spacing w:after="0" w:line="207"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94080</w:t>
      </w:r>
    </w:p>
    <w:p>
      <w:pPr>
        <w:spacing w:after="0" w:line="310" w:lineRule="exact"/>
        <w:rPr>
          <w:sz w:val="24"/>
          <w:szCs w:val="24"/>
          <w:color w:val="auto"/>
        </w:rPr>
      </w:pPr>
    </w:p>
    <w:p>
      <w:pPr>
        <w:ind w:left="240"/>
        <w:spacing w:after="0"/>
        <w:rPr>
          <w:sz w:val="20"/>
          <w:szCs w:val="20"/>
          <w:color w:val="auto"/>
        </w:rPr>
      </w:pPr>
      <w:r>
        <w:rPr>
          <w:rFonts w:ascii="Arial" w:cs="Arial" w:eastAsia="Arial" w:hAnsi="Arial"/>
          <w:sz w:val="18"/>
          <w:szCs w:val="18"/>
          <w:color w:val="auto"/>
        </w:rPr>
        <w:t>(Zip Code)</w:t>
      </w:r>
    </w:p>
    <w:p>
      <w:pPr>
        <w:spacing w:after="0" w:line="1140" w:lineRule="exact"/>
        <w:rPr>
          <w:sz w:val="24"/>
          <w:szCs w:val="24"/>
          <w:color w:val="auto"/>
        </w:rPr>
      </w:pPr>
    </w:p>
    <w:p>
      <w:pPr>
        <w:sectPr>
          <w:pgSz w:w="11900" w:h="16838" w:orient="portrait"/>
          <w:cols w:equalWidth="0" w:num="2">
            <w:col w:w="8160" w:space="380"/>
            <w:col w:w="2740"/>
          </w:cols>
          <w:pgMar w:left="240" w:top="1301" w:right="379" w:bottom="1440" w:gutter="0" w:footer="0" w:header="0"/>
          <w:type w:val="continuous"/>
        </w:sectPr>
      </w:pPr>
    </w:p>
    <w:p>
      <w:pPr>
        <w:ind w:left="140" w:right="42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720" w:hanging="631"/>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720" w:hanging="631"/>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720" w:hanging="631"/>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720" w:hanging="631"/>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4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Title of each class</w:t>
            </w:r>
          </w:p>
        </w:tc>
        <w:tc>
          <w:tcPr>
            <w:tcW w:w="2120" w:type="dxa"/>
            <w:vAlign w:val="bottom"/>
            <w:gridSpan w:val="2"/>
          </w:tcPr>
          <w:p>
            <w:pPr>
              <w:ind w:left="80"/>
              <w:spacing w:after="0"/>
              <w:rPr>
                <w:sz w:val="20"/>
                <w:szCs w:val="20"/>
                <w:color w:val="auto"/>
              </w:rPr>
            </w:pPr>
            <w:r>
              <w:rPr>
                <w:rFonts w:ascii="Arial" w:cs="Arial" w:eastAsia="Arial" w:hAnsi="Arial"/>
                <w:sz w:val="18"/>
                <w:szCs w:val="18"/>
                <w:color w:val="auto"/>
              </w:rPr>
              <w:t>Trading Symbols (s)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54"/>
        </w:trPr>
        <w:tc>
          <w:tcPr>
            <w:tcW w:w="60" w:type="dxa"/>
            <w:vAlign w:val="bottom"/>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r>
      <w:tr>
        <w:trPr>
          <w:trHeight w:val="237"/>
        </w:trPr>
        <w:tc>
          <w:tcPr>
            <w:tcW w:w="60" w:type="dxa"/>
            <w:vAlign w:val="bottom"/>
          </w:tcPr>
          <w:p>
            <w:pPr>
              <w:spacing w:after="0"/>
              <w:rPr>
                <w:sz w:val="20"/>
                <w:szCs w:val="20"/>
                <w:color w:val="auto"/>
              </w:rPr>
            </w:pPr>
          </w:p>
        </w:tc>
        <w:tc>
          <w:tcPr>
            <w:tcW w:w="46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Common Stock, par value, $0.001 per share</w:t>
            </w:r>
          </w:p>
        </w:tc>
        <w:tc>
          <w:tcPr>
            <w:tcW w:w="2120" w:type="dxa"/>
            <w:vAlign w:val="bottom"/>
            <w:gridSpan w:val="2"/>
          </w:tcPr>
          <w:p>
            <w:pPr>
              <w:ind w:left="780"/>
              <w:spacing w:after="0"/>
              <w:rPr>
                <w:sz w:val="20"/>
                <w:szCs w:val="20"/>
                <w:color w:val="auto"/>
              </w:rPr>
            </w:pPr>
            <w:r>
              <w:rPr>
                <w:rFonts w:ascii="Arial" w:cs="Arial" w:eastAsia="Arial" w:hAnsi="Arial"/>
                <w:sz w:val="18"/>
                <w:szCs w:val="18"/>
                <w:color w:val="auto"/>
              </w:rPr>
              <w:t>VCYT</w:t>
            </w: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0" w:lineRule="exact"/>
        <w:rPr>
          <w:sz w:val="24"/>
          <w:szCs w:val="24"/>
          <w:color w:val="auto"/>
        </w:rPr>
      </w:pPr>
    </w:p>
    <w:p>
      <w:pPr>
        <w:spacing w:after="0" w:line="218" w:lineRule="exact"/>
        <w:rPr>
          <w:sz w:val="24"/>
          <w:szCs w:val="24"/>
          <w:color w:val="auto"/>
        </w:rPr>
      </w:pPr>
    </w:p>
    <w:p>
      <w:pPr>
        <w:ind w:left="160" w:right="1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62" w:lineRule="exact"/>
        <w:rPr>
          <w:sz w:val="24"/>
          <w:szCs w:val="24"/>
          <w:color w:val="auto"/>
        </w:rPr>
      </w:pPr>
    </w:p>
    <w:p>
      <w:pPr>
        <w:ind w:left="1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7"/>
          <w:szCs w:val="17"/>
          <w:color w:val="auto"/>
        </w:rPr>
        <w:t>o</w:t>
      </w:r>
    </w:p>
    <w:p>
      <w:pPr>
        <w:spacing w:after="0" w:line="117" w:lineRule="exact"/>
        <w:rPr>
          <w:sz w:val="24"/>
          <w:szCs w:val="24"/>
          <w:color w:val="auto"/>
        </w:rPr>
      </w:pPr>
    </w:p>
    <w:p>
      <w:pPr>
        <w:ind w:left="160" w:right="6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293370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301" w:right="3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Current Report on Form 8-K/A is being filed as an amendment to the Current Report on Form 8-K filed on June 11, 2019 (the “Original 8-K”) by Veracyte, Inc. (the “Company”). The sole purpose of this amendment is to disclose the Company’s Board of Directors’ decision, following the Company’s 2019 Annual Meeting of Stockholders held on June 11, 2019, as to how frequently the Company will conduct future stockholder non-binding advisory votes regarding the compensation to be paid by the Company to its named executive officers. No other changes have been made to the Original 8-K.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332"/>
        <w:spacing w:after="0" w:line="272" w:lineRule="auto"/>
        <w:tabs>
          <w:tab w:leader="none" w:pos="581" w:val="left"/>
        </w:tabs>
        <w:numPr>
          <w:ilvl w:val="0"/>
          <w:numId w:val="2"/>
        </w:numPr>
        <w:rPr>
          <w:rFonts w:ascii="Arial" w:cs="Arial" w:eastAsia="Arial" w:hAnsi="Arial"/>
          <w:sz w:val="17"/>
          <w:szCs w:val="17"/>
          <w:color w:val="auto"/>
        </w:rPr>
      </w:pPr>
      <w:r>
        <w:rPr>
          <w:rFonts w:ascii="Arial" w:cs="Arial" w:eastAsia="Arial" w:hAnsi="Arial"/>
          <w:sz w:val="17"/>
          <w:szCs w:val="17"/>
          <w:color w:val="auto"/>
        </w:rPr>
        <w:t>As previously reported by the Company, at the Company’s 2019 Annual Meeting of Stockholders held on June 11, 2019, the Company’s stockholders selected, on a non-binding advisory basis, one year as the frequency with which the Company will hold a non-binding advisory vote to approve the compensation to be paid by the Company to its named executive officers, in accordance with U.S. Securities and Exchange Commission rules and regulations. Based on these results and consistent with the Company’s recommendation, the Company’s Board of Directors has determined that the Company will conduct future stockholder non-binding advisory votes regarding the compensation to be paid by the Company to its named executive officers every year. This policy will remain in effect until the next stockholder vote on the frequency of stockholder advisory votes on the compensation of named executive officers, expected to be held at the Company’s 2025 Annual Meeting of Stockholders.</w:t>
      </w:r>
    </w:p>
    <w:p>
      <w:pPr>
        <w:sectPr>
          <w:pgSz w:w="11900" w:h="16838" w:orient="portrait"/>
          <w:cols w:equalWidth="0" w:num="1">
            <w:col w:w="11420"/>
          </w:cols>
          <w:pgMar w:left="240" w:top="1013"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Dated: June 13, 2019</w:t>
      </w:r>
    </w:p>
    <w:p>
      <w:pPr>
        <w:spacing w:after="0" w:line="38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1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Pr>
          <w:p>
            <w:pPr>
              <w:ind w:left="80"/>
              <w:spacing w:after="0"/>
              <w:rPr>
                <w:sz w:val="20"/>
                <w:szCs w:val="20"/>
                <w:color w:val="auto"/>
              </w:rPr>
            </w:pPr>
            <w:r>
              <w:rPr>
                <w:rFonts w:ascii="Arial" w:cs="Arial" w:eastAsia="Arial" w:hAnsi="Arial"/>
                <w:sz w:val="18"/>
                <w:szCs w:val="18"/>
                <w:color w:val="auto"/>
              </w:rPr>
              <w:t>/s/ Keith Kennedy</w:t>
            </w:r>
          </w:p>
        </w:tc>
        <w:tc>
          <w:tcPr>
            <w:tcW w:w="0" w:type="dxa"/>
            <w:vAlign w:val="bottom"/>
          </w:tcPr>
          <w:p>
            <w:pPr>
              <w:spacing w:after="0"/>
              <w:rPr>
                <w:sz w:val="1"/>
                <w:szCs w:val="1"/>
                <w:color w:val="auto"/>
              </w:rPr>
            </w:pPr>
          </w:p>
        </w:tc>
      </w:tr>
      <w:tr>
        <w:trPr>
          <w:trHeight w:val="54"/>
        </w:trPr>
        <w:tc>
          <w:tcPr>
            <w:tcW w:w="8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60" w:type="dxa"/>
            <w:vAlign w:val="bottom"/>
            <w:vMerge w:val="continue"/>
          </w:tcPr>
          <w:p>
            <w:pPr>
              <w:spacing w:after="0"/>
              <w:rPr>
                <w:sz w:val="20"/>
                <w:szCs w:val="20"/>
                <w:color w:val="auto"/>
              </w:rPr>
            </w:pPr>
          </w:p>
        </w:tc>
        <w:tc>
          <w:tcPr>
            <w:tcW w:w="5340" w:type="dxa"/>
            <w:vAlign w:val="bottom"/>
          </w:tcPr>
          <w:p>
            <w:pPr>
              <w:ind w:left="80"/>
              <w:spacing w:after="0"/>
              <w:rPr>
                <w:sz w:val="20"/>
                <w:szCs w:val="20"/>
                <w:color w:val="auto"/>
              </w:rPr>
            </w:pPr>
            <w:r>
              <w:rPr>
                <w:rFonts w:ascii="Arial" w:cs="Arial" w:eastAsia="Arial" w:hAnsi="Arial"/>
                <w:sz w:val="18"/>
                <w:szCs w:val="18"/>
                <w:color w:val="auto"/>
              </w:rPr>
              <w:t>Keith Kennedy</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534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40"/>
      </w:cols>
      <w:pgMar w:left="240" w:top="58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2019-12-01T17:29:46Z</dcterms:created>
  <dcterms:modified xsi:type="dcterms:W3CDTF">2019-12-01T17:29:46Z</dcterms:modified>
</cp:coreProperties>
</file>