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ind w:left="4820"/>
        <w:spacing w:after="0"/>
        <w:tabs>
          <w:tab w:leader="none" w:pos="652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40" w:hanging="440"/>
        <w:spacing w:after="0" w:line="268"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00" w:right="580" w:hanging="392"/>
        <w:spacing w:after="0" w:line="332"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583565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-3247390</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-2947035</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-2509520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-2209165</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-1909445</wp:posOffset>
            </wp:positionV>
            <wp:extent cx="6723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-734060</wp:posOffset>
            </wp:positionV>
            <wp:extent cx="6723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-434340</wp:posOffset>
            </wp:positionV>
            <wp:extent cx="6723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-133985</wp:posOffset>
            </wp:positionV>
            <wp:extent cx="6723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165735</wp:posOffset>
            </wp:positionV>
            <wp:extent cx="6723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ectPr>
          <w:pgSz w:w="11900" w:h="16838" w:orient="portrait"/>
          <w:cols w:equalWidth="0" w:num="1">
            <w:col w:w="11240"/>
          </w:cols>
          <w:pgMar w:left="240" w:top="469"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0" w:firstLine="773"/>
        <w:spacing w:after="0" w:line="268"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on Monday, May 18, 2015, at 10:00 a.m., Pacific Daylight Time, at 7000 Shoreline Court, Conference Room, 1st Floor, South San Francisco, California 94080.</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formal notice of the Annual Meeting and the Proxy Statement have been made a part of this invitation.</w:t>
      </w:r>
    </w:p>
    <w:p>
      <w:pPr>
        <w:spacing w:after="0" w:line="219" w:lineRule="exact"/>
        <w:rPr>
          <w:sz w:val="20"/>
          <w:szCs w:val="20"/>
          <w:color w:val="auto"/>
        </w:rPr>
      </w:pPr>
    </w:p>
    <w:p>
      <w:pPr>
        <w:ind w:firstLine="680"/>
        <w:spacing w:after="0" w:line="339" w:lineRule="auto"/>
        <w:rPr>
          <w:sz w:val="20"/>
          <w:szCs w:val="20"/>
          <w:color w:val="auto"/>
        </w:rPr>
      </w:pPr>
      <w:r>
        <w:rPr>
          <w:rFonts w:ascii="Arial" w:cs="Arial" w:eastAsia="Arial" w:hAnsi="Arial"/>
          <w:sz w:val="16"/>
          <w:szCs w:val="16"/>
          <w:color w:val="auto"/>
        </w:rPr>
        <w:t xml:space="preserve">After reading the Proxy Statement, please vote promptly to ensure that your shares will be represented. </w:t>
      </w:r>
      <w:r>
        <w:rPr>
          <w:rFonts w:ascii="Arial" w:cs="Arial" w:eastAsia="Arial" w:hAnsi="Arial"/>
          <w:sz w:val="16"/>
          <w:szCs w:val="16"/>
          <w:b w:val="1"/>
          <w:bCs w:val="1"/>
          <w:color w:val="auto"/>
        </w:rPr>
        <w:t>Your shares cannot be voted unless you sign,</w:t>
      </w:r>
      <w:r>
        <w:rPr>
          <w:rFonts w:ascii="Arial" w:cs="Arial" w:eastAsia="Arial" w:hAnsi="Arial"/>
          <w:sz w:val="16"/>
          <w:szCs w:val="16"/>
          <w:color w:val="auto"/>
        </w:rPr>
        <w:t xml:space="preserve"> </w:t>
      </w:r>
      <w:r>
        <w:rPr>
          <w:rFonts w:ascii="Arial" w:cs="Arial" w:eastAsia="Arial" w:hAnsi="Arial"/>
          <w:sz w:val="16"/>
          <w:szCs w:val="16"/>
          <w:b w:val="1"/>
          <w:bCs w:val="1"/>
          <w:color w:val="auto"/>
        </w:rPr>
        <w:t>date and return the enclosed proxy, submit your proxy by telephone or the internet, or attend the Annual Meeting in person.</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copy of the Company's 2014 Annual Report on Form 10-K is also enclosed.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look forward to seeing you at the annual meeting.</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t>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Monday, May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firstLine="806"/>
        <w:spacing w:after="0" w:line="332" w:lineRule="auto"/>
        <w:rPr>
          <w:sz w:val="20"/>
          <w:szCs w:val="20"/>
          <w:color w:val="auto"/>
        </w:rPr>
      </w:pPr>
      <w:r>
        <w:rPr>
          <w:rFonts w:ascii="Arial" w:cs="Arial" w:eastAsia="Arial" w:hAnsi="Arial"/>
          <w:sz w:val="16"/>
          <w:szCs w:val="16"/>
          <w:color w:val="auto"/>
        </w:rPr>
        <w:t>The Annual Meeting of Stockholders of Veracyte, Inc., a Delaware corporation (the "Company"), will be held at 7000 Shoreline Court, Conference Room, 1st Floor, South San Francisco, California 94080, on Monday, May 18, 2015, at 10:00 a.m., Pacific Daylight Time, for the following purposes:</w:t>
      </w:r>
    </w:p>
    <w:p>
      <w:pPr>
        <w:spacing w:after="0" w:line="153" w:lineRule="exact"/>
        <w:rPr>
          <w:sz w:val="20"/>
          <w:szCs w:val="20"/>
          <w:color w:val="auto"/>
        </w:rPr>
      </w:pPr>
    </w:p>
    <w:p>
      <w:pPr>
        <w:ind w:left="162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 directors to serve until the 2018 Annual Meeting of Stockholders or until their successors are duly elected and qualified;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the approval of the Veracyte, Inc. Employee Stock Purchase Plan;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2015; and</w:t>
      </w:r>
    </w:p>
    <w:p>
      <w:pPr>
        <w:spacing w:after="0" w:line="261" w:lineRule="exact"/>
        <w:rPr>
          <w:rFonts w:ascii="Arial" w:cs="Arial" w:eastAsia="Arial" w:hAnsi="Arial"/>
          <w:sz w:val="16"/>
          <w:szCs w:val="16"/>
          <w:color w:val="auto"/>
        </w:rPr>
      </w:pPr>
    </w:p>
    <w:p>
      <w:pPr>
        <w:ind w:left="1620" w:right="2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8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8"/>
          <w:szCs w:val="18"/>
          <w:color w:val="auto"/>
        </w:rPr>
        <w:t>Stockholders of record as of the close of business on March 24, 2015 are entitled to notice of and to vote at the Annual Meeting and any postponement or adjournment thereof.</w:t>
      </w:r>
    </w:p>
    <w:p>
      <w:pPr>
        <w:spacing w:after="0" w:line="180" w:lineRule="exact"/>
        <w:rPr>
          <w:sz w:val="20"/>
          <w:szCs w:val="20"/>
          <w:color w:val="auto"/>
        </w:rPr>
      </w:pPr>
    </w:p>
    <w:p>
      <w:pPr>
        <w:jc w:val="both"/>
        <w:ind w:firstLine="736"/>
        <w:spacing w:after="0" w:line="301" w:lineRule="auto"/>
        <w:rPr>
          <w:sz w:val="20"/>
          <w:szCs w:val="20"/>
          <w:color w:val="auto"/>
        </w:rPr>
      </w:pPr>
      <w:r>
        <w:rPr>
          <w:rFonts w:ascii="Arial" w:cs="Arial" w:eastAsia="Arial" w:hAnsi="Arial"/>
          <w:sz w:val="16"/>
          <w:szCs w:val="16"/>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in person. You may vote on the internet, by telephone or by mailing the enclosed proxy card or voting instruction form. Please review the instructions on page 2 of the Proxy Statement and your proxy card or voting instruction form regarding each of these voting options.</w:t>
      </w:r>
    </w:p>
    <w:p>
      <w:pPr>
        <w:spacing w:after="0" w:line="1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320040</wp:posOffset>
            </wp:positionV>
            <wp:extent cx="293306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3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Julie A. Brooks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8, 2015</w:t>
      </w:r>
    </w:p>
    <w:p>
      <w:pPr>
        <w:spacing w:after="0" w:line="213" w:lineRule="exact"/>
        <w:rPr>
          <w:sz w:val="20"/>
          <w:szCs w:val="20"/>
          <w:color w:val="auto"/>
        </w:rPr>
      </w:pPr>
    </w:p>
    <w:p>
      <w:pPr>
        <w:jc w:val="center"/>
        <w:ind w:left="26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18,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https://materials.proxyvote.com/92337F.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732"/>
        <w:spacing w:after="0" w:line="25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Veracyte, Inc., a Delaware corporation ("we," "us," "our," "Veracyte" or the "Company"), of proxies in the accompanying form to be used at the Annual Meeting of Stockholders of the Company to be held at 7000 Shoreline Court, Conference Room, 1st Floor, South San Francisco, California 94080, on Monday, May 18, 2015, at 10:00 a.m., Pacific Daylight Time, and any postponement or adjournment thereof (the "Annual Meeting").</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Proxy Statement and the accompanying form of proxy are being mailed to stockholders on or about April 8, 2015.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Proxy Materials and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Three proposals will be voted on at the Annual Meeting:</w:t>
      </w:r>
    </w:p>
    <w:p>
      <w:pPr>
        <w:spacing w:after="0" w:line="239" w:lineRule="exact"/>
        <w:rPr>
          <w:sz w:val="20"/>
          <w:szCs w:val="20"/>
          <w:color w:val="auto"/>
        </w:rPr>
      </w:pPr>
    </w:p>
    <w:p>
      <w:pPr>
        <w:ind w:left="2160" w:hanging="531"/>
        <w:spacing w:after="0" w:line="268" w:lineRule="auto"/>
        <w:tabs>
          <w:tab w:leader="none" w:pos="2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II directors to serve until the 2018 Annual Meeting or until their successors are duly elected and qualified;</w:t>
      </w:r>
    </w:p>
    <w:p>
      <w:pPr>
        <w:spacing w:after="0" w:line="212" w:lineRule="exact"/>
        <w:rPr>
          <w:rFonts w:ascii="Arial" w:cs="Arial" w:eastAsia="Arial" w:hAnsi="Arial"/>
          <w:sz w:val="18"/>
          <w:szCs w:val="18"/>
          <w:color w:val="auto"/>
        </w:rPr>
      </w:pPr>
    </w:p>
    <w:p>
      <w:pPr>
        <w:ind w:left="2160" w:hanging="531"/>
        <w:spacing w:after="0"/>
        <w:tabs>
          <w:tab w:leader="none" w:pos="2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Veracyte, Inc. Employee Stock Purchase Plan; and</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as our independent registered public accounting firm for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board of directors recommends that you vote:</w:t>
      </w:r>
    </w:p>
    <w:p>
      <w:pPr>
        <w:spacing w:after="0" w:line="239" w:lineRule="exact"/>
        <w:rPr>
          <w:sz w:val="20"/>
          <w:szCs w:val="20"/>
          <w:color w:val="auto"/>
        </w:rPr>
      </w:pPr>
    </w:p>
    <w:p>
      <w:pPr>
        <w:ind w:left="2160" w:hanging="531"/>
        <w:spacing w:after="0"/>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election of each of the nominated Class II directors;</w:t>
      </w:r>
    </w:p>
    <w:p>
      <w:pPr>
        <w:spacing w:after="0" w:line="252" w:lineRule="exact"/>
        <w:rPr>
          <w:rFonts w:ascii="Arial" w:cs="Arial" w:eastAsia="Arial" w:hAnsi="Arial"/>
          <w:sz w:val="18"/>
          <w:szCs w:val="18"/>
          <w:color w:val="auto"/>
        </w:rPr>
      </w:pPr>
    </w:p>
    <w:p>
      <w:pPr>
        <w:ind w:left="2160" w:hanging="531"/>
        <w:spacing w:after="0"/>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of the Employee Stock Purchase Plan; and</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ratification of the appointment of Ernst &amp; Young LLP as our independent registered public accounting firm for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jc w:val="both"/>
        <w:ind w:firstLine="695"/>
        <w:spacing w:after="0" w:line="306"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jc w:val="both"/>
        <w:ind w:right="20" w:firstLine="678"/>
        <w:spacing w:after="0" w:line="268" w:lineRule="auto"/>
        <w:rPr>
          <w:sz w:val="20"/>
          <w:szCs w:val="20"/>
          <w:color w:val="auto"/>
        </w:rPr>
      </w:pPr>
      <w:r>
        <w:rPr>
          <w:rFonts w:ascii="Arial" w:cs="Arial" w:eastAsia="Arial" w:hAnsi="Arial"/>
          <w:sz w:val="18"/>
          <w:szCs w:val="18"/>
          <w:color w:val="auto"/>
        </w:rPr>
        <w:t>Stockholders of record at the close of business on March 24, 2015 (the "Record Date") may vote at the Annual Meeting. Each stockholder is entitled to one vote for each share of our common stock held as of the Record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31" w:lineRule="exact"/>
        <w:rPr>
          <w:sz w:val="20"/>
          <w:szCs w:val="20"/>
          <w:color w:val="auto"/>
        </w:rPr>
      </w:pPr>
    </w:p>
    <w:p>
      <w:pPr>
        <w:jc w:val="both"/>
        <w:ind w:right="20" w:firstLine="650"/>
        <w:spacing w:after="0" w:line="259"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with respect to those shares, the "stockholder of record." The Proxy Statement, Annual Report and proxy card have been sent directly to you by Veracyte.</w:t>
      </w:r>
    </w:p>
    <w:p>
      <w:pPr>
        <w:spacing w:after="0" w:line="194" w:lineRule="exact"/>
        <w:rPr>
          <w:sz w:val="20"/>
          <w:szCs w:val="20"/>
          <w:color w:val="auto"/>
        </w:rPr>
      </w:pPr>
    </w:p>
    <w:p>
      <w:pPr>
        <w:jc w:val="both"/>
        <w:ind w:firstLine="703"/>
        <w:spacing w:after="0" w:line="256"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brokerage account or by a bank or other nominee, you are considered the "beneficial owner"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street name. The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form included in the mailing.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You may vote using any of the following methods:</w:t>
      </w:r>
    </w:p>
    <w:p>
      <w:pPr>
        <w:spacing w:after="0" w:line="219" w:lineRule="exact"/>
        <w:rPr>
          <w:sz w:val="20"/>
          <w:szCs w:val="20"/>
          <w:color w:val="auto"/>
        </w:rPr>
      </w:pPr>
    </w:p>
    <w:p>
      <w:pPr>
        <w:jc w:val="both"/>
        <w:ind w:left="10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 Mail</w:t>
      </w:r>
      <w:r>
        <w:rPr>
          <w:rFonts w:ascii="Arial" w:cs="Arial" w:eastAsia="Arial" w:hAnsi="Arial"/>
          <w:sz w:val="18"/>
          <w:szCs w:val="18"/>
          <w:color w:val="auto"/>
        </w:rPr>
        <w:t xml:space="preserve"> – Stockholders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the election of the nominees for Class II director and "FOR" the approval of the Employee Stock Purchase Plan and the ratification of the independent registered public accounting firm for 2015. Stockholders who hold shares beneficially in street name may provide voting instructions by mail by completing, signing and dating the voting instruction forms provided by their brokers, banks or other nominees.</w:t>
      </w:r>
    </w:p>
    <w:p>
      <w:pPr>
        <w:spacing w:after="0" w:line="193" w:lineRule="exact"/>
        <w:rPr>
          <w:sz w:val="20"/>
          <w:szCs w:val="20"/>
          <w:color w:val="auto"/>
        </w:rPr>
      </w:pPr>
    </w:p>
    <w:p>
      <w:pPr>
        <w:jc w:val="both"/>
        <w:ind w:left="10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By Telephone</w:t>
      </w:r>
      <w:r>
        <w:rPr>
          <w:rFonts w:ascii="Arial" w:cs="Arial" w:eastAsia="Arial" w:hAnsi="Arial"/>
          <w:sz w:val="16"/>
          <w:szCs w:val="16"/>
          <w:color w:val="auto"/>
        </w:rPr>
        <w:t xml:space="preserve"> – Stockholders of record may submit proxies by following the telephone voting instructions on their proxy cards.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62" w:lineRule="exact"/>
        <w:rPr>
          <w:sz w:val="20"/>
          <w:szCs w:val="20"/>
          <w:color w:val="auto"/>
        </w:rPr>
      </w:pPr>
    </w:p>
    <w:p>
      <w:pPr>
        <w:jc w:val="both"/>
        <w:ind w:left="10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By Internet</w:t>
      </w:r>
      <w:r>
        <w:rPr>
          <w:rFonts w:ascii="Arial" w:cs="Arial" w:eastAsia="Arial" w:hAnsi="Arial"/>
          <w:sz w:val="16"/>
          <w:szCs w:val="16"/>
          <w:color w:val="auto"/>
        </w:rPr>
        <w:t xml:space="preserve"> – Stockholders of record may submit proxies by following the internet voting instructions on their 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62" w:lineRule="exact"/>
        <w:rPr>
          <w:sz w:val="20"/>
          <w:szCs w:val="20"/>
          <w:color w:val="auto"/>
        </w:rPr>
      </w:pPr>
    </w:p>
    <w:p>
      <w:pPr>
        <w:jc w:val="both"/>
        <w:ind w:left="10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 Person at the Annual Meeting</w:t>
      </w:r>
      <w:r>
        <w:rPr>
          <w:rFonts w:ascii="Arial" w:cs="Arial" w:eastAsia="Arial" w:hAnsi="Arial"/>
          <w:sz w:val="16"/>
          <w:szCs w:val="16"/>
          <w:color w:val="auto"/>
        </w:rPr>
        <w:t xml:space="preserve"> – Shares held in your name as the stockholder of record may be voted at the Annual Meeting. Shares held 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1080" w:right="20"/>
        <w:spacing w:after="0" w:line="268" w:lineRule="auto"/>
        <w:rPr>
          <w:sz w:val="20"/>
          <w:szCs w:val="20"/>
          <w:color w:val="auto"/>
        </w:rPr>
      </w:pPr>
      <w:r>
        <w:rPr>
          <w:rFonts w:ascii="Arial" w:cs="Arial" w:eastAsia="Arial" w:hAnsi="Arial"/>
          <w:sz w:val="18"/>
          <w:szCs w:val="18"/>
          <w:b w:val="1"/>
          <w:bCs w:val="1"/>
          <w:i w:val="1"/>
          <w:iCs w:val="1"/>
          <w:color w:val="auto"/>
        </w:rPr>
        <w:t>submit your proxy or voting instructions or vote by telephone or the internet so that your vote will be counted if you later decide not to attend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31" w:lineRule="exact"/>
        <w:rPr>
          <w:sz w:val="20"/>
          <w:szCs w:val="20"/>
          <w:color w:val="auto"/>
        </w:rPr>
      </w:pPr>
    </w:p>
    <w:p>
      <w:pPr>
        <w:jc w:val="both"/>
        <w:ind w:firstLine="707"/>
        <w:spacing w:after="0" w:line="294" w:lineRule="auto"/>
        <w:rPr>
          <w:sz w:val="20"/>
          <w:szCs w:val="20"/>
          <w:color w:val="auto"/>
        </w:rPr>
      </w:pPr>
      <w:r>
        <w:rPr>
          <w:rFonts w:ascii="Arial" w:cs="Arial" w:eastAsia="Arial" w:hAnsi="Arial"/>
          <w:sz w:val="16"/>
          <w:szCs w:val="16"/>
          <w:color w:val="auto"/>
        </w:rPr>
        <w:t>You may change your vote or revoke your proxy at any time prior to the vote at the Annual Meeting. If you are a stockholder of record and submitted your proxy by mail, you must file with the Secretary of the Company a written notice of revocation or deliver, prior to the vote at the Annual Meeting, a valid, later- 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170" w:lineRule="exact"/>
        <w:rPr>
          <w:sz w:val="20"/>
          <w:szCs w:val="20"/>
          <w:color w:val="auto"/>
        </w:rPr>
      </w:pPr>
    </w:p>
    <w:p>
      <w:pPr>
        <w:jc w:val="both"/>
        <w:ind w:right="20" w:firstLine="695"/>
        <w:spacing w:after="0" w:line="268"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jc w:val="both"/>
        <w:ind w:firstLine="750"/>
        <w:spacing w:after="0" w:line="306" w:lineRule="auto"/>
        <w:rPr>
          <w:sz w:val="20"/>
          <w:szCs w:val="20"/>
          <w:color w:val="auto"/>
        </w:rPr>
      </w:pPr>
      <w:r>
        <w:rPr>
          <w:rFonts w:ascii="Arial" w:cs="Arial" w:eastAsia="Arial" w:hAnsi="Arial"/>
          <w:sz w:val="16"/>
          <w:szCs w:val="16"/>
          <w:color w:val="auto"/>
        </w:rPr>
        <w:t>In the election of directors, you may vote "FOR" all of the Class II nominees or your vote may be "WITHHELD" with respect to one or more of the nominees. For Proposals 2 and 3, the approval of the Employee Stock Purchase Plan and the appointment of Ernst &amp; Young LLP as our independent registered public accounting firm for 2015, you may vote "FOR," vote "AGAINST" or "ABSTAIN." An abstention has the same effect as a vote "AGAINST" the proposal.</w:t>
      </w:r>
    </w:p>
    <w:p>
      <w:pPr>
        <w:spacing w:after="0" w:line="161"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II nominees to the board of directors, "FOR" the approval of the Employee Stock Purchase Plan, "FOR" the ratification of Ernst &amp; Young LLP as our independent registered public accounting firm and in the discretion of the proxy holders on any other matters that may properly come before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Proposal 1, the election of directors, the two persons receiving the highest number of "FOR" votes at the Annual Meeting will be elected.</w:t>
      </w:r>
    </w:p>
    <w:p>
      <w:pPr>
        <w:spacing w:after="0" w:line="248" w:lineRule="exact"/>
        <w:rPr>
          <w:sz w:val="20"/>
          <w:szCs w:val="20"/>
          <w:color w:val="auto"/>
        </w:rPr>
      </w:pPr>
    </w:p>
    <w:p>
      <w:pPr>
        <w:jc w:val="both"/>
        <w:ind w:right="20" w:firstLine="660"/>
        <w:spacing w:after="0" w:line="268" w:lineRule="auto"/>
        <w:rPr>
          <w:sz w:val="20"/>
          <w:szCs w:val="20"/>
          <w:color w:val="auto"/>
        </w:rPr>
      </w:pPr>
      <w:r>
        <w:rPr>
          <w:rFonts w:ascii="Arial" w:cs="Arial" w:eastAsia="Arial" w:hAnsi="Arial"/>
          <w:sz w:val="18"/>
          <w:szCs w:val="18"/>
          <w:color w:val="auto"/>
        </w:rPr>
        <w:t>Proposals 2 and 3 require the affirmative "FOR" vote of the holders of a majority of the shares present at the Annual Meeting in person or by proxy and entitled to vote. Abstentions have the same effect as votes "AGAINST" these proposals.</w:t>
      </w:r>
    </w:p>
    <w:p>
      <w:pPr>
        <w:spacing w:after="0" w:line="186" w:lineRule="exact"/>
        <w:rPr>
          <w:sz w:val="20"/>
          <w:szCs w:val="20"/>
          <w:color w:val="auto"/>
        </w:rPr>
      </w:pPr>
    </w:p>
    <w:p>
      <w:pPr>
        <w:jc w:val="both"/>
        <w:ind w:firstLine="732"/>
        <w:spacing w:after="0" w:line="298"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are not given. In tabulating the voting result for any particular proposal, shares that constitute broker non-votes are not considered entitled to vote on that proposal. Thus, broker non-votes will not affect the outcome of any matter being voted on at the Annual Meeting, assuming that a quorum is obtained.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31" w:lineRule="exact"/>
        <w:rPr>
          <w:sz w:val="20"/>
          <w:szCs w:val="20"/>
          <w:color w:val="auto"/>
        </w:rPr>
      </w:pPr>
    </w:p>
    <w:p>
      <w:pPr>
        <w:jc w:val="both"/>
        <w:ind w:right="20" w:firstLine="668"/>
        <w:spacing w:after="0" w:line="268"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jc w:val="both"/>
        <w:ind w:firstLine="676"/>
        <w:spacing w:after="0" w:line="259" w:lineRule="auto"/>
        <w:rPr>
          <w:sz w:val="20"/>
          <w:szCs w:val="20"/>
          <w:color w:val="auto"/>
        </w:rPr>
      </w:pPr>
      <w:r>
        <w:rPr>
          <w:rFonts w:ascii="Arial" w:cs="Arial" w:eastAsia="Arial" w:hAnsi="Arial"/>
          <w:sz w:val="18"/>
          <w:szCs w:val="18"/>
          <w:color w:val="auto"/>
        </w:rPr>
        <w:t>The presence at the Annual Meeting, in person or by proxy, of the holders of a majority of the shares of common stock outstanding on the Record Date will constitute a quorum. As of the close of business on the Record Date, there were 22,551,745 shares of our common stock outstanding. Both abstentions and broker non-votes are counted for the purpose of determining the presence of a quorum.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231" w:lineRule="exact"/>
        <w:rPr>
          <w:sz w:val="20"/>
          <w:szCs w:val="20"/>
          <w:color w:val="auto"/>
        </w:rPr>
      </w:pPr>
    </w:p>
    <w:p>
      <w:pPr>
        <w:jc w:val="both"/>
        <w:ind w:firstLine="730"/>
        <w:spacing w:after="0" w:line="306" w:lineRule="auto"/>
        <w:rPr>
          <w:sz w:val="20"/>
          <w:szCs w:val="20"/>
          <w:color w:val="auto"/>
        </w:rPr>
      </w:pPr>
      <w:r>
        <w:rPr>
          <w:rFonts w:ascii="Arial" w:cs="Arial" w:eastAsia="Arial" w:hAnsi="Arial"/>
          <w:sz w:val="16"/>
          <w:szCs w:val="16"/>
          <w:color w:val="auto"/>
        </w:rPr>
        <w:t>Our employees, officers and directors may solicit proxies. We will pay the cost of printing and mailing proxy materials, and will reimburse brokerage houses and other custodians, nominees and fiduciaries for their reasonable out-of- pocket expenses for forwarding proxy material to the owners of our common stock. At this time, we have not engaged a proxy solicitor. If we do engage a proxy solicitor, we will pay the customary costs associated with such engagement.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number of directors is currently set at nine. Our board of directors is divided into three classes, each serving staggered, three-year terms:</w:t>
      </w:r>
    </w:p>
    <w:p>
      <w:pPr>
        <w:spacing w:after="0" w:line="262" w:lineRule="exact"/>
        <w:rPr>
          <w:sz w:val="20"/>
          <w:szCs w:val="20"/>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 of stockholders to be held in 2017;</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II directors are John L. Bishop, Brook H. Byers and Fred E. Cohen, M.D., D.Phil. and their terms will expire at the Annual Meeting;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III directors are Brian G. Atwood, Karin Eastham and Jesse I. Treu, Ph.D. and their terms will expire at the annual meeting of stockholders to be held in 2016.</w:t>
      </w:r>
    </w:p>
    <w:p>
      <w:pPr>
        <w:spacing w:after="0" w:line="186" w:lineRule="exact"/>
        <w:rPr>
          <w:sz w:val="20"/>
          <w:szCs w:val="20"/>
          <w:color w:val="auto"/>
        </w:rPr>
      </w:pPr>
    </w:p>
    <w:p>
      <w:pPr>
        <w:jc w:val="both"/>
        <w:ind w:firstLine="657"/>
        <w:spacing w:after="0" w:line="268" w:lineRule="auto"/>
        <w:rPr>
          <w:sz w:val="20"/>
          <w:szCs w:val="20"/>
          <w:color w:val="auto"/>
        </w:rPr>
      </w:pPr>
      <w:r>
        <w:rPr>
          <w:rFonts w:ascii="Arial" w:cs="Arial" w:eastAsia="Arial" w:hAnsi="Arial"/>
          <w:sz w:val="18"/>
          <w:szCs w:val="18"/>
          <w:color w:val="auto"/>
        </w:rPr>
        <w:t>As of the Annual Meeting, we will have eight authorized directors. Brook H. Byers is retiring from the board of directors as of the Annual Meeting. We are grateful for his guidance and his years of service to our company.</w:t>
      </w:r>
    </w:p>
    <w:p>
      <w:pPr>
        <w:spacing w:after="0" w:line="186"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18"/>
          <w:szCs w:val="18"/>
          <w:color w:val="auto"/>
        </w:rPr>
        <w:t>Two Class II directors will be elected at the Annual Meeting to serve until the annual meeting of stockholders to be held in 2018 or until their successors are duly elected and qualified, with the other classes of directors continuing to serve for the remainder of their respective terms. The two nominees receiving the highest number of affirmative votes will be elected as Class II directors. The nominating and corporate governance committee of the board of directors has recommended, and the board of directors has designated, John L. Bishop and Fred D. Cohen as the nominees for Class II directors to serve until the 2018 annual meeting.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700"/>
        <w:spacing w:after="0"/>
        <w:rPr>
          <w:sz w:val="20"/>
          <w:szCs w:val="20"/>
          <w:color w:val="auto"/>
        </w:rPr>
      </w:pPr>
      <w:r>
        <w:rPr>
          <w:rFonts w:ascii="Arial" w:cs="Arial" w:eastAsia="Arial" w:hAnsi="Arial"/>
          <w:sz w:val="16"/>
          <w:szCs w:val="16"/>
          <w:color w:val="auto"/>
        </w:rPr>
        <w:t>Names of the Class II nominees and the other members of the board of directors and certain biographical information as of March 2, 2015 are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right"/>
              <w:ind w:right="34"/>
              <w:spacing w:after="0"/>
              <w:rPr>
                <w:sz w:val="20"/>
                <w:szCs w:val="20"/>
                <w:color w:val="auto"/>
              </w:rPr>
            </w:pPr>
            <w:r>
              <w:rPr>
                <w:rFonts w:ascii="Arial" w:cs="Arial" w:eastAsia="Arial" w:hAnsi="Arial"/>
                <w:sz w:val="14"/>
                <w:szCs w:val="14"/>
                <w:b w:val="1"/>
                <w:bCs w:val="1"/>
                <w:color w:val="auto"/>
              </w:rPr>
              <w:t>Age</w:t>
            </w:r>
          </w:p>
        </w:tc>
        <w:tc>
          <w:tcPr>
            <w:tcW w:w="3320" w:type="dxa"/>
            <w:vAlign w:val="bottom"/>
          </w:tcPr>
          <w:p>
            <w:pPr>
              <w:ind w:left="980"/>
              <w:spacing w:after="0"/>
              <w:rPr>
                <w:sz w:val="20"/>
                <w:szCs w:val="20"/>
                <w:color w:val="auto"/>
              </w:rPr>
            </w:pPr>
            <w:r>
              <w:rPr>
                <w:rFonts w:ascii="Arial" w:cs="Arial" w:eastAsia="Arial" w:hAnsi="Arial"/>
                <w:sz w:val="14"/>
                <w:szCs w:val="14"/>
                <w:b w:val="1"/>
                <w:bCs w:val="1"/>
                <w:color w:val="auto"/>
              </w:rPr>
              <w:t>Position with the Company</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Director Since</w:t>
            </w:r>
          </w:p>
        </w:tc>
      </w:tr>
      <w:tr>
        <w:trPr>
          <w:trHeight w:val="201"/>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Bonnie H. Anderson</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57</w:t>
            </w:r>
          </w:p>
        </w:tc>
        <w:tc>
          <w:tcPr>
            <w:tcW w:w="332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96"/>
              </w:rPr>
              <w:t>President and Chief Executive Officer and</w:t>
            </w:r>
          </w:p>
        </w:tc>
        <w:tc>
          <w:tcPr>
            <w:tcW w:w="11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Brian G. Atwood</w:t>
            </w: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332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1160" w:type="dxa"/>
            <w:vAlign w:val="bottom"/>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John L. Bishop</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Fred E. Cohen, M.D., D.Phil.</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33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tcPr>
          <w:p>
            <w:pPr>
              <w:jc w:val="right"/>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Karin Eastham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Robert S. Epstein, M.D., M.S.</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33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Evan Jones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Jesse I. Treu, Ph.D.</w:t>
            </w: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33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160" w:type="dxa"/>
            <w:vAlign w:val="bottom"/>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both"/>
        <w:ind w:firstLine="615"/>
        <w:spacing w:after="0" w:line="255" w:lineRule="auto"/>
        <w:rPr>
          <w:sz w:val="20"/>
          <w:szCs w:val="20"/>
          <w:color w:val="auto"/>
        </w:rPr>
      </w:pPr>
      <w:r>
        <w:rPr>
          <w:rFonts w:ascii="Arial" w:cs="Arial" w:eastAsia="Arial" w:hAnsi="Arial"/>
          <w:sz w:val="18"/>
          <w:szCs w:val="18"/>
          <w:i w:val="1"/>
          <w:iCs w:val="1"/>
          <w:color w:val="auto"/>
        </w:rPr>
        <w:t xml:space="preserve">Bonnie H. Anderson </w:t>
      </w:r>
      <w:r>
        <w:rPr>
          <w:rFonts w:ascii="Arial" w:cs="Arial" w:eastAsia="Arial" w:hAnsi="Arial"/>
          <w:sz w:val="18"/>
          <w:szCs w:val="18"/>
          <w:color w:val="auto"/>
        </w:rPr>
        <w:t>has served as our Chief Executive Officer since February 2008. In August 2013, she was appointed as our President.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trustee emeritus of the Keck Graduate Institute of Applied Life Sciences. Ms. Anderson holds a B.S. in Medical Technology from Indiana University of Pennsylvania.</w:t>
      </w:r>
    </w:p>
    <w:p>
      <w:pPr>
        <w:spacing w:after="0" w:line="197" w:lineRule="exact"/>
        <w:rPr>
          <w:sz w:val="20"/>
          <w:szCs w:val="20"/>
          <w:color w:val="auto"/>
        </w:rPr>
      </w:pPr>
    </w:p>
    <w:p>
      <w:pPr>
        <w:jc w:val="both"/>
        <w:ind w:firstLine="642"/>
        <w:spacing w:after="0" w:line="290" w:lineRule="auto"/>
        <w:rPr>
          <w:sz w:val="20"/>
          <w:szCs w:val="20"/>
          <w:color w:val="auto"/>
        </w:rPr>
      </w:pPr>
      <w:r>
        <w:rPr>
          <w:rFonts w:ascii="Arial" w:cs="Arial" w:eastAsia="Arial" w:hAnsi="Arial"/>
          <w:sz w:val="16"/>
          <w:szCs w:val="16"/>
          <w:i w:val="1"/>
          <w:iCs w:val="1"/>
          <w:color w:val="auto"/>
        </w:rPr>
        <w:t xml:space="preserve">Brian G. Atwood </w:t>
      </w:r>
      <w:r>
        <w:rPr>
          <w:rFonts w:ascii="Arial" w:cs="Arial" w:eastAsia="Arial" w:hAnsi="Arial"/>
          <w:sz w:val="16"/>
          <w:szCs w:val="16"/>
          <w:color w:val="auto"/>
        </w:rPr>
        <w:t>has served as a Managing Director of Versant Ventures, a healthcare-focused venture capital firm that he co-founded, since 1999.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founding Versant Ventures, Mr. Atwood served as a general partner of Brentwood Associates, a venture capital firm. He was also founder, President and Chief Executive Officer of Glycomed, Inc., a biopharmaceutical company. Mr. Atwood is currently a director of Clovis Oncology, Inc., Five Prime Therapeutics, Inc. and Immune Design Corp., and a number of privately held companies. Mr. Atwood served as a director of Cadence Pharmaceuticals, Inc. from March 2006 until its acquisition in March 2014,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w:t>
      </w:r>
    </w:p>
    <w:p>
      <w:pPr>
        <w:spacing w:after="0" w:line="172" w:lineRule="exact"/>
        <w:rPr>
          <w:sz w:val="20"/>
          <w:szCs w:val="20"/>
          <w:color w:val="auto"/>
        </w:rPr>
      </w:pPr>
    </w:p>
    <w:p>
      <w:pPr>
        <w:jc w:val="both"/>
        <w:ind w:firstLine="925"/>
        <w:spacing w:after="0" w:line="288" w:lineRule="auto"/>
        <w:rPr>
          <w:sz w:val="20"/>
          <w:szCs w:val="20"/>
          <w:color w:val="auto"/>
        </w:rPr>
      </w:pPr>
      <w:r>
        <w:rPr>
          <w:rFonts w:ascii="Arial" w:cs="Arial" w:eastAsia="Arial" w:hAnsi="Arial"/>
          <w:sz w:val="16"/>
          <w:szCs w:val="16"/>
          <w:i w:val="1"/>
          <w:iCs w:val="1"/>
          <w:color w:val="auto"/>
        </w:rPr>
        <w:t xml:space="preserve">John L. Bishop </w:t>
      </w:r>
      <w:r>
        <w:rPr>
          <w:rFonts w:ascii="Arial" w:cs="Arial" w:eastAsia="Arial" w:hAnsi="Arial"/>
          <w:sz w:val="16"/>
          <w:szCs w:val="16"/>
          <w:color w:val="auto"/>
        </w:rPr>
        <w:t>has served as Chief Executive Officer and as a director of Cepheid since April 2002 and became its Chairman of the Board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2013. Mr. Bishop served as President and a director of Vysis, Inc., a genomic disease management company that was acquired by Abbott Laboratories, from 1993 to 2002, and as Chief Executive Officer from 1996 to 2002. From 1991 until 1993, Mr. Bishop was Chairman and Chief Executive Officer of MicroProbe Corporation, a biotechnology company, and, from 1987 until 1991, of Source Scientific Systems, a biomedical instrument manufacturing company. From 1984 to 1986, Mr. Bishop was President and Chief Operating Officer of Gen-Probe, Inc. From 1968 to 1984, Mr. Bishop held various management positions with American Hospital Supply Company and its affiliates, including a three-year assignment in Japan as an Executive Vice President and Chief Executive Officer of International Reagents Corp., a joint venture between American Hospital Supply Company and Green Cross Corporation. He served as a director of Conceptus, Inc. and a member of its compensation committee until its acquisition by Bayer HealthCare LLC in June 2013 and is the chairman of the board of directors of AdvaMedDx, a medical diagnostics industry advocacy group. Mr. Bishop holds a B.S. from the University of Miami.</w:t>
      </w:r>
    </w:p>
    <w:p>
      <w:pPr>
        <w:spacing w:after="0" w:line="174" w:lineRule="exact"/>
        <w:rPr>
          <w:sz w:val="20"/>
          <w:szCs w:val="20"/>
          <w:color w:val="auto"/>
        </w:rPr>
      </w:pPr>
    </w:p>
    <w:p>
      <w:pPr>
        <w:jc w:val="both"/>
        <w:ind w:firstLine="696"/>
        <w:spacing w:after="0" w:line="332"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is a partner at TPG, a private equity firm he joined in 2001, and serves as co-head of TPG's biotechnology group. From</w:t>
      </w:r>
      <w:r>
        <w:rPr>
          <w:rFonts w:ascii="Arial" w:cs="Arial" w:eastAsia="Arial" w:hAnsi="Arial"/>
          <w:sz w:val="16"/>
          <w:szCs w:val="16"/>
          <w:i w:val="1"/>
          <w:iCs w:val="1"/>
          <w:color w:val="auto"/>
        </w:rPr>
        <w:t xml:space="preserve"> </w:t>
      </w:r>
      <w:r>
        <w:rPr>
          <w:rFonts w:ascii="Arial" w:cs="Arial" w:eastAsia="Arial" w:hAnsi="Arial"/>
          <w:sz w:val="16"/>
          <w:szCs w:val="16"/>
          <w:color w:val="auto"/>
        </w:rPr>
        <w:t>1988 through December 2014, Dr. Cohen was an Adjunct Professor of Cellular and Molecular Pharmacology at the University of California, San Francisco.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both"/>
        <w:spacing w:after="0" w:line="306" w:lineRule="auto"/>
        <w:rPr>
          <w:sz w:val="20"/>
          <w:szCs w:val="20"/>
          <w:color w:val="auto"/>
        </w:rPr>
      </w:pPr>
      <w:r>
        <w:rPr>
          <w:rFonts w:ascii="Arial" w:cs="Arial" w:eastAsia="Arial" w:hAnsi="Arial"/>
          <w:sz w:val="16"/>
          <w:szCs w:val="16"/>
          <w:color w:val="auto"/>
        </w:rPr>
        <w:t>Dr. Cohen currently serves as a director of BioCryst Pharmaceuticals, Inc., CareDx, Inc., Five Prime Therapeutics, Inc., Genomic Health, Inc., Quintiles Transnational Holdings Inc., Roka Bioscience, Inc. and Tandem Diabetes Care, Inc., and a number of privately held companies. Dr. Cohen holds a B.S. in Molecular Biophysics and Biochemistry from Yale University, a D.Phil. in Molecular Biophysics from Oxford University and an M.D. from Stanford University.</w:t>
      </w:r>
    </w:p>
    <w:p>
      <w:pPr>
        <w:spacing w:after="0" w:line="161" w:lineRule="exact"/>
        <w:rPr>
          <w:sz w:val="20"/>
          <w:szCs w:val="20"/>
          <w:color w:val="auto"/>
        </w:rPr>
      </w:pPr>
    </w:p>
    <w:p>
      <w:pPr>
        <w:jc w:val="both"/>
        <w:ind w:firstLine="871"/>
        <w:spacing w:after="0" w:line="288"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serves on the boards of directors of several life sciences companies. From May 2004 to September 2008, Ms. Eastham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74" w:lineRule="exact"/>
        <w:rPr>
          <w:sz w:val="20"/>
          <w:szCs w:val="20"/>
          <w:color w:val="auto"/>
        </w:rPr>
      </w:pPr>
    </w:p>
    <w:p>
      <w:pPr>
        <w:jc w:val="both"/>
        <w:ind w:firstLine="804"/>
        <w:spacing w:after="0" w:line="253" w:lineRule="auto"/>
        <w:rPr>
          <w:sz w:val="20"/>
          <w:szCs w:val="20"/>
          <w:color w:val="auto"/>
        </w:rPr>
      </w:pPr>
      <w:r>
        <w:rPr>
          <w:rFonts w:ascii="Arial" w:cs="Arial" w:eastAsia="Arial" w:hAnsi="Arial"/>
          <w:sz w:val="18"/>
          <w:szCs w:val="18"/>
          <w:i w:val="1"/>
          <w:iCs w:val="1"/>
          <w:color w:val="auto"/>
        </w:rPr>
        <w:t xml:space="preserve">Robert S. Epstein, M.D., M.S. </w:t>
      </w:r>
      <w:r>
        <w:rPr>
          <w:rFonts w:ascii="Arial" w:cs="Arial" w:eastAsia="Arial" w:hAnsi="Arial"/>
          <w:sz w:val="18"/>
          <w:szCs w:val="18"/>
          <w:color w:val="auto"/>
        </w:rPr>
        <w:t>has served as a strategic consultant to life sciences companies since 2013. From 2010 to 2012, Dr. Epstein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Medco-UBC Division and as Chief Research and Development Officer of Medco Health Solutions, Inc., a managed healthcare company. Prior to that, Dr. Epstein served as Medco's Chief Medical Officer from 1997 to 2010. Dr. Epstein currently serves as a director of Fate Therapeutics, Inc. and Illumina, Inc. Dr. Epstein is the former president of the International Society of Pharmacoeconomics and Outcomes Research, and served on the board of directors of the Drug Information Association and the International Society of Quality of Life. He has also served on the federal CDC EGAPP (Evaluation of Genomic Applications in Practice &amp; Prevention) Stakeholder Committee and the AHRQ CERTs (Centers for Education and Research on Therapeutics) Committee. Dr. Epstein holds a B.S. in Biomedical Science and an M.D. from the University of Michigan, and an M.S. in Preventive Medicine from the University of Maryland.</w:t>
      </w:r>
    </w:p>
    <w:p>
      <w:pPr>
        <w:spacing w:after="0" w:line="199" w:lineRule="exact"/>
        <w:rPr>
          <w:sz w:val="20"/>
          <w:szCs w:val="20"/>
          <w:color w:val="auto"/>
        </w:rPr>
      </w:pPr>
    </w:p>
    <w:p>
      <w:pPr>
        <w:jc w:val="both"/>
        <w:ind w:firstLine="763"/>
        <w:spacing w:after="0" w:line="291" w:lineRule="auto"/>
        <w:rPr>
          <w:sz w:val="20"/>
          <w:szCs w:val="20"/>
          <w:color w:val="auto"/>
        </w:rPr>
      </w:pPr>
      <w:r>
        <w:rPr>
          <w:rFonts w:ascii="Arial" w:cs="Arial" w:eastAsia="Arial" w:hAnsi="Arial"/>
          <w:sz w:val="16"/>
          <w:szCs w:val="16"/>
          <w:i w:val="1"/>
          <w:iCs w:val="1"/>
          <w:color w:val="auto"/>
        </w:rPr>
        <w:t xml:space="preserve">Evan Jones </w:t>
      </w:r>
      <w:r>
        <w:rPr>
          <w:rFonts w:ascii="Arial" w:cs="Arial" w:eastAsia="Arial" w:hAnsi="Arial"/>
          <w:sz w:val="16"/>
          <w:szCs w:val="16"/>
          <w:color w:val="auto"/>
        </w:rPr>
        <w:t>has served since 2007 as Managing Member of jVen Capital, LLC, a life sciences investment company. He also serves as Chairman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also serves as a director of Fluidigm Corporation and Foundation Medicine, Inc. Mr. Jones served as a director of CAS Medical Systems, Inc. from May 2008 until its acquisition in October 2013. Mr. Jones received a B.A. in Biotechnology from the University of Colorado and an M.B.A. from The Wharton School at the University of Pennsylvania.</w:t>
      </w:r>
    </w:p>
    <w:p>
      <w:pPr>
        <w:spacing w:after="0" w:line="174" w:lineRule="exact"/>
        <w:rPr>
          <w:sz w:val="20"/>
          <w:szCs w:val="20"/>
          <w:color w:val="auto"/>
        </w:rPr>
      </w:pPr>
    </w:p>
    <w:p>
      <w:pPr>
        <w:jc w:val="both"/>
        <w:ind w:firstLine="628"/>
        <w:spacing w:after="0" w:line="254" w:lineRule="auto"/>
        <w:rPr>
          <w:sz w:val="20"/>
          <w:szCs w:val="20"/>
          <w:color w:val="auto"/>
        </w:rPr>
      </w:pPr>
      <w:r>
        <w:rPr>
          <w:rFonts w:ascii="Arial" w:cs="Arial" w:eastAsia="Arial" w:hAnsi="Arial"/>
          <w:sz w:val="18"/>
          <w:szCs w:val="18"/>
          <w:i w:val="1"/>
          <w:iCs w:val="1"/>
          <w:color w:val="auto"/>
        </w:rPr>
        <w:t xml:space="preserve">Jesse I. Treu, Ph.D., </w:t>
      </w:r>
      <w:r>
        <w:rPr>
          <w:rFonts w:ascii="Arial" w:cs="Arial" w:eastAsia="Arial" w:hAnsi="Arial"/>
          <w:sz w:val="18"/>
          <w:szCs w:val="18"/>
          <w:color w:val="auto"/>
        </w:rPr>
        <w:t>has been a partner at Domain Associates, a venture capital firm, since its inception in 1985. Dr. Treu has been a director of 38 early-stage healthcare companies, of which 22 have been public companies. Dr. Treu currently serves as a director of Aldeyra Therapeutics, Inc., Regado Biosciences, Inc., and Tandem Diabetes Care, Inc., and a number of privately held life sciences and biopharmaceutical companies.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Physics from Rensselaer Polytechnic Institute and an M.A. and a Ph.D. in Physics from Princeton University.</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Board of Directors Recommends a Vote "FOR" Election as Director of Each of the Class II Nominees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31" w:lineRule="exact"/>
        <w:rPr>
          <w:sz w:val="20"/>
          <w:szCs w:val="20"/>
          <w:color w:val="auto"/>
        </w:rPr>
      </w:pPr>
    </w:p>
    <w:p>
      <w:pPr>
        <w:jc w:val="both"/>
        <w:ind w:firstLine="681"/>
        <w:spacing w:after="0" w:line="256" w:lineRule="auto"/>
        <w:rPr>
          <w:sz w:val="20"/>
          <w:szCs w:val="20"/>
          <w:color w:val="auto"/>
        </w:rPr>
      </w:pPr>
      <w:r>
        <w:rPr>
          <w:rFonts w:ascii="Arial" w:cs="Arial" w:eastAsia="Arial" w:hAnsi="Arial"/>
          <w:sz w:val="18"/>
          <w:szCs w:val="18"/>
          <w:color w:val="auto"/>
        </w:rPr>
        <w:t>The board of directors nominates directors whose term is scheduled to expire at the next annual meeting of stockholders and elects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97" w:lineRule="exact"/>
        <w:rPr>
          <w:sz w:val="20"/>
          <w:szCs w:val="20"/>
          <w:color w:val="auto"/>
        </w:rPr>
      </w:pPr>
    </w:p>
    <w:p>
      <w:pPr>
        <w:jc w:val="both"/>
        <w:ind w:firstLine="854"/>
        <w:spacing w:after="0" w:line="289" w:lineRule="auto"/>
        <w:rPr>
          <w:sz w:val="20"/>
          <w:szCs w:val="20"/>
          <w:color w:val="auto"/>
        </w:rPr>
      </w:pPr>
      <w:r>
        <w:rPr>
          <w:rFonts w:ascii="Arial" w:cs="Arial" w:eastAsia="Arial" w:hAnsi="Arial"/>
          <w:sz w:val="16"/>
          <w:szCs w:val="16"/>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the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the Company and the board of directors. Each of our non-employee directors has served on the board of a public company. Although the Company has no formal diversity policy for board members, the board and the nominating and corporate governance committee consider diversity of backgrounds and experiences and other forms of diversity when selecting nominees.</w:t>
      </w:r>
    </w:p>
    <w:p>
      <w:pPr>
        <w:spacing w:after="0" w:line="172"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or SEC, rules, and that a majority of the members of the board meet the definition of "independent director" under the rules of The NASDAQ Stock Market. The nominating and corporate governance committee believes it appropriate for certain key members of our management — currently, the president and chief executive officer — to participate as members of the board of directors.</w:t>
      </w:r>
    </w:p>
    <w:p>
      <w:pPr>
        <w:spacing w:after="0" w:line="197" w:lineRule="exact"/>
        <w:rPr>
          <w:sz w:val="20"/>
          <w:szCs w:val="20"/>
          <w:color w:val="auto"/>
        </w:rPr>
      </w:pPr>
    </w:p>
    <w:p>
      <w:pPr>
        <w:jc w:val="both"/>
        <w:ind w:firstLine="752"/>
        <w:spacing w:after="0" w:line="289"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Class II nominees is a member of the board of directors standing for re-election as a director.</w:t>
      </w:r>
    </w:p>
    <w:p>
      <w:pPr>
        <w:spacing w:after="0" w:line="172" w:lineRule="exact"/>
        <w:rPr>
          <w:sz w:val="20"/>
          <w:szCs w:val="20"/>
          <w:color w:val="auto"/>
        </w:rPr>
      </w:pPr>
    </w:p>
    <w:p>
      <w:pPr>
        <w:jc w:val="both"/>
        <w:ind w:right="20" w:firstLine="639"/>
        <w:spacing w:after="0" w:line="268" w:lineRule="auto"/>
        <w:rPr>
          <w:sz w:val="20"/>
          <w:szCs w:val="20"/>
          <w:color w:val="auto"/>
        </w:rPr>
      </w:pPr>
      <w:r>
        <w:rPr>
          <w:rFonts w:ascii="Arial" w:cs="Arial" w:eastAsia="Arial" w:hAnsi="Arial"/>
          <w:sz w:val="18"/>
          <w:szCs w:val="18"/>
          <w:color w:val="auto"/>
        </w:rPr>
        <w:t>A stockholder who wishes to suggest a prospective nominee for the board of directors should notify the Secretary of the Company or any member of the nominating and corporate governance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spacing w:after="0" w:line="306" w:lineRule="auto"/>
        <w:rPr>
          <w:sz w:val="20"/>
          <w:szCs w:val="20"/>
          <w:color w:val="auto"/>
        </w:rPr>
      </w:pPr>
      <w:r>
        <w:rPr>
          <w:rFonts w:ascii="Arial" w:cs="Arial" w:eastAsia="Arial" w:hAnsi="Arial"/>
          <w:sz w:val="15"/>
          <w:szCs w:val="15"/>
          <w:color w:val="auto"/>
        </w:rPr>
        <w:t>committee in writing with any supporting material the stockholder considers appropriate. In addition, our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the Secretary of the Company and otherwise comply with the provisions of our Bylaws. To be timely, our Bylaws provide that we must have received the stockholder's notice not more than 120 days nor less than 90 days prior to the first anniversary of the preceding year's annual meeting of stockholders. However,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our Secretary not later than the close of business on the later of (1) the 90th day prior to the date of the scheduled annual meeting and (2) the 10th day following the earlier to occur of the day on which notice of the date of the scheduled annual meeting was mailed or the day on which public announcement of the date of such scheduled annual meeting was first made. An adjournment or postponement of an annual meeting will not commence a new time period or extend any time period for the giving of the stockholder's notice described above. Information required by the Bylaws to be in the notice include the name and contact information for the candidate and the person making the nomination and other information about the nominee that must be disclosed in proxy solicitations under Section 14 of the Securities Exchange Act of 1934 and the related rules and regulations under that Section.</w:t>
      </w:r>
    </w:p>
    <w:p>
      <w:pPr>
        <w:spacing w:after="0" w:line="170" w:lineRule="exact"/>
        <w:rPr>
          <w:sz w:val="20"/>
          <w:szCs w:val="20"/>
          <w:color w:val="auto"/>
        </w:rPr>
      </w:pPr>
    </w:p>
    <w:p>
      <w:pPr>
        <w:jc w:val="both"/>
        <w:ind w:firstLine="662"/>
        <w:spacing w:after="0" w:line="259"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Veracyte, Inc., 7000 Shoreline Court, Suite 250, South San Francisco, California 94080. You may obtain a copy of the full text of this provision of the Bylaws by writing to our Secretary at the above address.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31" w:lineRule="exact"/>
        <w:rPr>
          <w:sz w:val="20"/>
          <w:szCs w:val="20"/>
          <w:color w:val="auto"/>
        </w:rPr>
      </w:pPr>
    </w:p>
    <w:p>
      <w:pPr>
        <w:jc w:val="both"/>
        <w:ind w:firstLine="687"/>
        <w:spacing w:after="0" w:line="259"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nominees for the board of directors that, in addition to the experience of those individuals described in their biographies above, led our nominating and corporate governance committee and board to conclude that the director should serve as a member of the board of directors.</w:t>
      </w:r>
    </w:p>
    <w:p>
      <w:pPr>
        <w:spacing w:after="0" w:line="194" w:lineRule="exact"/>
        <w:rPr>
          <w:sz w:val="20"/>
          <w:szCs w:val="20"/>
          <w:color w:val="auto"/>
        </w:rPr>
      </w:pPr>
    </w:p>
    <w:p>
      <w:pPr>
        <w:jc w:val="both"/>
        <w:ind w:right="20" w:firstLine="835"/>
        <w:spacing w:after="0" w:line="33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39" w:lineRule="exact"/>
        <w:rPr>
          <w:sz w:val="20"/>
          <w:szCs w:val="20"/>
          <w:color w:val="auto"/>
        </w:rPr>
      </w:pPr>
    </w:p>
    <w:p>
      <w:pPr>
        <w:jc w:val="both"/>
        <w:ind w:firstLine="726"/>
        <w:spacing w:after="0" w:line="259" w:lineRule="auto"/>
        <w:rPr>
          <w:sz w:val="20"/>
          <w:szCs w:val="20"/>
          <w:color w:val="auto"/>
        </w:rPr>
      </w:pPr>
      <w:r>
        <w:rPr>
          <w:rFonts w:ascii="Arial" w:cs="Arial" w:eastAsia="Arial" w:hAnsi="Arial"/>
          <w:sz w:val="18"/>
          <w:szCs w:val="18"/>
          <w:color w:val="auto"/>
        </w:rPr>
        <w:t>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94" w:lineRule="exact"/>
        <w:rPr>
          <w:sz w:val="20"/>
          <w:szCs w:val="20"/>
          <w:color w:val="auto"/>
        </w:rPr>
      </w:pPr>
    </w:p>
    <w:p>
      <w:pPr>
        <w:jc w:val="both"/>
        <w:ind w:firstLine="659"/>
        <w:spacing w:after="0" w:line="306" w:lineRule="auto"/>
        <w:rPr>
          <w:sz w:val="20"/>
          <w:szCs w:val="20"/>
          <w:color w:val="auto"/>
        </w:rPr>
      </w:pPr>
      <w:r>
        <w:rPr>
          <w:rFonts w:ascii="Arial" w:cs="Arial" w:eastAsia="Arial" w:hAnsi="Arial"/>
          <w:sz w:val="16"/>
          <w:szCs w:val="16"/>
          <w:color w:val="auto"/>
        </w:rPr>
        <w:t>Our board of directors has concluded that Mr. Bishop should serve on our board of directors due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61" w:lineRule="exact"/>
        <w:rPr>
          <w:sz w:val="20"/>
          <w:szCs w:val="20"/>
          <w:color w:val="auto"/>
        </w:rPr>
      </w:pPr>
    </w:p>
    <w:p>
      <w:pPr>
        <w:jc w:val="both"/>
        <w:ind w:firstLine="714"/>
        <w:spacing w:after="0" w:line="259"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ind w:firstLine="673"/>
        <w:spacing w:after="0" w:line="259" w:lineRule="auto"/>
        <w:rPr>
          <w:sz w:val="20"/>
          <w:szCs w:val="20"/>
          <w:color w:val="auto"/>
        </w:rPr>
      </w:pPr>
      <w:r>
        <w:rPr>
          <w:rFonts w:ascii="Arial" w:cs="Arial" w:eastAsia="Arial" w:hAnsi="Arial"/>
          <w:sz w:val="18"/>
          <w:szCs w:val="18"/>
          <w:color w:val="auto"/>
        </w:rPr>
        <w:t>Our board of directors has concluded the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94" w:lineRule="exact"/>
        <w:rPr>
          <w:sz w:val="20"/>
          <w:szCs w:val="20"/>
          <w:color w:val="auto"/>
        </w:rPr>
      </w:pPr>
    </w:p>
    <w:p>
      <w:pPr>
        <w:jc w:val="both"/>
        <w:ind w:firstLine="808"/>
        <w:spacing w:after="0" w:line="259"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94" w:lineRule="exact"/>
        <w:rPr>
          <w:sz w:val="20"/>
          <w:szCs w:val="20"/>
          <w:color w:val="auto"/>
        </w:rPr>
      </w:pPr>
    </w:p>
    <w:p>
      <w:pPr>
        <w:jc w:val="both"/>
        <w:ind w:right="20" w:firstLine="745"/>
        <w:spacing w:after="0" w:line="332" w:lineRule="auto"/>
        <w:rPr>
          <w:sz w:val="20"/>
          <w:szCs w:val="20"/>
          <w:color w:val="auto"/>
        </w:rPr>
      </w:pPr>
      <w:r>
        <w:rPr>
          <w:rFonts w:ascii="Arial" w:cs="Arial" w:eastAsia="Arial" w:hAnsi="Arial"/>
          <w:sz w:val="16"/>
          <w:szCs w:val="16"/>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39" w:lineRule="exact"/>
        <w:rPr>
          <w:sz w:val="20"/>
          <w:szCs w:val="20"/>
          <w:color w:val="auto"/>
        </w:rPr>
      </w:pPr>
    </w:p>
    <w:p>
      <w:pPr>
        <w:jc w:val="both"/>
        <w:ind w:firstLine="669"/>
        <w:spacing w:after="0" w:line="332" w:lineRule="auto"/>
        <w:rPr>
          <w:sz w:val="20"/>
          <w:szCs w:val="20"/>
          <w:color w:val="auto"/>
        </w:rPr>
      </w:pPr>
      <w:r>
        <w:rPr>
          <w:rFonts w:ascii="Arial" w:cs="Arial" w:eastAsia="Arial" w:hAnsi="Arial"/>
          <w:sz w:val="16"/>
          <w:szCs w:val="16"/>
          <w:color w:val="auto"/>
        </w:rPr>
        <w:t>Our board of directors has concluded that Dr. Treu should serve on our board of directors due to his extensive management experience in the healthcare industry, and his experience as an investor in and director of numerous publicly traded and private life sciences and healthcare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840"/>
        <w:spacing w:after="0" w:line="255"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the board is, and each individual who served as a member of the board in 2014 was, an "independent director" within the meaning of Rule 5605 of The NASDAQ Stock Market. Ms. Anderson is not considered independent as she is employed as our President and Chief Executive Officer. For Mr. Atwood, Mr. Bishop, Mr. Byers, Dr. Cohen, Ms. Eastham, Dr. Epstein, Mr. Jones, and Dr. Treu, the board of directors considered their relationship and transactions with the Company as directors and security holders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31" w:lineRule="exact"/>
        <w:rPr>
          <w:sz w:val="20"/>
          <w:szCs w:val="20"/>
          <w:color w:val="auto"/>
        </w:rPr>
      </w:pPr>
    </w:p>
    <w:p>
      <w:pPr>
        <w:jc w:val="both"/>
        <w:ind w:firstLine="689"/>
        <w:spacing w:after="0" w:line="298" w:lineRule="auto"/>
        <w:rPr>
          <w:sz w:val="20"/>
          <w:szCs w:val="20"/>
          <w:color w:val="auto"/>
        </w:rPr>
      </w:pPr>
      <w:r>
        <w:rPr>
          <w:rFonts w:ascii="Arial" w:cs="Arial" w:eastAsia="Arial" w:hAnsi="Arial"/>
          <w:sz w:val="16"/>
          <w:szCs w:val="16"/>
          <w:color w:val="auto"/>
        </w:rPr>
        <w:t>The board of directors held seven meetings during 2014. Each director attended at least 75% of the aggregate number of meetings held by the board of directors and of the committees on which such director served. The independent directors meet in executive sessions at regularly scheduled meetings of the board of directors without the participation of the President and Chief Executive Officer or other members of management. We do not have a policy that requires the attendance of directors at the Annual Meeting. Three directors attended the 2014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firstLine="750"/>
        <w:spacing w:after="0" w:line="255" w:lineRule="auto"/>
        <w:rPr>
          <w:sz w:val="20"/>
          <w:szCs w:val="20"/>
          <w:color w:val="auto"/>
        </w:rPr>
      </w:pPr>
      <w:r>
        <w:rPr>
          <w:rFonts w:ascii="Arial" w:cs="Arial" w:eastAsia="Arial" w:hAnsi="Arial"/>
          <w:sz w:val="18"/>
          <w:szCs w:val="18"/>
          <w:color w:val="auto"/>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The NASDAQ Stock Market and rules of the SEC, and has adopted written charters for each of these committees. The charters of the audit, compensation and nominating and corporate governance committees are available on the investor section of our website (www.veracyte.com) under the corporate governance tab.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719"/>
        <w:spacing w:after="0" w:line="268" w:lineRule="auto"/>
        <w:rPr>
          <w:sz w:val="20"/>
          <w:szCs w:val="20"/>
          <w:color w:val="auto"/>
        </w:rPr>
      </w:pPr>
      <w:r>
        <w:rPr>
          <w:rFonts w:ascii="Arial" w:cs="Arial" w:eastAsia="Arial" w:hAnsi="Arial"/>
          <w:sz w:val="18"/>
          <w:szCs w:val="18"/>
          <w:color w:val="auto"/>
        </w:rPr>
        <w:t>The current members of the audit committee are Karin Eastham (Chair), Brian G. Atwood and Fred E. Cohen. The audit committee held six meetings during 2014. Our audit committee oversees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spacing w:after="0" w:line="298" w:lineRule="auto"/>
        <w:rPr>
          <w:sz w:val="20"/>
          <w:szCs w:val="20"/>
          <w:color w:val="auto"/>
        </w:rPr>
      </w:pPr>
      <w:r>
        <w:rPr>
          <w:rFonts w:ascii="Arial" w:cs="Arial" w:eastAsia="Arial" w:hAnsi="Arial"/>
          <w:sz w:val="16"/>
          <w:szCs w:val="16"/>
          <w:color w:val="auto"/>
        </w:rPr>
        <w:t>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The board of directors has determined that Ms. Eastham is qualified as an "audit committee financial expert" under the definition outlined by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725"/>
        <w:spacing w:after="0" w:line="290" w:lineRule="auto"/>
        <w:rPr>
          <w:sz w:val="20"/>
          <w:szCs w:val="20"/>
          <w:color w:val="auto"/>
        </w:rPr>
      </w:pPr>
      <w:r>
        <w:rPr>
          <w:rFonts w:ascii="Arial" w:cs="Arial" w:eastAsia="Arial" w:hAnsi="Arial"/>
          <w:sz w:val="16"/>
          <w:szCs w:val="16"/>
          <w:color w:val="auto"/>
        </w:rPr>
        <w:t>The current members of the compensation committee are Evan Jones (Chair), John L. Bishop and Brook H. Byers. The compensation committee held five meetings during 2014. 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directors' compensation to the full board of directors. The compensation committee has the sole authority to select, retain, terminate and approve the fees and other retention terms of consultants as it deems appropriate to perform its duties.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57"/>
        <w:spacing w:after="0" w:line="255" w:lineRule="auto"/>
        <w:rPr>
          <w:sz w:val="20"/>
          <w:szCs w:val="20"/>
          <w:color w:val="auto"/>
        </w:rPr>
      </w:pPr>
      <w:r>
        <w:rPr>
          <w:rFonts w:ascii="Arial" w:cs="Arial" w:eastAsia="Arial" w:hAnsi="Arial"/>
          <w:sz w:val="18"/>
          <w:szCs w:val="18"/>
          <w:color w:val="auto"/>
        </w:rPr>
        <w:t>The current members of the nominating and corporate governance committee are Jesse I. Treu (Chair), Brian G. Atwood, Brook H. Byers and Robert S. Epstein. The nominating and corporate governance committee held two meetings in 2014.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724"/>
        <w:spacing w:after="0" w:line="306" w:lineRule="auto"/>
        <w:rPr>
          <w:sz w:val="20"/>
          <w:szCs w:val="20"/>
          <w:color w:val="auto"/>
        </w:rPr>
      </w:pPr>
      <w:r>
        <w:rPr>
          <w:rFonts w:ascii="Arial" w:cs="Arial" w:eastAsia="Arial" w:hAnsi="Arial"/>
          <w:sz w:val="16"/>
          <w:szCs w:val="16"/>
          <w:color w:val="auto"/>
        </w:rPr>
        <w:t>The current members of the regulatory and compliance committee are Brian G. Atwood (Chair), Robert S. Epstein, Evan Jones and Jesse I. Treu. The regulatory and compliance committee did not meet in 2014. Our regulatory and compliance committee assists our board in meeting its responsibilities with regard to oversight of our compliance with healthcare legal and regulatory requirements applicable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Non-management Equity Award Committee</w:t>
      </w:r>
    </w:p>
    <w:p>
      <w:pPr>
        <w:spacing w:after="0" w:line="225" w:lineRule="exact"/>
        <w:rPr>
          <w:sz w:val="20"/>
          <w:szCs w:val="20"/>
          <w:color w:val="auto"/>
        </w:rPr>
      </w:pPr>
    </w:p>
    <w:p>
      <w:pPr>
        <w:jc w:val="both"/>
        <w:ind w:firstLine="643"/>
        <w:spacing w:after="0" w:line="294" w:lineRule="auto"/>
        <w:rPr>
          <w:sz w:val="20"/>
          <w:szCs w:val="20"/>
          <w:color w:val="auto"/>
        </w:rPr>
      </w:pPr>
      <w:r>
        <w:rPr>
          <w:rFonts w:ascii="Arial" w:cs="Arial" w:eastAsia="Arial" w:hAnsi="Arial"/>
          <w:sz w:val="16"/>
          <w:szCs w:val="16"/>
          <w:color w:val="auto"/>
        </w:rPr>
        <w:t>The board of directors has established a non-management equity award committee, the members of which are Bonnie H. Anderson and Shelly D. Guyer. The non-management equity award committee is a secondary committee responsible for granting and issuing awards of options under our 2013 Stock Incentive Plan to eligible new employees, other than to members of the board of directors, to individuals designated by the board of directors as "Section 16 officers," and to employees who hold the title of vice president or above. In addition, the non-management equity award committee may not make any awards or grants to any new employee that total more than 50,000 shares of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734"/>
        <w:spacing w:after="0" w:line="256" w:lineRule="auto"/>
        <w:rPr>
          <w:sz w:val="20"/>
          <w:szCs w:val="20"/>
          <w:color w:val="auto"/>
        </w:rPr>
      </w:pPr>
      <w:r>
        <w:rPr>
          <w:rFonts w:ascii="Arial" w:cs="Arial" w:eastAsia="Arial" w:hAnsi="Arial"/>
          <w:sz w:val="18"/>
          <w:szCs w:val="18"/>
          <w:color w:val="auto"/>
        </w:rPr>
        <w:t>We have an independent chairman of the board of directors separate from our chief executive officer. Ms. Anderson is our chief executive officer and Mr. Atwood is the chairman of the board. The board of directors believes that this leadership structure reflects the role and responsibilities of the chief executive officer in our business and operations with significant involvement and authority vested in a separate independent chairman of the board. The board of directors retains the authority to modify this structure as it deems appropriate.</w:t>
      </w:r>
    </w:p>
    <w:p>
      <w:pPr>
        <w:spacing w:after="0" w:line="197" w:lineRule="exact"/>
        <w:rPr>
          <w:sz w:val="20"/>
          <w:szCs w:val="20"/>
          <w:color w:val="auto"/>
        </w:rPr>
      </w:pPr>
    </w:p>
    <w:p>
      <w:pPr>
        <w:jc w:val="both"/>
        <w:ind w:firstLine="641"/>
        <w:spacing w:after="0" w:line="294" w:lineRule="auto"/>
        <w:rPr>
          <w:sz w:val="20"/>
          <w:szCs w:val="20"/>
          <w:color w:val="auto"/>
        </w:rPr>
      </w:pPr>
      <w:r>
        <w:rPr>
          <w:rFonts w:ascii="Arial" w:cs="Arial" w:eastAsia="Arial" w:hAnsi="Arial"/>
          <w:sz w:val="16"/>
          <w:szCs w:val="16"/>
          <w:color w:val="auto"/>
        </w:rPr>
        <w:t>Our board of directors is responsible for overseeing the overall risk management process at our company. The responsibility for managing risk rests with executive management while the committees of the board and the board of directors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The board of directors considers strategic risks and opportunities and regularly receives reports from executive management regarding specific aspects of risk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15"/>
        <w:spacing w:after="0" w:line="298" w:lineRule="auto"/>
        <w:rPr>
          <w:sz w:val="20"/>
          <w:szCs w:val="20"/>
          <w:color w:val="auto"/>
        </w:rPr>
      </w:pPr>
      <w:r>
        <w:rPr>
          <w:rFonts w:ascii="Arial" w:cs="Arial" w:eastAsia="Arial" w:hAnsi="Arial"/>
          <w:sz w:val="16"/>
          <w:szCs w:val="16"/>
          <w:color w:val="auto"/>
        </w:rPr>
        <w:t>If you wish to communicate with the board of directors, you may send your communication in writing to: Secretary, Veracyte, Inc., 7000 Shoreline Court, Suite 250, South San Francisco, California 94080. You must include your name and address in the written communication and indicate whether you are a stockholder of the Company. The Secretary will review any communications received from a stockholder and all material communications from stockholders will be forwarded to the appropriate director or directors or committee of the board based on the subject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620"/>
        <w:spacing w:after="0" w:line="298" w:lineRule="auto"/>
        <w:rPr>
          <w:sz w:val="20"/>
          <w:szCs w:val="20"/>
          <w:color w:val="auto"/>
        </w:rPr>
      </w:pPr>
      <w:r>
        <w:rPr>
          <w:rFonts w:ascii="Arial" w:cs="Arial" w:eastAsia="Arial" w:hAnsi="Arial"/>
          <w:sz w:val="16"/>
          <w:szCs w:val="16"/>
          <w:color w:val="auto"/>
        </w:rPr>
        <w:t>In addition to the compensation arrangements of our directors and named executive officers discussed elsewhere in this Proxy Statement, the following is a description of transactions since January 1, 2014,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80"/>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Approval</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In October 2013, our board of directors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spacing w:after="0" w:line="298" w:lineRule="auto"/>
        <w:rPr>
          <w:sz w:val="20"/>
          <w:szCs w:val="20"/>
          <w:color w:val="auto"/>
        </w:rPr>
      </w:pPr>
      <w:r>
        <w:rPr>
          <w:rFonts w:ascii="Arial" w:cs="Arial" w:eastAsia="Arial" w:hAnsi="Arial"/>
          <w:sz w:val="16"/>
          <w:szCs w:val="16"/>
          <w:color w:val="auto"/>
        </w:rPr>
        <w:t>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167" w:lineRule="exact"/>
        <w:rPr>
          <w:sz w:val="20"/>
          <w:szCs w:val="20"/>
          <w:color w:val="auto"/>
        </w:rPr>
      </w:pPr>
    </w:p>
    <w:p>
      <w:pPr>
        <w:jc w:val="both"/>
        <w:ind w:firstLine="653"/>
        <w:spacing w:after="0" w:line="254" w:lineRule="auto"/>
        <w:rPr>
          <w:sz w:val="20"/>
          <w:szCs w:val="20"/>
          <w:color w:val="auto"/>
        </w:rPr>
      </w:pPr>
      <w:r>
        <w:rPr>
          <w:rFonts w:ascii="Arial" w:cs="Arial" w:eastAsia="Arial" w:hAnsi="Arial"/>
          <w:sz w:val="18"/>
          <w:szCs w:val="18"/>
          <w:color w:val="auto"/>
        </w:rPr>
        <w:t>Although we did not have a written policy for the review and approval of transactions with related persons prior to October 2013, our board of directors has historically reviewed and approved any transaction where a director or officer had a financial interest.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the disinterested directors in the context of each such transaction approved the applicable agreement and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cash amounts and the value of other compensation earned by our outside directors for their service in 2014:</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314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w w:val="89"/>
              </w:rPr>
              <w:t>Fees Earned or Paid in Cash ($)</w:t>
            </w:r>
          </w:p>
        </w:tc>
        <w:tc>
          <w:tcPr>
            <w:tcW w:w="160" w:type="dxa"/>
            <w:vAlign w:val="bottom"/>
          </w:tcPr>
          <w:p>
            <w:pPr>
              <w:spacing w:after="0"/>
              <w:rPr>
                <w:sz w:val="19"/>
                <w:szCs w:val="19"/>
                <w:color w:val="auto"/>
              </w:rPr>
            </w:pPr>
          </w:p>
        </w:tc>
        <w:tc>
          <w:tcPr>
            <w:tcW w:w="226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 Awards ($)(1)(2)</w:t>
            </w:r>
          </w:p>
        </w:tc>
        <w:tc>
          <w:tcPr>
            <w:tcW w:w="1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G. Atwood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John L. Bishop(3)</w:t>
            </w:r>
          </w:p>
        </w:tc>
        <w:tc>
          <w:tcPr>
            <w:tcW w:w="2500" w:type="dxa"/>
            <w:vAlign w:val="bottom"/>
          </w:tcPr>
          <w:p>
            <w:pPr>
              <w:jc w:val="right"/>
              <w:spacing w:after="0"/>
              <w:rPr>
                <w:sz w:val="20"/>
                <w:szCs w:val="20"/>
                <w:color w:val="auto"/>
              </w:rPr>
            </w:pPr>
            <w:r>
              <w:rPr>
                <w:rFonts w:ascii="Arial" w:cs="Arial" w:eastAsia="Arial" w:hAnsi="Arial"/>
                <w:sz w:val="18"/>
                <w:szCs w:val="18"/>
                <w:color w:val="auto"/>
              </w:rPr>
              <w:t>3,482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113,068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Brook H. Byers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Fred E. Cohen</w:t>
            </w:r>
          </w:p>
        </w:tc>
        <w:tc>
          <w:tcPr>
            <w:tcW w:w="2500" w:type="dxa"/>
            <w:vAlign w:val="bottom"/>
          </w:tcPr>
          <w:p>
            <w:pPr>
              <w:jc w:val="right"/>
              <w:spacing w:after="0"/>
              <w:rPr>
                <w:sz w:val="20"/>
                <w:szCs w:val="20"/>
                <w:color w:val="auto"/>
              </w:rPr>
            </w:pPr>
            <w:r>
              <w:rPr>
                <w:rFonts w:ascii="Arial" w:cs="Arial" w:eastAsia="Arial" w:hAnsi="Arial"/>
                <w:sz w:val="18"/>
                <w:szCs w:val="18"/>
                <w:color w:val="auto"/>
              </w:rPr>
              <w:t>42,500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79,228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Karin Eastham</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Evan Jones</w:t>
            </w:r>
          </w:p>
        </w:tc>
        <w:tc>
          <w:tcPr>
            <w:tcW w:w="2500" w:type="dxa"/>
            <w:vAlign w:val="bottom"/>
          </w:tcPr>
          <w:p>
            <w:pPr>
              <w:jc w:val="right"/>
              <w:spacing w:after="0"/>
              <w:rPr>
                <w:sz w:val="20"/>
                <w:szCs w:val="20"/>
                <w:color w:val="auto"/>
              </w:rPr>
            </w:pPr>
            <w:r>
              <w:rPr>
                <w:rFonts w:ascii="Arial" w:cs="Arial" w:eastAsia="Arial" w:hAnsi="Arial"/>
                <w:sz w:val="18"/>
                <w:szCs w:val="18"/>
                <w:color w:val="auto"/>
              </w:rPr>
              <w:t>45,000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79,228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Jesse I. Treu</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1"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2014. There can be no assurance that option awards will be exercised (in which case no value will be realized by the individual) or that the value on exercise will approximate the fair value as computed in accordance with ASC 718.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left="168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2014, as applicable:</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49"/>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Number of Shares</w:t>
            </w:r>
          </w:p>
        </w:tc>
      </w:tr>
      <w:tr>
        <w:trPr>
          <w:trHeight w:val="191"/>
        </w:trPr>
        <w:tc>
          <w:tcPr>
            <w:tcW w:w="4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Brian</w:t>
            </w:r>
          </w:p>
        </w:tc>
        <w:tc>
          <w:tcPr>
            <w:tcW w:w="47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G. Atwood</w:t>
            </w:r>
          </w:p>
        </w:tc>
        <w:tc>
          <w:tcPr>
            <w:tcW w:w="1600" w:type="dxa"/>
            <w:vAlign w:val="bottom"/>
            <w:tcBorders>
              <w:top w:val="single" w:sz="8" w:color="CCEEFF"/>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10,000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John L. Bishop</w:t>
            </w:r>
          </w:p>
        </w:tc>
        <w:tc>
          <w:tcPr>
            <w:tcW w:w="160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Brook H. Byers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Fred E. Cohen</w:t>
            </w:r>
          </w:p>
        </w:tc>
        <w:tc>
          <w:tcPr>
            <w:tcW w:w="16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Karin Eastham</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Evan Jones</w:t>
            </w:r>
          </w:p>
        </w:tc>
        <w:tc>
          <w:tcPr>
            <w:tcW w:w="160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I. Treu</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bl>
    <w:p>
      <w:pPr>
        <w:spacing w:after="0" w:line="235"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Bishop joined our board on December 1, 2014.</w:t>
      </w:r>
    </w:p>
    <w:p>
      <w:pPr>
        <w:spacing w:after="0" w:line="225" w:lineRule="exact"/>
        <w:rPr>
          <w:sz w:val="20"/>
          <w:szCs w:val="20"/>
          <w:color w:val="auto"/>
        </w:rPr>
      </w:pPr>
    </w:p>
    <w:p>
      <w:pPr>
        <w:jc w:val="both"/>
        <w:ind w:firstLine="634"/>
        <w:spacing w:after="0" w:line="289" w:lineRule="auto"/>
        <w:rPr>
          <w:sz w:val="20"/>
          <w:szCs w:val="20"/>
          <w:color w:val="auto"/>
        </w:rPr>
      </w:pPr>
      <w:r>
        <w:rPr>
          <w:rFonts w:ascii="Arial" w:cs="Arial" w:eastAsia="Arial" w:hAnsi="Arial"/>
          <w:sz w:val="16"/>
          <w:szCs w:val="16"/>
          <w:color w:val="auto"/>
        </w:rPr>
        <w:t>Directors who are employees do not receive any fees for their service on the board of directors or any committee. Our non-employee directors receive an annual cash retainer of $35,000 for their service on our board of directors and any committee thereof. Members of our audit committee, compensation committee and nominating and corporate governance committee, other than the chair of each such committee, receive an additional annual cash retainer of $7,500, $6,000 and $4,500, respectively. The chair of our audit committee, compensation committee and nominating and corporate governance committee each receive an additional annual cash retainer of $15,000, $10,000 and $7,500, respectively. Additionally, the individual acting as chairman of the board of directors receives an additional annual cash retainer of $20,000.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72" w:lineRule="exact"/>
        <w:rPr>
          <w:sz w:val="20"/>
          <w:szCs w:val="20"/>
          <w:color w:val="auto"/>
        </w:rPr>
      </w:pPr>
    </w:p>
    <w:p>
      <w:pPr>
        <w:jc w:val="both"/>
        <w:ind w:firstLine="625"/>
        <w:spacing w:after="0" w:line="289" w:lineRule="auto"/>
        <w:rPr>
          <w:sz w:val="20"/>
          <w:szCs w:val="20"/>
          <w:color w:val="auto"/>
        </w:rPr>
      </w:pPr>
      <w:r>
        <w:rPr>
          <w:rFonts w:ascii="Arial" w:cs="Arial" w:eastAsia="Arial" w:hAnsi="Arial"/>
          <w:sz w:val="16"/>
          <w:szCs w:val="16"/>
          <w:color w:val="auto"/>
        </w:rPr>
        <w:t>After our initial public offering in October 2013, any non-employee director who first joins our board of directors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0" w:firstLine="856"/>
        <w:spacing w:after="0" w:line="370" w:lineRule="auto"/>
        <w:rPr>
          <w:sz w:val="20"/>
          <w:szCs w:val="20"/>
          <w:color w:val="auto"/>
        </w:rPr>
      </w:pPr>
      <w:r>
        <w:rPr>
          <w:rFonts w:ascii="Arial" w:cs="Arial" w:eastAsia="Arial" w:hAnsi="Arial"/>
          <w:sz w:val="15"/>
          <w:szCs w:val="15"/>
          <w:color w:val="auto"/>
        </w:rPr>
        <w:t>The following table sets forth information concerning the total compensation our president and chief executive officer and two other highest paid executive officers, who we refer to as our named executive officers, earned for services rendered to us in all capacities during the year ended December 31,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Summary Compensation Table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Non-Equity</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 Plan</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All Other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29"/>
        </w:trPr>
        <w:tc>
          <w:tcPr>
            <w:tcW w:w="1380" w:type="dxa"/>
            <w:vAlign w:val="bottom"/>
          </w:tcPr>
          <w:p>
            <w:pPr>
              <w:spacing w:after="0"/>
              <w:rPr>
                <w:sz w:val="19"/>
                <w:szCs w:val="19"/>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Name and Principal Position</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Year</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r>
      <w:tr>
        <w:trPr>
          <w:trHeight w:val="211"/>
        </w:trPr>
        <w:tc>
          <w:tcPr>
            <w:tcW w:w="138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2014</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425,000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1,193,094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1,745,594</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5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2013</w:t>
            </w:r>
          </w:p>
        </w:tc>
        <w:tc>
          <w:tcPr>
            <w:tcW w:w="8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86"/>
              </w:rPr>
              <w:t>380,000</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305,935</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855,935</w:t>
            </w:r>
          </w:p>
        </w:tc>
        <w:tc>
          <w:tcPr>
            <w:tcW w:w="140" w:type="dxa"/>
            <w:vAlign w:val="bottom"/>
            <w:shd w:val="clear" w:color="auto" w:fill="CCEEFF"/>
          </w:tcPr>
          <w:p>
            <w:pPr>
              <w:spacing w:after="0"/>
              <w:rPr>
                <w:sz w:val="18"/>
                <w:szCs w:val="18"/>
                <w:color w:val="auto"/>
              </w:rPr>
            </w:pPr>
          </w:p>
        </w:tc>
      </w:tr>
      <w:tr>
        <w:trPr>
          <w:trHeight w:val="201"/>
        </w:trPr>
        <w:tc>
          <w:tcPr>
            <w:tcW w:w="138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Shelly D. Guyer(2)</w:t>
            </w:r>
          </w:p>
        </w:tc>
        <w:tc>
          <w:tcPr>
            <w:tcW w:w="5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2014</w:t>
            </w:r>
          </w:p>
        </w:tc>
        <w:tc>
          <w:tcPr>
            <w:tcW w:w="8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86"/>
              </w:rPr>
              <w:t>300,000</w:t>
            </w: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596,547</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54,000</w:t>
            </w:r>
          </w:p>
        </w:tc>
        <w:tc>
          <w:tcPr>
            <w:tcW w:w="140" w:type="dxa"/>
            <w:vAlign w:val="bottom"/>
          </w:tcPr>
          <w:p>
            <w:pPr>
              <w:spacing w:after="0"/>
              <w:rPr>
                <w:sz w:val="17"/>
                <w:szCs w:val="17"/>
                <w:color w:val="auto"/>
              </w:rPr>
            </w:pPr>
          </w:p>
        </w:tc>
        <w:tc>
          <w:tcPr>
            <w:tcW w:w="1120" w:type="dxa"/>
            <w:vAlign w:val="bottom"/>
          </w:tcPr>
          <w:p>
            <w:pPr>
              <w:ind w:left="940"/>
              <w:spacing w:after="0" w:line="201" w:lineRule="exact"/>
              <w:rPr>
                <w:sz w:val="20"/>
                <w:szCs w:val="20"/>
                <w:color w:val="auto"/>
              </w:rPr>
            </w:pPr>
            <w:r>
              <w:rPr>
                <w:rFonts w:ascii="Arial" w:cs="Arial" w:eastAsia="Arial" w:hAnsi="Arial"/>
                <w:sz w:val="18"/>
                <w:szCs w:val="18"/>
                <w:color w:val="auto"/>
                <w:w w:val="88"/>
              </w:rPr>
              <w:t>—</w:t>
            </w: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950,547</w:t>
            </w:r>
          </w:p>
        </w:tc>
        <w:tc>
          <w:tcPr>
            <w:tcW w:w="140" w:type="dxa"/>
            <w:vAlign w:val="bottom"/>
          </w:tcPr>
          <w:p>
            <w:pPr>
              <w:spacing w:after="0"/>
              <w:rPr>
                <w:sz w:val="17"/>
                <w:szCs w:val="17"/>
                <w:color w:val="auto"/>
              </w:rPr>
            </w:pPr>
          </w:p>
        </w:tc>
      </w:tr>
      <w:tr>
        <w:trPr>
          <w:trHeight w:val="223"/>
        </w:trPr>
        <w:tc>
          <w:tcPr>
            <w:tcW w:w="4060" w:type="dxa"/>
            <w:vAlign w:val="bottom"/>
            <w:gridSpan w:val="3"/>
          </w:tcPr>
          <w:p>
            <w:pPr>
              <w:ind w:left="1380"/>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w w:val="94"/>
              </w:rPr>
              <w:t>2013</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w w:val="86"/>
              </w:rPr>
              <w:t>201,042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755,214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tcPr>
          <w:p>
            <w:pPr>
              <w:spacing w:after="0"/>
              <w:rPr>
                <w:sz w:val="19"/>
                <w:szCs w:val="19"/>
                <w:color w:val="auto"/>
              </w:rPr>
            </w:pP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1,025,256</w:t>
            </w:r>
          </w:p>
        </w:tc>
        <w:tc>
          <w:tcPr>
            <w:tcW w:w="140" w:type="dxa"/>
            <w:vAlign w:val="bottom"/>
          </w:tcPr>
          <w:p>
            <w:pPr>
              <w:spacing w:after="0"/>
              <w:rPr>
                <w:sz w:val="19"/>
                <w:szCs w:val="19"/>
                <w:color w:val="auto"/>
              </w:rPr>
            </w:pPr>
          </w:p>
        </w:tc>
      </w:tr>
      <w:tr>
        <w:trPr>
          <w:trHeight w:val="211"/>
        </w:trPr>
        <w:tc>
          <w:tcPr>
            <w:tcW w:w="1380" w:type="dxa"/>
            <w:vAlign w:val="bottom"/>
          </w:tcPr>
          <w:p>
            <w:pPr>
              <w:spacing w:after="0"/>
              <w:rPr>
                <w:sz w:val="18"/>
                <w:szCs w:val="18"/>
                <w:color w:val="auto"/>
              </w:rPr>
            </w:pPr>
          </w:p>
        </w:tc>
        <w:tc>
          <w:tcPr>
            <w:tcW w:w="2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Christopher M. Hall(3)</w:t>
            </w:r>
          </w:p>
        </w:tc>
        <w:tc>
          <w:tcPr>
            <w:tcW w:w="56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2014</w:t>
            </w:r>
          </w:p>
        </w:tc>
        <w:tc>
          <w:tcPr>
            <w:tcW w:w="80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86"/>
              </w:rPr>
              <w:t>341,181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819,539</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61,413</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1,222,133</w:t>
            </w:r>
          </w:p>
        </w:tc>
        <w:tc>
          <w:tcPr>
            <w:tcW w:w="1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5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2013</w:t>
            </w:r>
          </w:p>
        </w:tc>
        <w:tc>
          <w:tcPr>
            <w:tcW w:w="8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86"/>
              </w:rPr>
              <w:t>316,314</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76,018</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472,332</w:t>
            </w:r>
          </w:p>
        </w:tc>
        <w:tc>
          <w:tcPr>
            <w:tcW w:w="14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jc w:val="both"/>
        <w:ind w:left="1920" w:hanging="543"/>
        <w:spacing w:after="0" w:line="294" w:lineRule="auto"/>
        <w:tabs>
          <w:tab w:leader="none" w:pos="1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option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2014. There can be no assurance that option awards will be exercised (in which case no value will be realized by the individual) or that the value on exercise will approximate the fair value as computed in accordance with Topic 718.</w:t>
      </w:r>
    </w:p>
    <w:p>
      <w:pPr>
        <w:spacing w:after="0" w:line="196" w:lineRule="exact"/>
        <w:rPr>
          <w:rFonts w:ascii="Arial" w:cs="Arial" w:eastAsia="Arial" w:hAnsi="Arial"/>
          <w:sz w:val="16"/>
          <w:szCs w:val="16"/>
          <w:color w:val="auto"/>
        </w:rPr>
      </w:pPr>
    </w:p>
    <w:p>
      <w:pPr>
        <w:ind w:left="1920" w:hanging="543"/>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Guyer was appointed our chief financial officer in April 2013.</w:t>
      </w:r>
    </w:p>
    <w:p>
      <w:pPr>
        <w:spacing w:after="0" w:line="238" w:lineRule="exact"/>
        <w:rPr>
          <w:rFonts w:ascii="Arial" w:cs="Arial" w:eastAsia="Arial" w:hAnsi="Arial"/>
          <w:sz w:val="18"/>
          <w:szCs w:val="18"/>
          <w:color w:val="auto"/>
        </w:rPr>
      </w:pPr>
    </w:p>
    <w:p>
      <w:pPr>
        <w:ind w:left="1920" w:hanging="543"/>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Hall was our chief commercial officer until he was appointed our chief operating officer in September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704"/>
        <w:spacing w:after="0" w:line="259" w:lineRule="auto"/>
        <w:rPr>
          <w:sz w:val="20"/>
          <w:szCs w:val="20"/>
          <w:color w:val="auto"/>
        </w:rPr>
      </w:pPr>
      <w:r>
        <w:rPr>
          <w:rFonts w:ascii="Arial" w:cs="Arial" w:eastAsia="Arial" w:hAnsi="Arial"/>
          <w:sz w:val="18"/>
          <w:szCs w:val="18"/>
          <w:color w:val="auto"/>
        </w:rPr>
        <w:t>In 2015, the independent members of the board, on the recommendation of the compensation committee, approved increases in the base salaries of the named executive officers to the following amounts: Ms. Anderson, $457,000; Ms. Guyer, $321,000; and Mr. Hall, $383,000. The increases were effective as of January 1,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ind w:firstLine="649"/>
        <w:spacing w:after="0" w:line="254" w:lineRule="auto"/>
        <w:rPr>
          <w:sz w:val="20"/>
          <w:szCs w:val="20"/>
          <w:color w:val="auto"/>
        </w:rPr>
      </w:pPr>
      <w:r>
        <w:rPr>
          <w:rFonts w:ascii="Arial" w:cs="Arial" w:eastAsia="Arial" w:hAnsi="Arial"/>
          <w:sz w:val="18"/>
          <w:szCs w:val="18"/>
          <w:color w:val="auto"/>
        </w:rPr>
        <w:t>In 2015, the compensation committee, after determination of overall executive compensation by the independent members of the board, approved grants of options to purchase shares of our common stock to the named executive officers in the following amounts: Ms. Anderson, 225,000 shares; Ms. Guyer, 75,000 shares; and Mr. Hall, 80,000 shares. All of the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agreement) within 12 months of a change in control, 100% of the shares subject to the option shall vest immediately prior to such termination or resignation.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Plans</w:t>
      </w:r>
    </w:p>
    <w:p>
      <w:pPr>
        <w:spacing w:after="0" w:line="225" w:lineRule="exact"/>
        <w:rPr>
          <w:sz w:val="20"/>
          <w:szCs w:val="20"/>
          <w:color w:val="auto"/>
        </w:rPr>
      </w:pPr>
    </w:p>
    <w:p>
      <w:pPr>
        <w:jc w:val="both"/>
        <w:ind w:firstLine="901"/>
        <w:spacing w:after="0" w:line="289" w:lineRule="auto"/>
        <w:rPr>
          <w:sz w:val="20"/>
          <w:szCs w:val="20"/>
          <w:color w:val="auto"/>
        </w:rPr>
      </w:pPr>
      <w:r>
        <w:rPr>
          <w:rFonts w:ascii="Arial" w:cs="Arial" w:eastAsia="Arial" w:hAnsi="Arial"/>
          <w:sz w:val="16"/>
          <w:szCs w:val="16"/>
          <w:color w:val="auto"/>
        </w:rPr>
        <w:t>For 2013, our board of directors adopted an Executive Bonus Plan, under which our executive officers were eligible to receive annual incentive compensation if the company achieved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were established and measured annually. For 2013, the bonus pool was funded based on our achievement of Afirma 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were 40%, 25% and 25% of base salary, respectively.</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2014, the independent members of the board of directors, on the recommendation of the compensation committee, approved corporate goals relating to a corporate bonus plan. Such bonuses may be paid in cash, fully vested stock options or restricted stock, or any combination thereof, at the discretion of the independent members of our board. The potential for actual awards could either exceed or be less than the targets established, as determined by the independent members of our board in their discretion based on the recommendation of the compensation committee and based on corporate and individual performance. Funding of the 2014 plan was dependent upon achieving a minimum level of annual revenue, which we achieved. The size of the 2014 bonus pool could have been reduced to the extent that specified corporate performance goals were not achieved. After reviewing our achievement of the corporate performance goals, the independent members of the board determined that, although the corporate performance goals had been achieved at a lower level, other achievements during 2014, including our planned entry into the pulmonary market through our acquisition of Allegro Diagnostics, our success in increasing the number of covered lives for Afirma and our reimbursement progress, warranted payouts to our executive officers of 60% of their target bonus levels. In 2014, target bonus levels for Ms. Anderson, Ms. Guyer and Mr. Hall were 50%, 30% and 30% of base salary, respectively.</w:t>
      </w:r>
    </w:p>
    <w:p>
      <w:pPr>
        <w:spacing w:after="0" w:line="17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In March 2015, the independent members of the board of directors, on the recommendation of the compensation committee, approved a corporate bonus plan for the 2015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2015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2015 bonus plan for Ms. Anderson, Ms. Guyer and Mr. Hall are 60%, 40% and 40% of base salary, respectively.</w:t>
      </w:r>
    </w:p>
    <w:p>
      <w:pPr>
        <w:spacing w:after="0" w:line="201" w:lineRule="exact"/>
        <w:rPr>
          <w:sz w:val="20"/>
          <w:szCs w:val="20"/>
          <w:color w:val="auto"/>
        </w:rPr>
      </w:pPr>
    </w:p>
    <w:p>
      <w:pPr>
        <w:jc w:val="both"/>
        <w:ind w:firstLine="714"/>
        <w:spacing w:after="0" w:line="298" w:lineRule="auto"/>
        <w:rPr>
          <w:sz w:val="20"/>
          <w:szCs w:val="20"/>
          <w:color w:val="auto"/>
        </w:rPr>
      </w:pPr>
      <w:r>
        <w:rPr>
          <w:rFonts w:ascii="Arial" w:cs="Arial" w:eastAsia="Arial" w:hAnsi="Arial"/>
          <w:sz w:val="16"/>
          <w:szCs w:val="16"/>
          <w:color w:val="auto"/>
        </w:rPr>
        <w:t>Funding of the bonus pool for the plan is dependent upon achieving a minimum level of annual revenue, and achievement in excess of such minimum threshold can result in funding of the bonus pool up to a maximum level of 150%. The size of the bonus pool could be reduced to the extent that corporate performance goals are not achieved. These performance goals include commercial objectives, representing 60% of the overall objectives, financial objectives, representing 20% of the overall objectives, and product development objectives, representing 20% of the overall objectives.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Termination-based Compensation</w:t>
      </w:r>
    </w:p>
    <w:p>
      <w:pPr>
        <w:spacing w:after="0" w:line="225" w:lineRule="exact"/>
        <w:rPr>
          <w:sz w:val="20"/>
          <w:szCs w:val="20"/>
          <w:color w:val="auto"/>
        </w:rPr>
      </w:pPr>
    </w:p>
    <w:p>
      <w:pPr>
        <w:jc w:val="both"/>
        <w:ind w:firstLine="671"/>
        <w:spacing w:after="0" w:line="253" w:lineRule="auto"/>
        <w:rPr>
          <w:sz w:val="20"/>
          <w:szCs w:val="20"/>
          <w:color w:val="auto"/>
        </w:rPr>
      </w:pPr>
      <w:r>
        <w:rPr>
          <w:rFonts w:ascii="Arial" w:cs="Arial" w:eastAsia="Arial" w:hAnsi="Arial"/>
          <w:sz w:val="18"/>
          <w:szCs w:val="18"/>
          <w:color w:val="auto"/>
        </w:rPr>
        <w:t>Our named executive officers are parties to Change of Control and Severance Arrangements. 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 Pursuant to the agreement, if the named executive officer is terminated by us without "cause" (as defined in the agreement), or terminates his or her employment for "good reason" (as defined in the agreement), each during a period not within two months prior to and ending 12 months following a change of control, or the "change of control period" (as defined in the agreement), he or she is entitled to the following benefits:</w:t>
      </w:r>
    </w:p>
    <w:p>
      <w:pPr>
        <w:spacing w:after="0" w:line="201" w:lineRule="exact"/>
        <w:rPr>
          <w:sz w:val="20"/>
          <w:szCs w:val="20"/>
          <w:color w:val="auto"/>
        </w:rPr>
      </w:pPr>
    </w:p>
    <w:p>
      <w:pPr>
        <w:jc w:val="both"/>
        <w:ind w:firstLine="833"/>
        <w:spacing w:after="0" w:line="259" w:lineRule="auto"/>
        <w:rPr>
          <w:sz w:val="20"/>
          <w:szCs w:val="20"/>
          <w:color w:val="auto"/>
        </w:rPr>
      </w:pPr>
      <w:r>
        <w:rPr>
          <w:rFonts w:ascii="Arial" w:cs="Arial" w:eastAsia="Arial" w:hAnsi="Arial"/>
          <w:sz w:val="18"/>
          <w:szCs w:val="18"/>
          <w:color w:val="auto"/>
        </w:rPr>
        <w:t>Ms. Anderson —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Ms. Guyer and Mr. Hall — six months of salary continuation from the termination date.</w:t>
      </w:r>
    </w:p>
    <w:p>
      <w:pPr>
        <w:spacing w:after="0" w:line="225" w:lineRule="exact"/>
        <w:rPr>
          <w:sz w:val="20"/>
          <w:szCs w:val="20"/>
          <w:color w:val="auto"/>
        </w:rPr>
      </w:pPr>
    </w:p>
    <w:p>
      <w:pPr>
        <w:jc w:val="both"/>
        <w:ind w:firstLine="798"/>
        <w:spacing w:after="0" w:line="294" w:lineRule="auto"/>
        <w:rPr>
          <w:sz w:val="20"/>
          <w:szCs w:val="20"/>
          <w:color w:val="auto"/>
        </w:rPr>
      </w:pPr>
      <w:r>
        <w:rPr>
          <w:rFonts w:ascii="Arial" w:cs="Arial" w:eastAsia="Arial" w:hAnsi="Arial"/>
          <w:sz w:val="16"/>
          <w:szCs w:val="16"/>
          <w:color w:val="auto"/>
        </w:rPr>
        <w:t>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0" w:lineRule="exact"/>
        <w:rPr>
          <w:sz w:val="20"/>
          <w:szCs w:val="20"/>
          <w:color w:val="auto"/>
        </w:rPr>
      </w:pPr>
    </w:p>
    <w:p>
      <w:pPr>
        <w:jc w:val="both"/>
        <w:ind w:firstLine="761"/>
        <w:spacing w:after="0" w:line="294" w:lineRule="auto"/>
        <w:rPr>
          <w:sz w:val="20"/>
          <w:szCs w:val="20"/>
          <w:color w:val="auto"/>
        </w:rPr>
      </w:pPr>
      <w:r>
        <w:rPr>
          <w:rFonts w:ascii="Arial" w:cs="Arial" w:eastAsia="Arial" w:hAnsi="Arial"/>
          <w:sz w:val="16"/>
          <w:szCs w:val="16"/>
          <w:color w:val="auto"/>
        </w:rPr>
        <w:t>If Ms. Guyer or Mr. Hall is terminated by us without cause, or Ms. Guyer or Mr. Hall terminates their employment for good reason, each during the change of control period, Ms. Guyer and Mr. Hall are entitled to (i) a lump sum severance payment equal to six months of salary from the termination date, (ii) a lump sum payment equal to 50% the higher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0" w:lineRule="exact"/>
        <w:rPr>
          <w:sz w:val="20"/>
          <w:szCs w:val="20"/>
          <w:color w:val="auto"/>
        </w:rPr>
      </w:pPr>
    </w:p>
    <w:p>
      <w:pPr>
        <w:jc w:val="both"/>
        <w:ind w:firstLine="678"/>
        <w:spacing w:after="0" w:line="294" w:lineRule="auto"/>
        <w:rPr>
          <w:sz w:val="20"/>
          <w:szCs w:val="20"/>
          <w:color w:val="auto"/>
        </w:rPr>
      </w:pPr>
      <w:r>
        <w:rPr>
          <w:rFonts w:ascii="Arial" w:cs="Arial" w:eastAsia="Arial" w:hAnsi="Arial"/>
          <w:sz w:val="16"/>
          <w:szCs w:val="16"/>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12 months for Ms. Anderson and six months for Ms. Guyer and Mr. Hall after their respective termination date or (ii) the date upon which the executive and his or her eligible dependents become covered under similar plans.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From time to time, our executive officers and directors may enter into written trading plans pursuant to Rule 10b5-1 of the Securities and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w w:val="98"/>
              </w:rPr>
              <w:t>2014 Outstanding Equity Awards at Fiscal Year-End</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3"/>
        </w:trPr>
        <w:tc>
          <w:tcPr>
            <w:tcW w:w="1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0"/>
              </w:rPr>
              <w:t>Option Awards (1)</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center"/>
              <w:ind w:right="707"/>
              <w:spacing w:after="0" w:line="196" w:lineRule="exact"/>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707"/>
              <w:spacing w:after="0"/>
              <w:rPr>
                <w:sz w:val="20"/>
                <w:szCs w:val="20"/>
                <w:color w:val="auto"/>
              </w:rPr>
            </w:pPr>
            <w:r>
              <w:rPr>
                <w:rFonts w:ascii="Arial" w:cs="Arial" w:eastAsia="Arial" w:hAnsi="Arial"/>
                <w:sz w:val="18"/>
                <w:szCs w:val="18"/>
                <w:b w:val="1"/>
                <w:bCs w:val="1"/>
                <w:color w:val="auto"/>
                <w:w w:val="85"/>
              </w:rPr>
              <w:t>Securities</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707"/>
              <w:spacing w:after="0"/>
              <w:rPr>
                <w:sz w:val="20"/>
                <w:szCs w:val="20"/>
                <w:color w:val="auto"/>
              </w:rPr>
            </w:pPr>
            <w:r>
              <w:rPr>
                <w:rFonts w:ascii="Arial" w:cs="Arial" w:eastAsia="Arial" w:hAnsi="Arial"/>
                <w:sz w:val="18"/>
                <w:szCs w:val="18"/>
                <w:b w:val="1"/>
                <w:bCs w:val="1"/>
                <w:color w:val="auto"/>
                <w:w w:val="91"/>
              </w:rPr>
              <w:t>Underlying</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707"/>
              <w:spacing w:after="0"/>
              <w:rPr>
                <w:sz w:val="20"/>
                <w:szCs w:val="20"/>
                <w:color w:val="auto"/>
              </w:rPr>
            </w:pPr>
            <w:r>
              <w:rPr>
                <w:rFonts w:ascii="Arial" w:cs="Arial" w:eastAsia="Arial" w:hAnsi="Arial"/>
                <w:sz w:val="18"/>
                <w:szCs w:val="18"/>
                <w:b w:val="1"/>
                <w:bCs w:val="1"/>
                <w:color w:val="auto"/>
                <w:w w:val="84"/>
              </w:rPr>
              <w:t>Unexercised</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800" w:type="dxa"/>
            <w:vAlign w:val="bottom"/>
          </w:tcPr>
          <w:p>
            <w:pPr>
              <w:jc w:val="right"/>
              <w:ind w:right="92"/>
              <w:spacing w:after="0"/>
              <w:rPr>
                <w:sz w:val="20"/>
                <w:szCs w:val="20"/>
                <w:color w:val="auto"/>
              </w:rPr>
            </w:pPr>
            <w:r>
              <w:rPr>
                <w:rFonts w:ascii="Arial" w:cs="Arial" w:eastAsia="Arial" w:hAnsi="Arial"/>
                <w:sz w:val="18"/>
                <w:szCs w:val="18"/>
                <w:b w:val="1"/>
                <w:bCs w:val="1"/>
                <w:color w:val="auto"/>
              </w:rPr>
              <w:t>Option</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707"/>
              <w:spacing w:after="0"/>
              <w:rPr>
                <w:sz w:val="20"/>
                <w:szCs w:val="20"/>
                <w:color w:val="auto"/>
              </w:rPr>
            </w:pPr>
            <w:r>
              <w:rPr>
                <w:rFonts w:ascii="Arial" w:cs="Arial" w:eastAsia="Arial" w:hAnsi="Arial"/>
                <w:sz w:val="18"/>
                <w:szCs w:val="18"/>
                <w:b w:val="1"/>
                <w:bCs w:val="1"/>
                <w:color w:val="auto"/>
                <w:w w:val="90"/>
              </w:rPr>
              <w:t>Options (#)</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Options (#)</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r>
      <w:tr>
        <w:trPr>
          <w:trHeight w:val="229"/>
        </w:trPr>
        <w:tc>
          <w:tcPr>
            <w:tcW w:w="138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7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Price ($)</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1"/>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2080" w:type="dxa"/>
            <w:vAlign w:val="bottom"/>
            <w:gridSpan w:val="3"/>
            <w:shd w:val="clear" w:color="auto" w:fill="CCEEFF"/>
          </w:tcPr>
          <w:p>
            <w:pPr>
              <w:jc w:val="right"/>
              <w:ind w:right="367"/>
              <w:spacing w:after="0"/>
              <w:rPr>
                <w:sz w:val="20"/>
                <w:szCs w:val="20"/>
                <w:color w:val="auto"/>
              </w:rPr>
            </w:pPr>
            <w:r>
              <w:rPr>
                <w:rFonts w:ascii="Arial" w:cs="Arial" w:eastAsia="Arial" w:hAnsi="Arial"/>
                <w:sz w:val="18"/>
                <w:szCs w:val="18"/>
                <w:color w:val="auto"/>
              </w:rPr>
              <w:t>11,153</w:t>
            </w:r>
            <w:r>
              <w:rPr>
                <w:rFonts w:ascii="Arial" w:cs="Arial" w:eastAsia="Arial" w:hAnsi="Arial"/>
                <w:sz w:val="14"/>
                <w:szCs w:val="14"/>
                <w:color w:val="auto"/>
              </w:rPr>
              <w:t>(2)(3)</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02/02/2020</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97,000</w:t>
            </w:r>
            <w:r>
              <w:rPr>
                <w:rFonts w:ascii="Arial" w:cs="Arial" w:eastAsia="Arial" w:hAnsi="Arial"/>
                <w:sz w:val="14"/>
                <w:szCs w:val="14"/>
                <w:color w:val="auto"/>
              </w:rPr>
              <w:t>(2)(4)</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09/27/2020</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02/22/2021</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32,782</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(2)(7)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24,112</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02/05/2023</w:t>
            </w:r>
          </w:p>
        </w:tc>
      </w:tr>
      <w:tr>
        <w:trPr>
          <w:trHeight w:val="216"/>
        </w:trPr>
        <w:tc>
          <w:tcPr>
            <w:tcW w:w="1380" w:type="dxa"/>
            <w:vAlign w:val="bottom"/>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02/19/2024</w:t>
            </w:r>
          </w:p>
        </w:tc>
      </w:tr>
      <w:tr>
        <w:trPr>
          <w:trHeight w:val="201"/>
        </w:trPr>
        <w:tc>
          <w:tcPr>
            <w:tcW w:w="138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rPr>
              <w:t>Shelly D. Guyer</w:t>
            </w:r>
          </w:p>
        </w:tc>
        <w:tc>
          <w:tcPr>
            <w:tcW w:w="2080" w:type="dxa"/>
            <w:vAlign w:val="bottom"/>
            <w:gridSpan w:val="3"/>
          </w:tcPr>
          <w:p>
            <w:pPr>
              <w:jc w:val="right"/>
              <w:ind w:right="367"/>
              <w:spacing w:after="0" w:line="201" w:lineRule="exact"/>
              <w:rPr>
                <w:sz w:val="20"/>
                <w:szCs w:val="20"/>
                <w:color w:val="auto"/>
              </w:rPr>
            </w:pPr>
            <w:r>
              <w:rPr>
                <w:rFonts w:ascii="Arial" w:cs="Arial" w:eastAsia="Arial" w:hAnsi="Arial"/>
                <w:sz w:val="18"/>
                <w:szCs w:val="18"/>
                <w:color w:val="auto"/>
              </w:rPr>
              <w:t>148,750</w:t>
            </w:r>
            <w:r>
              <w:rPr>
                <w:rFonts w:ascii="Arial" w:cs="Arial" w:eastAsia="Arial" w:hAnsi="Arial"/>
                <w:sz w:val="14"/>
                <w:szCs w:val="14"/>
                <w:color w:val="auto"/>
              </w:rPr>
              <w:t>(2)(9)</w:t>
            </w:r>
          </w:p>
        </w:tc>
        <w:tc>
          <w:tcPr>
            <w:tcW w:w="150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$6.04</w:t>
            </w:r>
          </w:p>
        </w:tc>
        <w:tc>
          <w:tcPr>
            <w:tcW w:w="1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06/20/2023</w:t>
            </w:r>
          </w:p>
        </w:tc>
      </w:tr>
      <w:tr>
        <w:trPr>
          <w:trHeight w:val="223"/>
        </w:trPr>
        <w:tc>
          <w:tcPr>
            <w:tcW w:w="138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707"/>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02/19/2014</w:t>
            </w:r>
          </w:p>
        </w:tc>
      </w:tr>
      <w:tr>
        <w:trPr>
          <w:trHeight w:val="211"/>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Christopher M. Hall</w:t>
            </w:r>
          </w:p>
        </w:tc>
        <w:tc>
          <w:tcPr>
            <w:tcW w:w="208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102,500</w:t>
            </w:r>
            <w:r>
              <w:rPr>
                <w:rFonts w:ascii="Arial" w:cs="Arial" w:eastAsia="Arial" w:hAnsi="Arial"/>
                <w:sz w:val="14"/>
                <w:szCs w:val="14"/>
                <w:color w:val="auto"/>
              </w:rPr>
              <w:t>(2)(10)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03/29/2020</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12,500</w:t>
            </w:r>
            <w:r>
              <w:rPr>
                <w:rFonts w:ascii="Arial" w:cs="Arial" w:eastAsia="Arial" w:hAnsi="Arial"/>
                <w:sz w:val="14"/>
                <w:szCs w:val="14"/>
                <w:color w:val="auto"/>
              </w:rPr>
              <w:t>(2)(4)</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09/27/2020</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02/22/2021</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(2)(6)</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(2)(7)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78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02/19/2024</w:t>
            </w:r>
          </w:p>
        </w:tc>
      </w:tr>
      <w:tr>
        <w:trPr>
          <w:trHeight w:val="216"/>
        </w:trPr>
        <w:tc>
          <w:tcPr>
            <w:tcW w:w="1380" w:type="dxa"/>
            <w:vAlign w:val="bottom"/>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09/16/2024</w:t>
            </w:r>
          </w:p>
        </w:tc>
      </w:tr>
    </w:tbl>
    <w:p>
      <w:pPr>
        <w:spacing w:after="0" w:line="221" w:lineRule="exact"/>
        <w:rPr>
          <w:sz w:val="20"/>
          <w:szCs w:val="20"/>
          <w:color w:val="auto"/>
        </w:rPr>
      </w:pPr>
    </w:p>
    <w:p>
      <w:pPr>
        <w:jc w:val="both"/>
        <w:ind w:left="1920" w:hanging="543"/>
        <w:spacing w:after="0" w:line="294" w:lineRule="auto"/>
        <w:tabs>
          <w:tab w:leader="none" w:pos="1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196" w:lineRule="exact"/>
        <w:rPr>
          <w:rFonts w:ascii="Arial" w:cs="Arial" w:eastAsia="Arial" w:hAnsi="Arial"/>
          <w:sz w:val="16"/>
          <w:szCs w:val="16"/>
          <w:color w:val="auto"/>
        </w:rPr>
      </w:pPr>
    </w:p>
    <w:p>
      <w:pPr>
        <w:ind w:left="1920" w:hanging="543"/>
        <w:spacing w:after="0" w:line="268"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option may be exercised in full prior to the vesting of the shares underlying the option. Vesting is subject to continued service on the applicable vesting date.</w:t>
      </w:r>
    </w:p>
    <w:p>
      <w:pPr>
        <w:spacing w:after="0" w:line="199" w:lineRule="exact"/>
        <w:rPr>
          <w:rFonts w:ascii="Arial" w:cs="Arial" w:eastAsia="Arial" w:hAnsi="Arial"/>
          <w:sz w:val="18"/>
          <w:szCs w:val="18"/>
          <w:color w:val="auto"/>
        </w:rPr>
      </w:pPr>
    </w:p>
    <w:p>
      <w:pPr>
        <w:ind w:left="1920" w:right="20" w:hanging="543"/>
        <w:spacing w:after="0" w:line="268"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option vested at a rate of 1/24th of the total number of shares subject to the option each month following the vesting commencement date. The vesting commencement date is January 1, 2010.</w:t>
      </w:r>
    </w:p>
    <w:p>
      <w:pPr>
        <w:spacing w:after="0" w:line="199" w:lineRule="exact"/>
        <w:rPr>
          <w:rFonts w:ascii="Arial" w:cs="Arial" w:eastAsia="Arial" w:hAnsi="Arial"/>
          <w:sz w:val="18"/>
          <w:szCs w:val="18"/>
          <w:color w:val="auto"/>
        </w:rPr>
      </w:pPr>
    </w:p>
    <w:p>
      <w:pPr>
        <w:ind w:left="1920" w:hanging="543"/>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vesting commencement date is September 28, 2010.</w:t>
      </w:r>
    </w:p>
    <w:p>
      <w:pPr>
        <w:spacing w:after="0" w:line="252" w:lineRule="exact"/>
        <w:rPr>
          <w:rFonts w:ascii="Arial" w:cs="Arial" w:eastAsia="Arial" w:hAnsi="Arial"/>
          <w:sz w:val="18"/>
          <w:szCs w:val="18"/>
          <w:color w:val="auto"/>
        </w:rPr>
      </w:pPr>
    </w:p>
    <w:p>
      <w:pPr>
        <w:ind w:left="1920" w:hanging="543"/>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238" w:lineRule="exact"/>
        <w:rPr>
          <w:rFonts w:ascii="Arial" w:cs="Arial" w:eastAsia="Arial" w:hAnsi="Arial"/>
          <w:sz w:val="18"/>
          <w:szCs w:val="18"/>
          <w:color w:val="auto"/>
        </w:rPr>
      </w:pPr>
    </w:p>
    <w:p>
      <w:pPr>
        <w:ind w:left="1920" w:hanging="543"/>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vesting commencement date is March 10,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left="1920" w:hanging="543"/>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vesting commencement date is February 5, 2013.</w:t>
      </w:r>
    </w:p>
    <w:p>
      <w:pPr>
        <w:spacing w:after="0" w:line="252" w:lineRule="exact"/>
        <w:rPr>
          <w:rFonts w:ascii="Arial" w:cs="Arial" w:eastAsia="Arial" w:hAnsi="Arial"/>
          <w:sz w:val="18"/>
          <w:szCs w:val="18"/>
          <w:color w:val="auto"/>
        </w:rPr>
      </w:pPr>
    </w:p>
    <w:p>
      <w:pPr>
        <w:ind w:left="1920" w:hanging="543"/>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option vested in full upon the closing of our initial public offering.</w:t>
      </w:r>
    </w:p>
    <w:p>
      <w:pPr>
        <w:spacing w:after="0" w:line="238" w:lineRule="exact"/>
        <w:rPr>
          <w:rFonts w:ascii="Arial" w:cs="Arial" w:eastAsia="Arial" w:hAnsi="Arial"/>
          <w:sz w:val="18"/>
          <w:szCs w:val="18"/>
          <w:color w:val="auto"/>
        </w:rPr>
      </w:pPr>
    </w:p>
    <w:p>
      <w:pPr>
        <w:ind w:left="1920" w:hanging="543"/>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vesting commencement date is April 8, 2013.</w:t>
      </w:r>
    </w:p>
    <w:p>
      <w:pPr>
        <w:spacing w:after="0" w:line="238" w:lineRule="exact"/>
        <w:rPr>
          <w:rFonts w:ascii="Arial" w:cs="Arial" w:eastAsia="Arial" w:hAnsi="Arial"/>
          <w:sz w:val="18"/>
          <w:szCs w:val="18"/>
          <w:color w:val="auto"/>
        </w:rPr>
      </w:pPr>
    </w:p>
    <w:p>
      <w:pPr>
        <w:ind w:left="1920" w:hanging="543"/>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vesting commencement date is March 15,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662"/>
        <w:spacing w:after="0" w:line="268" w:lineRule="auto"/>
        <w:rPr>
          <w:sz w:val="20"/>
          <w:szCs w:val="20"/>
          <w:color w:val="auto"/>
        </w:rPr>
      </w:pPr>
      <w:r>
        <w:rPr>
          <w:rFonts w:ascii="Arial" w:cs="Arial" w:eastAsia="Arial" w:hAnsi="Arial"/>
          <w:sz w:val="18"/>
          <w:szCs w:val="18"/>
          <w:color w:val="auto"/>
        </w:rPr>
        <w:t>The following table gives information about our common stock that may be issued upon the exercise of options under our equity compensation plans as of December 31,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0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2"/>
          </w:tcPr>
          <w:p>
            <w:pPr>
              <w:jc w:val="center"/>
              <w:ind w:right="208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available</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0" w:type="dxa"/>
            <w:vAlign w:val="bottom"/>
          </w:tcPr>
          <w:p>
            <w:pPr>
              <w:spacing w:after="0"/>
              <w:rPr>
                <w:sz w:val="12"/>
                <w:szCs w:val="12"/>
                <w:color w:val="auto"/>
              </w:rPr>
            </w:pPr>
          </w:p>
        </w:tc>
        <w:tc>
          <w:tcPr>
            <w:tcW w:w="3300" w:type="dxa"/>
            <w:vAlign w:val="bottom"/>
            <w:gridSpan w:val="2"/>
          </w:tcPr>
          <w:p>
            <w:pPr>
              <w:jc w:val="center"/>
              <w:ind w:right="2080"/>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80" w:type="dxa"/>
            <w:vAlign w:val="bottom"/>
          </w:tcPr>
          <w:p>
            <w:pPr>
              <w:spacing w:after="0"/>
              <w:rPr>
                <w:sz w:val="12"/>
                <w:szCs w:val="12"/>
                <w:color w:val="auto"/>
              </w:rPr>
            </w:pPr>
          </w:p>
        </w:tc>
        <w:tc>
          <w:tcPr>
            <w:tcW w:w="33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80" w:type="dxa"/>
            <w:vAlign w:val="bottom"/>
          </w:tcPr>
          <w:p>
            <w:pPr>
              <w:spacing w:after="0"/>
              <w:rPr>
                <w:sz w:val="12"/>
                <w:szCs w:val="12"/>
                <w:color w:val="auto"/>
              </w:rPr>
            </w:pPr>
          </w:p>
        </w:tc>
        <w:tc>
          <w:tcPr>
            <w:tcW w:w="3300" w:type="dxa"/>
            <w:vAlign w:val="bottom"/>
            <w:gridSpan w:val="2"/>
          </w:tcPr>
          <w:p>
            <w:pPr>
              <w:jc w:val="center"/>
              <w:ind w:right="2080"/>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options,</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180" w:type="dxa"/>
            <w:vAlign w:val="bottom"/>
          </w:tcPr>
          <w:p>
            <w:pPr>
              <w:spacing w:after="0"/>
              <w:rPr>
                <w:sz w:val="12"/>
                <w:szCs w:val="12"/>
                <w:color w:val="auto"/>
              </w:rPr>
            </w:pPr>
          </w:p>
        </w:tc>
        <w:tc>
          <w:tcPr>
            <w:tcW w:w="3300" w:type="dxa"/>
            <w:vAlign w:val="bottom"/>
            <w:gridSpan w:val="2"/>
          </w:tcPr>
          <w:p>
            <w:pPr>
              <w:jc w:val="center"/>
              <w:ind w:right="208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1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80" w:type="dxa"/>
            <w:vAlign w:val="bottom"/>
          </w:tcPr>
          <w:p>
            <w:pPr>
              <w:spacing w:after="0"/>
              <w:rPr>
                <w:sz w:val="12"/>
                <w:szCs w:val="12"/>
                <w:color w:val="auto"/>
              </w:rPr>
            </w:pPr>
          </w:p>
        </w:tc>
        <w:tc>
          <w:tcPr>
            <w:tcW w:w="3300" w:type="dxa"/>
            <w:vAlign w:val="bottom"/>
            <w:gridSpan w:val="2"/>
          </w:tcPr>
          <w:p>
            <w:pPr>
              <w:jc w:val="center"/>
              <w:ind w:right="2060"/>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61"/>
        </w:trPr>
        <w:tc>
          <w:tcPr>
            <w:tcW w:w="19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180" w:type="dxa"/>
            <w:vAlign w:val="bottom"/>
          </w:tcPr>
          <w:p>
            <w:pPr>
              <w:spacing w:after="0"/>
              <w:rPr>
                <w:sz w:val="14"/>
                <w:szCs w:val="14"/>
                <w:color w:val="auto"/>
              </w:rPr>
            </w:pPr>
          </w:p>
        </w:tc>
        <w:tc>
          <w:tcPr>
            <w:tcW w:w="330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0"/>
              </w:rPr>
              <w:t>column (a))</w:t>
            </w:r>
          </w:p>
        </w:tc>
      </w:tr>
      <w:tr>
        <w:trPr>
          <w:trHeight w:val="142"/>
        </w:trPr>
        <w:tc>
          <w:tcPr>
            <w:tcW w:w="196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060" w:type="dxa"/>
            <w:vAlign w:val="bottom"/>
          </w:tcPr>
          <w:p>
            <w:pPr>
              <w:spacing w:after="0"/>
              <w:rPr>
                <w:sz w:val="12"/>
                <w:szCs w:val="12"/>
                <w:color w:val="auto"/>
              </w:rPr>
            </w:pPr>
          </w:p>
        </w:tc>
      </w:tr>
      <w:tr>
        <w:trPr>
          <w:trHeight w:val="216"/>
        </w:trPr>
        <w:tc>
          <w:tcPr>
            <w:tcW w:w="19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 Category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r>
      <w:tr>
        <w:trPr>
          <w:trHeight w:val="208"/>
        </w:trPr>
        <w:tc>
          <w:tcPr>
            <w:tcW w:w="19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89"/>
              </w:rPr>
              <w:t>Equity compensation plans approved by security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96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holders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3,249,469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1,341,252</w:t>
            </w:r>
          </w:p>
        </w:tc>
        <w:tc>
          <w:tcPr>
            <w:tcW w:w="206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8"/>
              </w:rPr>
              <w:t>Equity compensation plans not approved by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r>
      <w:tr>
        <w:trPr>
          <w:trHeight w:val="224"/>
        </w:trPr>
        <w:tc>
          <w:tcPr>
            <w:tcW w:w="1960" w:type="dxa"/>
            <w:vAlign w:val="bottom"/>
          </w:tcPr>
          <w:p>
            <w:pPr>
              <w:spacing w:after="0"/>
              <w:rPr>
                <w:sz w:val="19"/>
                <w:szCs w:val="19"/>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460" w:type="dxa"/>
            <w:vAlign w:val="bottom"/>
          </w:tcPr>
          <w:p>
            <w:pPr>
              <w:ind w:left="29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3,249,469</w:t>
            </w: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1,341,252</w:t>
            </w:r>
          </w:p>
        </w:tc>
        <w:tc>
          <w:tcPr>
            <w:tcW w:w="206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1"/>
        </w:trPr>
        <w:tc>
          <w:tcPr>
            <w:tcW w:w="1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0" w:type="dxa"/>
            <w:vAlign w:val="bottom"/>
            <w:gridSpan w:val="2"/>
          </w:tcPr>
          <w:p>
            <w:pPr>
              <w:jc w:val="right"/>
              <w:ind w:right="749"/>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974"/>
        <w:spacing w:after="0" w:line="332" w:lineRule="auto"/>
        <w:rPr>
          <w:sz w:val="20"/>
          <w:szCs w:val="20"/>
          <w:color w:val="auto"/>
        </w:rPr>
      </w:pPr>
      <w:r>
        <w:rPr>
          <w:rFonts w:ascii="Arial" w:cs="Arial" w:eastAsia="Arial" w:hAnsi="Arial"/>
          <w:sz w:val="16"/>
          <w:szCs w:val="16"/>
          <w:color w:val="auto"/>
        </w:rPr>
        <w:t>The Audit Committee acts pursuant to a written charter that was adopted by the Board of Directors in October 2013 and became effective in November 2013. Each member of the Audit Committee qualifies as "independent" under the current listing requirements of The NASDAQ Stock Market.</w:t>
      </w:r>
    </w:p>
    <w:p>
      <w:pPr>
        <w:spacing w:after="0" w:line="139" w:lineRule="exact"/>
        <w:rPr>
          <w:sz w:val="20"/>
          <w:szCs w:val="20"/>
          <w:color w:val="auto"/>
        </w:rPr>
      </w:pPr>
    </w:p>
    <w:p>
      <w:pPr>
        <w:jc w:val="both"/>
        <w:ind w:firstLine="809"/>
        <w:spacing w:after="0" w:line="294" w:lineRule="auto"/>
        <w:rPr>
          <w:sz w:val="20"/>
          <w:szCs w:val="20"/>
          <w:color w:val="auto"/>
        </w:rPr>
      </w:pPr>
      <w:r>
        <w:rPr>
          <w:rFonts w:ascii="Arial" w:cs="Arial" w:eastAsia="Arial" w:hAnsi="Arial"/>
          <w:sz w:val="16"/>
          <w:szCs w:val="16"/>
          <w:color w:val="auto"/>
        </w:rPr>
        <w:t>In performing its functions, the Audit Committee acts in an oversight capacity and necessarily relies on the work and assurances of the Company's management, which has the primary responsibility for financial statements and reports, and of the independent registered public accounting firm, who, in their report, express an opinion on the conformity of the Company's annual financial statements with accounting principles generally accepted in the United States. It is not the duty of the Audit Committee to plan or conduct audits, to determine that the Company's financial statements are complete and accurate and are in accordance with generally accepted accounting principles, or to assess or determine the effectiveness of the Company's internal control over financial reporting.</w:t>
      </w:r>
    </w:p>
    <w:p>
      <w:pPr>
        <w:spacing w:after="0" w:line="17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 xml:space="preserve">Within this framework, the Audit Committee has reviewed and discussed with management the Company's audited financial statements as of and for the year ended December 31, 2014. The Audit Committee has also discussed with the independent registered public accounting firm, Ernst &amp; Young LLP, the matters required to be discussed by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201"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the Company's Annual Report on Form 10-K for the year ended December 31, 2014.</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Audit Committee</w:t>
      </w: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G. Atwood</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Fred E. Cohen, M.D., D.Phil.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Karin Eastham (Chair)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March 24, 2015, by:</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941"/>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94" w:lineRule="exact"/>
        <w:rPr>
          <w:sz w:val="20"/>
          <w:szCs w:val="20"/>
          <w:color w:val="auto"/>
        </w:rPr>
      </w:pPr>
    </w:p>
    <w:p>
      <w:pPr>
        <w:jc w:val="both"/>
        <w:ind w:firstLine="652"/>
        <w:spacing w:after="0" w:line="256" w:lineRule="auto"/>
        <w:rPr>
          <w:sz w:val="20"/>
          <w:szCs w:val="20"/>
          <w:color w:val="auto"/>
        </w:rPr>
      </w:pPr>
      <w:r>
        <w:rPr>
          <w:rFonts w:ascii="Arial" w:cs="Arial" w:eastAsia="Arial" w:hAnsi="Arial"/>
          <w:sz w:val="18"/>
          <w:szCs w:val="18"/>
          <w:color w:val="auto"/>
        </w:rPr>
        <w:t>Applicable percentage ownership is based on 22,551,745 shares of common stock outstanding at March 24, 2015. In computing the number of shares of common stock beneficially owned by a person and the percentage ownership of that person, we deemed to be outstanding all shares of common stock subject to options held by that person or entity that are exercisable within 60 days of March 24, 2015. We did not deem these shares outstanding, however, for the purpose of computing the percentage ownership of any other person.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290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34"/>
        </w:trPr>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900" w:type="dxa"/>
            <w:vAlign w:val="bottom"/>
            <w:gridSpan w:val="2"/>
          </w:tcPr>
          <w:p>
            <w:pPr>
              <w:jc w:val="center"/>
              <w:ind w:right="1720"/>
              <w:spacing w:after="0" w:line="135"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29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290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76"/>
        </w:trPr>
        <w:tc>
          <w:tcPr>
            <w:tcW w:w="5380" w:type="dxa"/>
            <w:vAlign w:val="bottom"/>
            <w:gridSpan w:val="4"/>
          </w:tcPr>
          <w:p>
            <w:pPr>
              <w:ind w:left="1720"/>
              <w:spacing w:after="0"/>
              <w:rPr>
                <w:sz w:val="20"/>
                <w:szCs w:val="20"/>
                <w:color w:val="auto"/>
              </w:rPr>
            </w:pPr>
            <w:r>
              <w:rPr>
                <w:rFonts w:ascii="Arial" w:cs="Arial" w:eastAsia="Arial" w:hAnsi="Arial"/>
                <w:sz w:val="14"/>
                <w:szCs w:val="14"/>
                <w:b w:val="1"/>
                <w:bCs w:val="1"/>
                <w:color w:val="auto"/>
              </w:rPr>
              <w:t>Name and Address of Beneficial Owner</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Owned</w:t>
            </w:r>
            <w:r>
              <w:rPr>
                <w:rFonts w:ascii="Arial" w:cs="Arial" w:eastAsia="Arial" w:hAnsi="Arial"/>
                <w:sz w:val="20"/>
                <w:szCs w:val="20"/>
                <w:b w:val="1"/>
                <w:bCs w:val="1"/>
                <w:color w:val="auto"/>
                <w:w w:val="93"/>
                <w:vertAlign w:val="superscript"/>
              </w:rPr>
              <w:t>(1)</w:t>
            </w:r>
          </w:p>
        </w:tc>
        <w:tc>
          <w:tcPr>
            <w:tcW w:w="160" w:type="dxa"/>
            <w:vAlign w:val="bottom"/>
          </w:tcPr>
          <w:p>
            <w:pPr>
              <w:spacing w:after="0"/>
              <w:rPr>
                <w:sz w:val="15"/>
                <w:szCs w:val="15"/>
                <w:color w:val="auto"/>
              </w:rPr>
            </w:pPr>
          </w:p>
        </w:tc>
        <w:tc>
          <w:tcPr>
            <w:tcW w:w="290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Entities affiliated with Domain Partners</w:t>
            </w:r>
            <w:r>
              <w:rPr>
                <w:rFonts w:ascii="Arial" w:cs="Arial" w:eastAsia="Arial" w:hAnsi="Arial"/>
                <w:sz w:val="29"/>
                <w:szCs w:val="29"/>
                <w:color w:val="auto"/>
                <w:vertAlign w:val="superscript"/>
              </w:rPr>
              <w:t>(2)</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2,796,024</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KPCB Holdings, Inc.</w:t>
            </w:r>
            <w:r>
              <w:rPr>
                <w:rFonts w:ascii="Arial" w:cs="Arial" w:eastAsia="Arial" w:hAnsi="Arial"/>
                <w:sz w:val="29"/>
                <w:szCs w:val="29"/>
                <w:color w:val="auto"/>
                <w:vertAlign w:val="superscript"/>
              </w:rPr>
              <w:t>(3)</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3,561,929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TPG Biotechnology Partners II, L.P</w:t>
            </w:r>
            <w:r>
              <w:rPr>
                <w:rFonts w:ascii="Arial" w:cs="Arial" w:eastAsia="Arial" w:hAnsi="Arial"/>
                <w:sz w:val="29"/>
                <w:szCs w:val="29"/>
                <w:color w:val="auto"/>
                <w:vertAlign w:val="superscript"/>
              </w:rPr>
              <w:t>(4)</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3,551,929</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Entities affiliated with Versant Ventures</w:t>
            </w:r>
            <w:r>
              <w:rPr>
                <w:rFonts w:ascii="Arial" w:cs="Arial" w:eastAsia="Arial" w:hAnsi="Arial"/>
                <w:sz w:val="29"/>
                <w:szCs w:val="29"/>
                <w:color w:val="auto"/>
                <w:vertAlign w:val="superscript"/>
              </w:rPr>
              <w:t>(5)</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3,626,221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Eventide Asset Managemment, LLC</w:t>
            </w:r>
            <w:r>
              <w:rPr>
                <w:rFonts w:ascii="Arial" w:cs="Arial" w:eastAsia="Arial" w:hAnsi="Arial"/>
                <w:sz w:val="29"/>
                <w:szCs w:val="29"/>
                <w:color w:val="auto"/>
                <w:vertAlign w:val="superscript"/>
              </w:rPr>
              <w:t>(6)</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1,384,100</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Bonnie H. Anderson</w:t>
            </w:r>
            <w:r>
              <w:rPr>
                <w:rFonts w:ascii="Arial" w:cs="Arial" w:eastAsia="Arial" w:hAnsi="Arial"/>
                <w:sz w:val="29"/>
                <w:szCs w:val="29"/>
                <w:color w:val="auto"/>
                <w:vertAlign w:val="superscript"/>
              </w:rPr>
              <w:t>(7)</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594,754</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Brian G. Atwood</w:t>
            </w:r>
            <w:r>
              <w:rPr>
                <w:rFonts w:ascii="Arial" w:cs="Arial" w:eastAsia="Arial" w:hAnsi="Arial"/>
                <w:sz w:val="29"/>
                <w:szCs w:val="29"/>
                <w:color w:val="auto"/>
                <w:vertAlign w:val="superscript"/>
              </w:rPr>
              <w:t>(5)</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3,626,221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John L. Bishop</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Brook H. Byers</w:t>
            </w:r>
            <w:r>
              <w:rPr>
                <w:rFonts w:ascii="Arial" w:cs="Arial" w:eastAsia="Arial" w:hAnsi="Arial"/>
                <w:sz w:val="29"/>
                <w:szCs w:val="29"/>
                <w:color w:val="auto"/>
                <w:vertAlign w:val="superscript"/>
              </w:rPr>
              <w:t>(3)</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3,561,929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Fred E. Cohen, M.D., D.Phil.</w:t>
            </w:r>
            <w:r>
              <w:rPr>
                <w:rFonts w:ascii="Arial" w:cs="Arial" w:eastAsia="Arial" w:hAnsi="Arial"/>
                <w:sz w:val="29"/>
                <w:szCs w:val="29"/>
                <w:color w:val="auto"/>
                <w:vertAlign w:val="superscript"/>
              </w:rPr>
              <w:t>(8)</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Karin Eastham</w:t>
            </w:r>
            <w:r>
              <w:rPr>
                <w:rFonts w:ascii="Arial" w:cs="Arial" w:eastAsia="Arial" w:hAnsi="Arial"/>
                <w:sz w:val="29"/>
                <w:szCs w:val="29"/>
                <w:color w:val="auto"/>
                <w:vertAlign w:val="superscript"/>
              </w:rPr>
              <w:t>(9)</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Robert S. Epstein, M.D., M.S.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Evan Jones</w:t>
            </w:r>
            <w:r>
              <w:rPr>
                <w:rFonts w:ascii="Arial" w:cs="Arial" w:eastAsia="Arial" w:hAnsi="Arial"/>
                <w:sz w:val="29"/>
                <w:szCs w:val="29"/>
                <w:color w:val="auto"/>
                <w:vertAlign w:val="superscript"/>
              </w:rPr>
              <w:t>(10)</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418,907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Jesse I. Treu, Ph.D.</w:t>
            </w:r>
            <w:r>
              <w:rPr>
                <w:rFonts w:ascii="Arial" w:cs="Arial" w:eastAsia="Arial" w:hAnsi="Arial"/>
                <w:sz w:val="29"/>
                <w:szCs w:val="29"/>
                <w:color w:val="auto"/>
                <w:vertAlign w:val="superscript"/>
              </w:rPr>
              <w:t>(2)</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2,796,024</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Shelly D. Guyer</w:t>
            </w:r>
            <w:r>
              <w:rPr>
                <w:rFonts w:ascii="Arial" w:cs="Arial" w:eastAsia="Arial" w:hAnsi="Arial"/>
                <w:sz w:val="29"/>
                <w:szCs w:val="29"/>
                <w:color w:val="auto"/>
                <w:vertAlign w:val="superscript"/>
              </w:rPr>
              <w:t>(11)</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170,623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Christopher M. Hall</w:t>
            </w:r>
            <w:r>
              <w:rPr>
                <w:rFonts w:ascii="Arial" w:cs="Arial" w:eastAsia="Arial" w:hAnsi="Arial"/>
                <w:sz w:val="29"/>
                <w:szCs w:val="29"/>
                <w:color w:val="auto"/>
                <w:vertAlign w:val="superscript"/>
              </w:rPr>
              <w:t>(12)</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245,317</w:t>
            </w:r>
          </w:p>
        </w:tc>
        <w:tc>
          <w:tcPr>
            <w:tcW w:w="3060" w:type="dxa"/>
            <w:vAlign w:val="bottom"/>
            <w:gridSpan w:val="3"/>
          </w:tcPr>
          <w:p>
            <w:pPr>
              <w:jc w:val="right"/>
              <w:ind w:right="17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All directors and executive officers as a group</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gridSpan w:val="2"/>
            <w:shd w:val="clear" w:color="auto" w:fill="CCEEFF"/>
          </w:tcPr>
          <w:p>
            <w:pPr>
              <w:jc w:val="right"/>
              <w:ind w:right="2180"/>
              <w:spacing w:after="0" w:line="263" w:lineRule="exact"/>
              <w:rPr>
                <w:sz w:val="20"/>
                <w:szCs w:val="20"/>
                <w:color w:val="auto"/>
              </w:rPr>
            </w:pPr>
            <w:r>
              <w:rPr>
                <w:rFonts w:ascii="Arial" w:cs="Arial" w:eastAsia="Arial" w:hAnsi="Arial"/>
                <w:sz w:val="18"/>
                <w:szCs w:val="18"/>
                <w:color w:val="auto"/>
                <w:w w:val="97"/>
              </w:rPr>
              <w:t>(12 persons)</w:t>
            </w:r>
            <w:r>
              <w:rPr>
                <w:rFonts w:ascii="Arial" w:cs="Arial" w:eastAsia="Arial" w:hAnsi="Arial"/>
                <w:sz w:val="29"/>
                <w:szCs w:val="29"/>
                <w:color w:val="auto"/>
                <w:w w:val="97"/>
                <w:vertAlign w:val="superscript"/>
              </w:rPr>
              <w:t>(13)</w:t>
            </w:r>
          </w:p>
        </w:tc>
        <w:tc>
          <w:tcPr>
            <w:tcW w:w="2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11,513,455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8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3520" w:type="dxa"/>
            <w:vAlign w:val="bottom"/>
            <w:gridSpan w:val="2"/>
          </w:tcPr>
          <w:p>
            <w:pPr>
              <w:jc w:val="right"/>
              <w:ind w:right="2180"/>
              <w:spacing w:after="0"/>
              <w:rPr>
                <w:sz w:val="20"/>
                <w:szCs w:val="20"/>
                <w:color w:val="auto"/>
              </w:rPr>
            </w:pPr>
            <w:r>
              <w:rPr>
                <w:rFonts w:ascii="Arial" w:cs="Arial" w:eastAsia="Arial" w:hAnsi="Arial"/>
                <w:sz w:val="18"/>
                <w:szCs w:val="18"/>
                <w:color w:val="auto"/>
              </w:rPr>
              <w:t>Less than 1%</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jc w:val="right"/>
              <w:ind w:right="1112"/>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both"/>
        <w:ind w:left="1060" w:hanging="540"/>
        <w:spacing w:after="0" w:line="306"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March 24, 2015. Unless otherwise indicated, shares are owned of record and beneficially by the named person.</w:t>
      </w:r>
    </w:p>
    <w:p>
      <w:pPr>
        <w:spacing w:after="0" w:line="187" w:lineRule="exact"/>
        <w:rPr>
          <w:rFonts w:ascii="Arial" w:cs="Arial" w:eastAsia="Arial" w:hAnsi="Arial"/>
          <w:sz w:val="16"/>
          <w:szCs w:val="16"/>
          <w:color w:val="auto"/>
        </w:rPr>
      </w:pPr>
    </w:p>
    <w:p>
      <w:pPr>
        <w:jc w:val="both"/>
        <w:ind w:left="1060" w:hanging="540"/>
        <w:spacing w:after="0" w:line="288"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13G/A filed on February 2, 2015, includes 2,763,294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Also includes an option to purchase 10,000 shares of our common stock which is exercisable within 60 days of March 24, 2015 held by Jesse I. Treu. The address for the entities and individuals affiliated with Domain Partners is One Palmer Square, Suite 515, Princeton, New Jersey 08542.</w:t>
      </w:r>
    </w:p>
    <w:p>
      <w:pPr>
        <w:spacing w:after="0" w:line="187" w:lineRule="exact"/>
        <w:rPr>
          <w:rFonts w:ascii="Arial" w:cs="Arial" w:eastAsia="Arial" w:hAnsi="Arial"/>
          <w:sz w:val="16"/>
          <w:szCs w:val="16"/>
          <w:color w:val="auto"/>
        </w:rPr>
      </w:pPr>
    </w:p>
    <w:p>
      <w:pPr>
        <w:jc w:val="both"/>
        <w:ind w:left="1060" w:hanging="540"/>
        <w:spacing w:after="0" w:line="286"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 filed on February 14, 2014, includes 3,174,484 shares of common stock beneficially owned by Kleiner Perkins Caufield &amp; Byers XII, LLC, or KPCB XII; 45,695 shares of common stock beneficially owned by KPCB XII Founders Fund, LLC, or KPCB XII FF; 61,435 shares of common stock beneficially owned by Brook H. Byers, a member of our board of directors;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 Also includes an option to purchase 10,000 shares of our common stock which is exercisable within 60 days of March 24, 2015 held by Brook H. Byers. The address of the entities and individuals affiliated with Kleiner Perkins Caufield &amp; Byers is 2750 Sand Hill Road, Menlo Park, California 94025.</w:t>
      </w:r>
    </w:p>
    <w:p>
      <w:pPr>
        <w:spacing w:after="0" w:line="194" w:lineRule="exact"/>
        <w:rPr>
          <w:rFonts w:ascii="Arial" w:cs="Arial" w:eastAsia="Arial" w:hAnsi="Arial"/>
          <w:sz w:val="16"/>
          <w:szCs w:val="16"/>
          <w:color w:val="auto"/>
        </w:rPr>
      </w:pPr>
    </w:p>
    <w:p>
      <w:pPr>
        <w:jc w:val="both"/>
        <w:ind w:left="1060" w:hanging="540"/>
        <w:spacing w:after="0" w:line="287"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 filed on February 13, 2014, 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5" w:right="239" w:bottom="1440" w:gutter="0" w:footer="0" w:header="0"/>
        </w:sectPr>
      </w:pPr>
    </w:p>
    <w:bookmarkStart w:id="24" w:name="page25"/>
    <w:bookmarkEnd w:id="24"/>
    <w:p>
      <w:pPr>
        <w:ind w:left="1060"/>
        <w:spacing w:after="0"/>
        <w:rPr>
          <w:sz w:val="20"/>
          <w:szCs w:val="20"/>
          <w:color w:val="auto"/>
        </w:rPr>
      </w:pPr>
      <w:r>
        <w:rPr>
          <w:rFonts w:ascii="Arial" w:cs="Arial" w:eastAsia="Arial" w:hAnsi="Arial"/>
          <w:sz w:val="18"/>
          <w:szCs w:val="18"/>
          <w:color w:val="auto"/>
        </w:rPr>
        <w:t>Coulter is c/o TPG Global, LLC, 301 Commerce Street, Suite 3300, Fort Worth, Texas 76102.</w:t>
      </w:r>
    </w:p>
    <w:p>
      <w:pPr>
        <w:spacing w:after="0" w:line="239" w:lineRule="exact"/>
        <w:rPr>
          <w:sz w:val="20"/>
          <w:szCs w:val="20"/>
          <w:color w:val="auto"/>
        </w:rPr>
      </w:pPr>
    </w:p>
    <w:p>
      <w:pPr>
        <w:jc w:val="both"/>
        <w:ind w:left="1060" w:hanging="540"/>
        <w:spacing w:after="0" w:line="287"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a Schedule 13G/A filed on February 17, 2015, includes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Barbara N. Lubash, Donald B. Milder, Robin L. Praeger, Rebecca B. Robertson and Charles M. Warden, all of whom share voting and investment power with respect to these shares. Mr. Atwood is a member of our board of directors and Mr. Colella is a former member of our board of directors. Each individual managing member disclaims beneficial ownership of these shares, except to the extent of their pecuniary interest in such shares. Also includes an option to purchase 10,000 shares of our common stock which is exercisable within 60 days of March 24, 2015 held by Brian G. Atwood. The address of the entities and individuals affiliated with Versant Ventures is One Sansome Street, Suite 3630, San Francisco, California 95104.</w:t>
      </w:r>
    </w:p>
    <w:p>
      <w:pPr>
        <w:spacing w:after="0" w:line="203" w:lineRule="exact"/>
        <w:rPr>
          <w:rFonts w:ascii="Arial" w:cs="Arial" w:eastAsia="Arial" w:hAnsi="Arial"/>
          <w:sz w:val="16"/>
          <w:szCs w:val="16"/>
          <w:color w:val="auto"/>
        </w:rPr>
      </w:pPr>
    </w:p>
    <w:p>
      <w:pPr>
        <w:jc w:val="both"/>
        <w:ind w:left="1060" w:hanging="540"/>
        <w:spacing w:after="0" w:line="298"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a Schedule 13G filed on February 13, 2015, Eventide Asset Management, LLC, has voting and dispositive power with respect to 1,384,100 shares of our common stock held by two registered investment companies, Eventide Gilead Fund and Eventide Healthcare &amp; Lifesciences Fund, for which Eventide Asset Management, LLC acts as investment adviser. The address of Eventide Asset Management, LLC, is 60 State Street, Suite 700, Boston, Massachusetts, 02109.</w:t>
      </w:r>
    </w:p>
    <w:p>
      <w:pPr>
        <w:spacing w:after="0" w:line="180" w:lineRule="exact"/>
        <w:rPr>
          <w:rFonts w:ascii="Arial" w:cs="Arial" w:eastAsia="Arial" w:hAnsi="Arial"/>
          <w:sz w:val="16"/>
          <w:szCs w:val="16"/>
          <w:color w:val="auto"/>
        </w:rPr>
      </w:pPr>
    </w:p>
    <w:p>
      <w:pPr>
        <w:ind w:left="1060" w:hanging="540"/>
        <w:spacing w:after="0" w:line="268"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options to purchase 495,669 shares of our common stock which are exercisable within 60 days of March 24, 2015, 79,170 of which are subject to the right of repurchase, which right lapses over time.</w:t>
      </w:r>
    </w:p>
    <w:p>
      <w:pPr>
        <w:spacing w:after="0" w:line="199" w:lineRule="exact"/>
        <w:rPr>
          <w:rFonts w:ascii="Arial" w:cs="Arial" w:eastAsia="Arial" w:hAnsi="Arial"/>
          <w:sz w:val="18"/>
          <w:szCs w:val="18"/>
          <w:color w:val="auto"/>
        </w:rPr>
      </w:pPr>
    </w:p>
    <w:p>
      <w:pPr>
        <w:jc w:val="both"/>
        <w:ind w:left="1060" w:hanging="540"/>
        <w:spacing w:after="0" w:line="25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options to purchase 10,000 shares of our common stock which are exercisable within 60 days of March 24, 2015. 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223" w:lineRule="exact"/>
        <w:rPr>
          <w:rFonts w:ascii="Arial" w:cs="Arial" w:eastAsia="Arial" w:hAnsi="Arial"/>
          <w:sz w:val="18"/>
          <w:szCs w:val="18"/>
          <w:color w:val="auto"/>
        </w:rPr>
      </w:pPr>
    </w:p>
    <w:p>
      <w:pPr>
        <w:jc w:val="both"/>
        <w:ind w:left="1060" w:hanging="540"/>
        <w:spacing w:after="0" w:line="259"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options to purchase 50,000 shares of our common stock which are exercisable within 60 days of March 24, 2015, 20,392 of which are subject to the right of repurchase, which right lapses over time. Also includes 13,227 shares held by the Karin Eastham Defined Benefit Plan.</w:t>
      </w:r>
    </w:p>
    <w:p>
      <w:pPr>
        <w:spacing w:after="0" w:line="207" w:lineRule="exact"/>
        <w:rPr>
          <w:rFonts w:ascii="Arial" w:cs="Arial" w:eastAsia="Arial" w:hAnsi="Arial"/>
          <w:sz w:val="18"/>
          <w:szCs w:val="18"/>
          <w:color w:val="auto"/>
        </w:rPr>
      </w:pPr>
    </w:p>
    <w:p>
      <w:pPr>
        <w:ind w:left="1060" w:hanging="540"/>
        <w:spacing w:after="0" w:line="268"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options to purchase 60,000 shares of our common stock. Also includes 358,907 shares held by jVen Capital, LLC, of which Mr. Jones is Managing Member.</w:t>
      </w:r>
    </w:p>
    <w:p>
      <w:pPr>
        <w:spacing w:after="0" w:line="199" w:lineRule="exact"/>
        <w:rPr>
          <w:rFonts w:ascii="Arial" w:cs="Arial" w:eastAsia="Arial" w:hAnsi="Arial"/>
          <w:sz w:val="18"/>
          <w:szCs w:val="18"/>
          <w:color w:val="auto"/>
        </w:rPr>
      </w:pPr>
    </w:p>
    <w:p>
      <w:pPr>
        <w:ind w:left="1060" w:hanging="540"/>
        <w:spacing w:after="0" w:line="268"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options to purchase 170,623 shares of our common stock which are exercisable within 60 days of March 24, 2015, 70,626 of which are subject to the right of repurchase, which right lapses over time.</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5" w:name="page26"/>
    <w:bookmarkEnd w:id="25"/>
    <w:p>
      <w:pPr>
        <w:ind w:left="2260" w:hanging="540"/>
        <w:spacing w:after="0" w:line="268" w:lineRule="auto"/>
        <w:tabs>
          <w:tab w:leader="none" w:pos="2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options to purchase 245,317 shares of our common stock which are exercisable within 60 days of March 24, 2015, 21,487 of which are subject to the right of repurchase, which right lapses over time.</w:t>
      </w:r>
    </w:p>
    <w:p>
      <w:pPr>
        <w:spacing w:after="0" w:line="212" w:lineRule="exact"/>
        <w:rPr>
          <w:rFonts w:ascii="Arial" w:cs="Arial" w:eastAsia="Arial" w:hAnsi="Arial"/>
          <w:sz w:val="18"/>
          <w:szCs w:val="18"/>
          <w:color w:val="auto"/>
        </w:rPr>
      </w:pPr>
    </w:p>
    <w:p>
      <w:pPr>
        <w:ind w:left="2260" w:right="20" w:hanging="540"/>
        <w:spacing w:after="0" w:line="268" w:lineRule="auto"/>
        <w:tabs>
          <w:tab w:leader="none" w:pos="2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options to purchase 1,084,940 shares of our common stock which are exercisable within 60 days of March 24, 2015, 191,675 of which are subject to the right of repurchase, which right lapses over time.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APPROVAL OF THE VERACYTE, INC. EMPLOYEE STOCK PURCHASE PLAN</w:t>
      </w:r>
    </w:p>
    <w:p>
      <w:pPr>
        <w:spacing w:after="0" w:line="219" w:lineRule="exact"/>
        <w:rPr>
          <w:sz w:val="20"/>
          <w:szCs w:val="20"/>
          <w:color w:val="auto"/>
        </w:rPr>
      </w:pPr>
    </w:p>
    <w:p>
      <w:pPr>
        <w:jc w:val="both"/>
        <w:ind w:firstLine="658"/>
        <w:spacing w:after="0" w:line="255" w:lineRule="auto"/>
        <w:rPr>
          <w:sz w:val="20"/>
          <w:szCs w:val="20"/>
          <w:color w:val="auto"/>
        </w:rPr>
      </w:pPr>
      <w:r>
        <w:rPr>
          <w:rFonts w:ascii="Arial" w:cs="Arial" w:eastAsia="Arial" w:hAnsi="Arial"/>
          <w:sz w:val="18"/>
          <w:szCs w:val="18"/>
          <w:color w:val="auto"/>
        </w:rPr>
        <w:t>Our board of directors adopted the Veracyte, Inc. Employee Stock Purchase Plan, or ESPP, on March 10, 2015, to be effective on May 18, 2015, subject to the approval of stockholders at the Annual Meeting. The purpose of the ESPP is to provide eligible employees with an opportunity to increase their proprietary interest in the success of our company by purchasing common stock from the company at favorable terms and to pay for their purchases through payroll deductions. The board of directors believes that establishing an ESPP will enable us to attract, retain and motivate valued employees. A total of 750,000 shares of common stock will be reserved for issuance under our ESPP.</w:t>
      </w:r>
    </w:p>
    <w:p>
      <w:pPr>
        <w:spacing w:after="0" w:line="197" w:lineRule="exact"/>
        <w:rPr>
          <w:sz w:val="20"/>
          <w:szCs w:val="20"/>
          <w:color w:val="auto"/>
        </w:rPr>
      </w:pPr>
    </w:p>
    <w:p>
      <w:pPr>
        <w:jc w:val="both"/>
        <w:ind w:firstLine="739"/>
        <w:spacing w:after="0" w:line="306" w:lineRule="auto"/>
        <w:rPr>
          <w:sz w:val="20"/>
          <w:szCs w:val="20"/>
          <w:color w:val="auto"/>
        </w:rPr>
      </w:pPr>
      <w:r>
        <w:rPr>
          <w:rFonts w:ascii="Arial" w:cs="Arial" w:eastAsia="Arial" w:hAnsi="Arial"/>
          <w:sz w:val="16"/>
          <w:szCs w:val="16"/>
          <w:color w:val="auto"/>
        </w:rPr>
        <w:t>The following summary of the principal features of the ESPP is qualified by reference to the terms of the ESPP, a copy of which is available without charge upon stockholder request to the Secretary, Veracyte, Inc., 7000 Shoreline Court, Suite 250, South San Francisco, California 94080. The ESPP has also been filed electronically with the SEC together with this Proxy Statement and can be accessed on the SEC's website at http://www.sec.gov.</w:t>
      </w:r>
    </w:p>
    <w:p>
      <w:pPr>
        <w:spacing w:after="0" w:line="161" w:lineRule="exact"/>
        <w:rPr>
          <w:sz w:val="20"/>
          <w:szCs w:val="20"/>
          <w:color w:val="auto"/>
        </w:rPr>
      </w:pPr>
    </w:p>
    <w:p>
      <w:pPr>
        <w:jc w:val="both"/>
        <w:ind w:firstLine="841"/>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the compensation committee of our board of directors. The compensation committee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construe, interpret and apply the terms of the ESPP, to determine eligibility, to establish such limitations and procedures as it determines are consistent with the ESPP as well as any ESPP procedures instituted by the board of directors. The compensation committee is also authorized to adjudicate any disputed claims under the ESPP.</w:t>
      </w:r>
    </w:p>
    <w:p>
      <w:pPr>
        <w:spacing w:after="0" w:line="197" w:lineRule="exact"/>
        <w:rPr>
          <w:sz w:val="20"/>
          <w:szCs w:val="20"/>
          <w:color w:val="auto"/>
        </w:rPr>
      </w:pPr>
    </w:p>
    <w:p>
      <w:pPr>
        <w:jc w:val="both"/>
        <w:ind w:firstLine="709"/>
        <w:spacing w:after="0" w:line="286"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Each full-time and part-time employee, including our officers and employee directors and employees of participating subsidiaries, who 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us on the day preceding the start of any offering period will be eligible to participate in the ESPP. Our ESPP requires that an employee customarily work more than 20 hours per week and more than 5 months per calendar year in order to be eligible to participate in the ESPP. Our ESPP will permit an eligible employee to purchase common stock through payroll deductions, which may not be less than 1% nor more than 15% of the employee's salary, with the actual limit determined by the compensation committee from time to time. However, no employee is eligible to participate in the ESPP if, immediately after electing to participate, the employee would own stock of the Company (including stock such employee may purchase under this plan or other outstanding options) representing 5% or more of the total combined voting power or value of all classes of our stock. No employee will be able to purchase more than 2,500 shares, or such lesser number of shares as may be determined by the compensation committee with respect to a single offering period, or purchase period, if applicable. In addition, no employee is permitted to accrue, under the ESPP and all similar purchase plans of the Company or its subsidiaries, a right to purchase stock of the Company having a value in excess of $25,000 of the fair market value of such stock (determined at the time the right is granted) for each calendar year. Employees will be able to withdraw their accumulated payroll deductions prior to the end of the offering period in accordance with the terms of the offering. Participation in our ESPP will end automatically on termination of employment with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6" w:name="page27"/>
    <w:bookmarkEnd w:id="26"/>
    <w:p>
      <w:pPr>
        <w:jc w:val="both"/>
        <w:ind w:firstLine="646"/>
        <w:spacing w:after="0" w:line="298" w:lineRule="auto"/>
        <w:rPr>
          <w:sz w:val="20"/>
          <w:szCs w:val="20"/>
          <w:color w:val="auto"/>
        </w:rPr>
      </w:pPr>
      <w:r>
        <w:rPr>
          <w:rFonts w:ascii="Arial" w:cs="Arial" w:eastAsia="Arial" w:hAnsi="Arial"/>
          <w:sz w:val="16"/>
          <w:szCs w:val="16"/>
          <w:i w:val="1"/>
          <w:iCs w:val="1"/>
          <w:color w:val="auto"/>
        </w:rPr>
        <w:t xml:space="preserve">Offering Periods and Purchase Price. </w:t>
      </w:r>
      <w:r>
        <w:rPr>
          <w:rFonts w:ascii="Arial" w:cs="Arial" w:eastAsia="Arial" w:hAnsi="Arial"/>
          <w:sz w:val="16"/>
          <w:szCs w:val="16"/>
          <w:color w:val="auto"/>
        </w:rPr>
        <w:t>Our ESPP will be implemented through a series of offerings of purchase rights to eligible employees.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ESPP, except as noted below, the board of directors or, as authorized, compensation committee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67" w:lineRule="exact"/>
        <w:rPr>
          <w:sz w:val="20"/>
          <w:szCs w:val="20"/>
          <w:color w:val="auto"/>
        </w:rPr>
      </w:pPr>
    </w:p>
    <w:p>
      <w:pPr>
        <w:jc w:val="both"/>
        <w:ind w:firstLine="625"/>
        <w:spacing w:after="0" w:line="332" w:lineRule="auto"/>
        <w:rPr>
          <w:sz w:val="20"/>
          <w:szCs w:val="20"/>
          <w:color w:val="auto"/>
        </w:rPr>
      </w:pPr>
      <w:r>
        <w:rPr>
          <w:rFonts w:ascii="Arial" w:cs="Arial" w:eastAsia="Arial" w:hAnsi="Arial"/>
          <w:sz w:val="16"/>
          <w:szCs w:val="16"/>
          <w:color w:val="auto"/>
        </w:rPr>
        <w:t>The purchase price will be specified pursuant to the offering, but cannot, under the terms of the ESPP, be less than 85% of the fair market value per share of our common stock on either the last trading day preceding the offering date or on the purchase date, whichever is less.</w:t>
      </w:r>
    </w:p>
    <w:p>
      <w:pPr>
        <w:spacing w:after="0" w:line="139" w:lineRule="exact"/>
        <w:rPr>
          <w:sz w:val="20"/>
          <w:szCs w:val="20"/>
          <w:color w:val="auto"/>
        </w:rPr>
      </w:pPr>
    </w:p>
    <w:p>
      <w:pPr>
        <w:jc w:val="both"/>
        <w:ind w:firstLine="703"/>
        <w:spacing w:after="0" w:line="256" w:lineRule="auto"/>
        <w:rPr>
          <w:sz w:val="20"/>
          <w:szCs w:val="20"/>
          <w:color w:val="auto"/>
        </w:rPr>
      </w:pPr>
      <w:r>
        <w:rPr>
          <w:rFonts w:ascii="Arial" w:cs="Arial" w:eastAsia="Arial" w:hAnsi="Arial"/>
          <w:sz w:val="18"/>
          <w:szCs w:val="18"/>
          <w:i w:val="1"/>
          <w:iCs w:val="1"/>
          <w:color w:val="auto"/>
        </w:rPr>
        <w:t xml:space="preserve">Reset Feature. </w:t>
      </w:r>
      <w:r>
        <w:rPr>
          <w:rFonts w:ascii="Arial" w:cs="Arial" w:eastAsia="Arial" w:hAnsi="Arial"/>
          <w:sz w:val="18"/>
          <w:szCs w:val="18"/>
          <w:color w:val="auto"/>
        </w:rPr>
        <w:t>The compensation committee may specify that if the fair market value of a share of our common stock on any purchase date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offering period is less than or equal to the fair market value on the start date of that offering period, then the offering period will automatically terminate and the employee in that offering period will automatically be transferred and enrolled in a new offering period which will begin on the next day following such purchase date.</w:t>
      </w:r>
    </w:p>
    <w:p>
      <w:pPr>
        <w:spacing w:after="0" w:line="197"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appropriate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made to (a) the number of shares reserved under the ESPP, (b) the individual and aggregate participant share limitations described in the plan and (c) the price of shares that any participant has elected to purchase.</w:t>
      </w:r>
    </w:p>
    <w:p>
      <w:pPr>
        <w:spacing w:after="0" w:line="194"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8"/>
          <w:szCs w:val="18"/>
          <w:i w:val="1"/>
          <w:iCs w:val="1"/>
          <w:color w:val="auto"/>
        </w:rPr>
        <w:t xml:space="preserve">Corporate Reorganization. </w:t>
      </w:r>
      <w:r>
        <w:rPr>
          <w:rFonts w:ascii="Arial" w:cs="Arial" w:eastAsia="Arial" w:hAnsi="Arial"/>
          <w:sz w:val="18"/>
          <w:szCs w:val="18"/>
          <w:color w:val="auto"/>
        </w:rPr>
        <w:t>Immediately before a corporate reorganization, the offering period and purchase period then in progress shall terminate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purchased with the accumulated payroll deductions, unless the ESPP is assumed by the surviving corporation or its parent corporation under the plan of merger or consolidation.</w:t>
      </w:r>
    </w:p>
    <w:p>
      <w:pPr>
        <w:spacing w:after="0" w:line="194" w:lineRule="exact"/>
        <w:rPr>
          <w:sz w:val="20"/>
          <w:szCs w:val="20"/>
          <w:color w:val="auto"/>
        </w:rPr>
      </w:pPr>
    </w:p>
    <w:p>
      <w:pPr>
        <w:jc w:val="both"/>
        <w:ind w:firstLine="753"/>
        <w:spacing w:after="0" w:line="25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will have the right to amend, suspend or terminate the ESPP at any time. Any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number of shares of stock to be issued under the ESPP is subject to stockholder approval. Any other amendment is subject to stockholder approval only to the extent required under applicable law or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of Participating in the Employee Stock Purchase Plan</w:t>
      </w:r>
    </w:p>
    <w:p>
      <w:pPr>
        <w:spacing w:after="0" w:line="231" w:lineRule="exact"/>
        <w:rPr>
          <w:sz w:val="20"/>
          <w:szCs w:val="20"/>
          <w:color w:val="auto"/>
        </w:rPr>
      </w:pPr>
    </w:p>
    <w:p>
      <w:pPr>
        <w:jc w:val="both"/>
        <w:ind w:firstLine="719"/>
        <w:spacing w:after="0" w:line="259" w:lineRule="auto"/>
        <w:rPr>
          <w:sz w:val="20"/>
          <w:szCs w:val="20"/>
          <w:color w:val="auto"/>
        </w:rPr>
      </w:pPr>
      <w:r>
        <w:rPr>
          <w:rFonts w:ascii="Arial" w:cs="Arial" w:eastAsia="Arial" w:hAnsi="Arial"/>
          <w:sz w:val="18"/>
          <w:szCs w:val="18"/>
          <w:color w:val="auto"/>
        </w:rPr>
        <w:t>The following brief summary of the effect of U.S. federal income taxation upon the participant and the Company with respect to the shares purchased under the ESPP does not purport to be complete, and does not discuss the tax consequences of a participant's death or the income tax laws of any state or non-U.S. jurisdiction in which the participant may reside.</w:t>
      </w:r>
    </w:p>
    <w:p>
      <w:pPr>
        <w:spacing w:after="0" w:line="194" w:lineRule="exact"/>
        <w:rPr>
          <w:sz w:val="20"/>
          <w:szCs w:val="20"/>
          <w:color w:val="auto"/>
        </w:rPr>
      </w:pPr>
    </w:p>
    <w:p>
      <w:pPr>
        <w:jc w:val="both"/>
        <w:ind w:firstLine="650"/>
        <w:spacing w:after="0" w:line="289" w:lineRule="auto"/>
        <w:rPr>
          <w:sz w:val="20"/>
          <w:szCs w:val="20"/>
          <w:color w:val="auto"/>
        </w:rPr>
      </w:pPr>
      <w:r>
        <w:rPr>
          <w:rFonts w:ascii="Arial" w:cs="Arial" w:eastAsia="Arial" w:hAnsi="Arial"/>
          <w:sz w:val="16"/>
          <w:szCs w:val="16"/>
          <w:color w:val="auto"/>
        </w:rPr>
        <w:t>The ESPP, and the right of participants to make purchases thereunder, is intended to qualify under the provisions of Sections 421 and 423 of the Internal Revenue Code of 1986, as amended. Under these provisions, no income will be taxable to a participant until the shares purchased under the ESPP are sold or otherwise disposed of. Upon sale or other disposition of the shares, the participant generally will be subject to tax in an amount that depends upon the holding period. If the shares are sold or otherwise disposed of more than 2 years from the first day of the applicable offering and 1 year from the applicable date of purchase, the participant will recognize ordinary income measured as the lesser of (a) the excess of the fair market value of the shares at the time of such sale or disposition over the purchase price, or (b) the excess of the fair market value of a share on the offering date that the right was granted over the purchase price for the right. Any additional gain will be treated as long-term capital gain. If the shares are sold or otherwise disposed of before the expiration of either of these holding periods, the participant will recognize ordinary income generally measured as the excess of the fair market value of the shares on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date the shares are purchased over the purchase price. Any additional gain or loss on such sale or disposition will be long-term or short-term capital gain or loss, depending on how long the shares have been held from the date of purchase. The Company generally is not entitled to a deduction for amounts taxed as ordinary income or capital gain to a participant except to the extent of ordinary income recognized by participants upon a sale or disposition of shares prior to the expiration of the holding periods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31" w:lineRule="exact"/>
        <w:rPr>
          <w:sz w:val="20"/>
          <w:szCs w:val="20"/>
          <w:color w:val="auto"/>
        </w:rPr>
      </w:pPr>
    </w:p>
    <w:p>
      <w:pPr>
        <w:jc w:val="both"/>
        <w:ind w:right="20" w:firstLine="681"/>
        <w:spacing w:after="0" w:line="332" w:lineRule="auto"/>
        <w:rPr>
          <w:sz w:val="20"/>
          <w:szCs w:val="20"/>
          <w:color w:val="auto"/>
        </w:rPr>
      </w:pPr>
      <w:r>
        <w:rPr>
          <w:rFonts w:ascii="Arial" w:cs="Arial" w:eastAsia="Arial" w:hAnsi="Arial"/>
          <w:sz w:val="16"/>
          <w:szCs w:val="16"/>
          <w:color w:val="auto"/>
        </w:rPr>
        <w:t>Purchase rights are subject to a participant's discretion, including an employee's decision not to participate in the ESPP, and awards under the ESPP are not determinable. Directors who are not employees are not eligible to participate in, and will not receive any benefit under, the ESPP.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682"/>
        <w:spacing w:after="0" w:line="268" w:lineRule="auto"/>
        <w:rPr>
          <w:sz w:val="20"/>
          <w:szCs w:val="20"/>
          <w:color w:val="auto"/>
        </w:rPr>
      </w:pPr>
      <w:r>
        <w:rPr>
          <w:rFonts w:ascii="Arial" w:cs="Arial" w:eastAsia="Arial" w:hAnsi="Arial"/>
          <w:sz w:val="18"/>
          <w:szCs w:val="18"/>
          <w:color w:val="auto"/>
        </w:rPr>
        <w:t>Approval of the Employee Stock Purchase Plan requires the affirmative vote of a majority of the shares of present and voting at the Annual Meeting in person or by proxy.</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The Board of Directors Recommends a Vote "FOR" Approval of the Veracyte, Inc. Employee Stock Purchase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9" w:lineRule="exact"/>
        <w:rPr>
          <w:sz w:val="20"/>
          <w:szCs w:val="20"/>
          <w:color w:val="auto"/>
        </w:rPr>
      </w:pPr>
    </w:p>
    <w:p>
      <w:pPr>
        <w:jc w:val="both"/>
        <w:ind w:firstLine="727"/>
        <w:spacing w:after="0" w:line="298" w:lineRule="auto"/>
        <w:rPr>
          <w:sz w:val="20"/>
          <w:szCs w:val="20"/>
          <w:color w:val="auto"/>
        </w:rPr>
      </w:pPr>
      <w:r>
        <w:rPr>
          <w:rFonts w:ascii="Arial" w:cs="Arial" w:eastAsia="Arial" w:hAnsi="Arial"/>
          <w:sz w:val="16"/>
          <w:szCs w:val="16"/>
          <w:color w:val="auto"/>
        </w:rPr>
        <w:t>The audit committee has appointed Ernst &amp; Young LLP as our independent registered public accounting firm for the fiscal year ending December 31, 2015. Ernst &amp; Young LLP audited our financial statements in 2014. PricewaterhouseCoopers LLP, or PwC, audited our financial statements in 2013. Representatives of Ernst &amp; Young LLP are expected to be present at the Annual Meeting. They will have an opportunity to make a statement, if they desire to do so, and will be available to respond to appropriate questions. Representatives of PwC are not expected to be present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fees billed for audit and other services rendered: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16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r>
      <w:tr>
        <w:trPr>
          <w:trHeight w:val="250"/>
        </w:trPr>
        <w:tc>
          <w:tcPr>
            <w:tcW w:w="2300" w:type="dxa"/>
            <w:vAlign w:val="bottom"/>
          </w:tcPr>
          <w:p>
            <w:pPr>
              <w:spacing w:after="0"/>
              <w:rPr>
                <w:sz w:val="21"/>
                <w:szCs w:val="21"/>
                <w:color w:val="auto"/>
              </w:rPr>
            </w:pPr>
          </w:p>
        </w:tc>
        <w:tc>
          <w:tcPr>
            <w:tcW w:w="470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$2,012,872</w:t>
            </w:r>
          </w:p>
        </w:tc>
        <w:tc>
          <w:tcPr>
            <w:tcW w:w="20" w:type="dxa"/>
            <w:vAlign w:val="bottom"/>
          </w:tcPr>
          <w:p>
            <w:pPr>
              <w:spacing w:after="0"/>
              <w:rPr>
                <w:sz w:val="21"/>
                <w:szCs w:val="21"/>
                <w:color w:val="auto"/>
              </w:rPr>
            </w:pPr>
          </w:p>
        </w:tc>
      </w:tr>
      <w:tr>
        <w:trPr>
          <w:trHeight w:val="216"/>
        </w:trPr>
        <w:tc>
          <w:tcPr>
            <w:tcW w:w="23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57"/>
        </w:trPr>
        <w:tc>
          <w:tcPr>
            <w:tcW w:w="2300" w:type="dxa"/>
            <w:vAlign w:val="bottom"/>
          </w:tcPr>
          <w:p>
            <w:pPr>
              <w:spacing w:after="0"/>
              <w:rPr>
                <w:sz w:val="22"/>
                <w:szCs w:val="22"/>
                <w:color w:val="auto"/>
              </w:rPr>
            </w:pPr>
          </w:p>
        </w:tc>
        <w:tc>
          <w:tcPr>
            <w:tcW w:w="4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20" w:type="dxa"/>
            <w:vAlign w:val="bottom"/>
          </w:tcPr>
          <w:p>
            <w:pPr>
              <w:spacing w:after="0"/>
              <w:rPr>
                <w:sz w:val="22"/>
                <w:szCs w:val="22"/>
                <w:color w:val="auto"/>
              </w:rPr>
            </w:pPr>
          </w:p>
        </w:tc>
      </w:tr>
      <w:tr>
        <w:trPr>
          <w:trHeight w:val="257"/>
        </w:trPr>
        <w:tc>
          <w:tcPr>
            <w:tcW w:w="2300" w:type="dxa"/>
            <w:vAlign w:val="bottom"/>
          </w:tcPr>
          <w:p>
            <w:pPr>
              <w:spacing w:after="0"/>
              <w:rPr>
                <w:sz w:val="22"/>
                <w:szCs w:val="22"/>
                <w:color w:val="auto"/>
              </w:rPr>
            </w:pPr>
          </w:p>
        </w:tc>
        <w:tc>
          <w:tcPr>
            <w:tcW w:w="4700" w:type="dxa"/>
            <w:vAlign w:val="bottom"/>
            <w:gridSpan w:val="2"/>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66,995</w:t>
            </w:r>
          </w:p>
        </w:tc>
        <w:tc>
          <w:tcPr>
            <w:tcW w:w="1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10"/>
        </w:trPr>
        <w:tc>
          <w:tcPr>
            <w:tcW w:w="230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$2,045,622</w:t>
            </w:r>
          </w:p>
        </w:tc>
        <w:tc>
          <w:tcPr>
            <w:tcW w:w="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1" w:lineRule="exact"/>
        <w:rPr>
          <w:sz w:val="20"/>
          <w:szCs w:val="20"/>
          <w:color w:val="auto"/>
        </w:rPr>
      </w:pPr>
    </w:p>
    <w:p>
      <w:pPr>
        <w:jc w:val="both"/>
        <w:ind w:left="540" w:right="2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include fees and out-of-pocket expenses, whether or not yet invoiced, for professional services provided in connection with the audit of our annual financial statements and review of our quarterly financial statements. In 2013, audit fees also include fees for our initial public offering, review of our registration statements, and services provided in connection with other SEC filings.</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consist of federal and state tax compliance and planning, tax advice and preparation of tax returns.</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fees consist of fees for professional services provided in connection with our acquisition of Allegro Diagnostics Corp. and other accounting consultation.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1" w:lineRule="exact"/>
        <w:rPr>
          <w:sz w:val="20"/>
          <w:szCs w:val="20"/>
          <w:color w:val="auto"/>
        </w:rPr>
      </w:pPr>
    </w:p>
    <w:p>
      <w:pPr>
        <w:jc w:val="both"/>
        <w:ind w:firstLine="820"/>
        <w:spacing w:after="0" w:line="294" w:lineRule="auto"/>
        <w:rPr>
          <w:sz w:val="20"/>
          <w:szCs w:val="20"/>
          <w:color w:val="auto"/>
        </w:rPr>
      </w:pPr>
      <w:r>
        <w:rPr>
          <w:rFonts w:ascii="Arial" w:cs="Arial" w:eastAsia="Arial" w:hAnsi="Arial"/>
          <w:sz w:val="16"/>
          <w:szCs w:val="16"/>
          <w:color w:val="auto"/>
        </w:rPr>
        <w:t>In connection with our initial public offering, our audit committee established a policy to pre- 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231" w:lineRule="exact"/>
        <w:rPr>
          <w:sz w:val="20"/>
          <w:szCs w:val="20"/>
          <w:color w:val="auto"/>
        </w:rPr>
      </w:pPr>
    </w:p>
    <w:p>
      <w:pPr>
        <w:jc w:val="both"/>
        <w:ind w:firstLine="684"/>
        <w:spacing w:after="0" w:line="291" w:lineRule="auto"/>
        <w:rPr>
          <w:sz w:val="20"/>
          <w:szCs w:val="20"/>
          <w:color w:val="auto"/>
        </w:rPr>
      </w:pPr>
      <w:r>
        <w:rPr>
          <w:rFonts w:ascii="Arial" w:cs="Arial" w:eastAsia="Arial" w:hAnsi="Arial"/>
          <w:sz w:val="16"/>
          <w:szCs w:val="16"/>
          <w:color w:val="auto"/>
        </w:rPr>
        <w:t>On June 4, 2014, our audit committee approved the dismissal of PwC as our independent registered public accounting firm. The reports of PwC on our financial statements for the fiscal years ended December 31, 2013 and 2012 did not contain an adverse opinion or a disclaimer of opinion, nor were such reports qualified or modified as to uncertainty, audit scope, or accounting principles, except that the PwC report on our financial statements as of December 31, 2011 and 2012 and for each of the two years in the period ended December 31, 2012, included in our registration statement on Form S-1 (File No. 333-191282) and related prospectus dated October 29, 2013, contained an emphasis of matter paragraph relating to our experience of recurring operating losses and negative cash flows from operations as described in Note 2 to such financial statements.</w:t>
      </w:r>
    </w:p>
    <w:p>
      <w:pPr>
        <w:spacing w:after="0" w:line="174" w:lineRule="exact"/>
        <w:rPr>
          <w:sz w:val="20"/>
          <w:szCs w:val="20"/>
          <w:color w:val="auto"/>
        </w:rPr>
      </w:pPr>
    </w:p>
    <w:p>
      <w:pPr>
        <w:jc w:val="both"/>
        <w:ind w:firstLine="704"/>
        <w:spacing w:after="0" w:line="255" w:lineRule="auto"/>
        <w:rPr>
          <w:sz w:val="20"/>
          <w:szCs w:val="20"/>
          <w:color w:val="auto"/>
        </w:rPr>
      </w:pPr>
      <w:r>
        <w:rPr>
          <w:rFonts w:ascii="Arial" w:cs="Arial" w:eastAsia="Arial" w:hAnsi="Arial"/>
          <w:sz w:val="18"/>
          <w:szCs w:val="18"/>
          <w:color w:val="auto"/>
        </w:rPr>
        <w:t>During the fiscal years ended December 31, 2013 and 2012, and through June 4, 2014, we did not have any disagreements with PwC on any matter of accounting principles or practices, financial statement disclosure or auditing scope, or procedure, which disagreements, if not resolved to the satisfaction of PwC, would have caused it to make reference to the subject matter of the disagreements in connection with its reports on the financial statements for such periods. During the fiscal years ended December 31, 2013 and 2012, and through June 4, 2014, there were no "reportable events" as defined in Item 304(a)(1)(v) of Regulation S-K.</w:t>
      </w:r>
    </w:p>
    <w:p>
      <w:pPr>
        <w:spacing w:after="0" w:line="197" w:lineRule="exact"/>
        <w:rPr>
          <w:sz w:val="20"/>
          <w:szCs w:val="20"/>
          <w:color w:val="auto"/>
        </w:rPr>
      </w:pPr>
    </w:p>
    <w:p>
      <w:pPr>
        <w:jc w:val="both"/>
        <w:ind w:firstLine="753"/>
        <w:spacing w:after="0" w:line="306" w:lineRule="auto"/>
        <w:rPr>
          <w:sz w:val="20"/>
          <w:szCs w:val="20"/>
          <w:color w:val="auto"/>
        </w:rPr>
      </w:pPr>
      <w:r>
        <w:rPr>
          <w:rFonts w:ascii="Arial" w:cs="Arial" w:eastAsia="Arial" w:hAnsi="Arial"/>
          <w:sz w:val="16"/>
          <w:szCs w:val="16"/>
          <w:color w:val="auto"/>
        </w:rPr>
        <w:t>On June 4, 2014, our audit committee approved the appointment of Ernst &amp; Young LLP as our independent registered public accounting firm for the fiscal year ending December 31, 2014. During the fiscal years ended December 31, 2013 and 2012 and in the subsequent interim period through June 4, 2014, neither we nor anyone acting on our behalf has consulted with Ernst &amp; Young LLP on any of the matters or events set forth in Item 304(a)(2)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629"/>
        <w:spacing w:after="0" w:line="291" w:lineRule="auto"/>
        <w:rPr>
          <w:sz w:val="20"/>
          <w:szCs w:val="20"/>
          <w:color w:val="auto"/>
        </w:rPr>
      </w:pPr>
      <w:r>
        <w:rPr>
          <w:rFonts w:ascii="Arial" w:cs="Arial" w:eastAsia="Arial" w:hAnsi="Arial"/>
          <w:sz w:val="16"/>
          <w:szCs w:val="16"/>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The Board of Directors Recommends a Vote "FOR" Ratification of Ernst &amp; Young LLP as our Independent Registered Public Accounting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664"/>
        <w:spacing w:after="0" w:line="294" w:lineRule="auto"/>
        <w:rPr>
          <w:sz w:val="20"/>
          <w:szCs w:val="20"/>
          <w:color w:val="auto"/>
        </w:rPr>
      </w:pPr>
      <w:r>
        <w:rPr>
          <w:rFonts w:ascii="Arial" w:cs="Arial" w:eastAsia="Arial" w:hAnsi="Arial"/>
          <w:sz w:val="16"/>
          <w:szCs w:val="16"/>
          <w:color w:val="auto"/>
        </w:rPr>
        <w:t>Section 16(a) of the Securities Exchange Act of 1934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officers, directors and greater than 10% stockholders complied on a timely basis with all Section 16(a) filing requirements applicable to them with respect to transactions during 2014.</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 for the 2016 Annual Meeting</w:t>
      </w:r>
    </w:p>
    <w:p>
      <w:pPr>
        <w:spacing w:after="0" w:line="23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2016 Annual Meeting of Stockholders, the proponent and the proposal must comply with the proxy proposal submission rules of the SEC. One of the requirements is that the proposal be received by our Secretary no later than December 17, 2015. Proposals we receive after that date will not be included in the proxy statement. We urge stockholders to submit proposals by Certified Mail — Return Receipt Requested.</w:t>
      </w:r>
    </w:p>
    <w:p>
      <w:pPr>
        <w:spacing w:after="0" w:line="197" w:lineRule="exact"/>
        <w:rPr>
          <w:sz w:val="20"/>
          <w:szCs w:val="20"/>
          <w:color w:val="auto"/>
        </w:rPr>
      </w:pPr>
    </w:p>
    <w:p>
      <w:pPr>
        <w:jc w:val="both"/>
        <w:ind w:firstLine="689"/>
        <w:spacing w:after="0" w:line="287" w:lineRule="auto"/>
        <w:rPr>
          <w:sz w:val="20"/>
          <w:szCs w:val="20"/>
          <w:color w:val="auto"/>
        </w:rPr>
      </w:pPr>
      <w:r>
        <w:rPr>
          <w:rFonts w:ascii="Arial" w:cs="Arial" w:eastAsia="Arial" w:hAnsi="Arial"/>
          <w:sz w:val="16"/>
          <w:szCs w:val="16"/>
          <w:color w:val="auto"/>
        </w:rPr>
        <w:t>A stockholder proposal not included in our proxy statement for the 2016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773"/>
        <w:spacing w:after="0" w:line="306" w:lineRule="auto"/>
        <w:rPr>
          <w:sz w:val="20"/>
          <w:szCs w:val="20"/>
          <w:color w:val="auto"/>
        </w:rPr>
      </w:pPr>
      <w:r>
        <w:rPr>
          <w:rFonts w:ascii="Arial" w:cs="Arial" w:eastAsia="Arial" w:hAnsi="Arial"/>
          <w:sz w:val="16"/>
          <w:szCs w:val="16"/>
          <w:color w:val="auto"/>
        </w:rPr>
        <w:t>Your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320040</wp:posOffset>
            </wp:positionV>
            <wp:extent cx="2933065" cy="497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3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Julie A. Brooks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8, 2015</w:t>
      </w:r>
    </w:p>
    <w:p>
      <w:pPr>
        <w:spacing w:after="0" w:line="225" w:lineRule="exact"/>
        <w:rPr>
          <w:sz w:val="20"/>
          <w:szCs w:val="20"/>
          <w:color w:val="auto"/>
        </w:rPr>
      </w:pPr>
    </w:p>
    <w:p>
      <w:pPr>
        <w:jc w:val="both"/>
        <w:ind w:firstLine="729"/>
        <w:spacing w:after="0" w:line="298" w:lineRule="auto"/>
        <w:rPr>
          <w:sz w:val="20"/>
          <w:szCs w:val="20"/>
          <w:color w:val="auto"/>
        </w:rPr>
      </w:pPr>
      <w:r>
        <w:rPr>
          <w:rFonts w:ascii="Arial" w:cs="Arial" w:eastAsia="Arial" w:hAnsi="Arial"/>
          <w:sz w:val="16"/>
          <w:szCs w:val="16"/>
          <w:color w:val="auto"/>
        </w:rPr>
        <w:t>Our Annual Report on Form 10-K for the year ended December 31, 2014 has been mailed with this Proxy Statement. We will furnish without charge, upon written request of any person who was a stockholder or beneficial owner of our common stock on the close of business on March 24, 2015, copies of exhibits to our Annual Report on Form 10-K, but will charge a reasonable per page fee. Written requests should be sent to: Investor Relations, Veracyte, Inc., 7000 Shoreline Court, Suite 250, South San Francisco, California 94080. Our Annual Report on Form 10-K and exhibits are also available at www.veracyte.com.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360" w:type="dxa"/>
            <w:vAlign w:val="bottom"/>
            <w:gridSpan w:val="3"/>
          </w:tcPr>
          <w:p>
            <w:pPr>
              <w:ind w:left="20"/>
              <w:spacing w:after="0"/>
              <w:rPr>
                <w:sz w:val="20"/>
                <w:szCs w:val="20"/>
                <w:color w:val="auto"/>
              </w:rPr>
            </w:pPr>
            <w:r>
              <w:rPr>
                <w:rFonts w:ascii="Arial" w:cs="Arial" w:eastAsia="Arial" w:hAnsi="Arial"/>
                <w:sz w:val="18"/>
                <w:szCs w:val="18"/>
                <w:i w:val="1"/>
                <w:iCs w:val="1"/>
                <w:color w:val="auto"/>
              </w:rPr>
              <w:t>Table of Contents</w:t>
            </w:r>
          </w:p>
        </w:tc>
      </w:tr>
      <w:tr>
        <w:trPr>
          <w:trHeight w:val="421"/>
        </w:trPr>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210"/>
        </w:trPr>
        <w:tc>
          <w:tcPr>
            <w:tcW w:w="116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Purpose Of The Plan.</w:t>
            </w:r>
          </w:p>
        </w:tc>
        <w:tc>
          <w:tcPr>
            <w:tcW w:w="48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SECTION 2</w:t>
            </w:r>
          </w:p>
        </w:tc>
        <w:tc>
          <w:tcPr>
            <w:tcW w:w="290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 "Board"</w:t>
            </w:r>
          </w:p>
        </w:tc>
        <w:tc>
          <w:tcPr>
            <w:tcW w:w="29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8"/>
                <w:szCs w:val="18"/>
                <w:color w:val="auto"/>
                <w:w w:val="98"/>
              </w:rPr>
              <w:t>(b) "Code"</w:t>
            </w:r>
          </w:p>
        </w:tc>
        <w:tc>
          <w:tcPr>
            <w:tcW w:w="29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 "Committee"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(d) "Company"</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 "Compensation"</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(f) "Corporate Reorganization"</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 "Eligible Employee"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(h) "Exchange Act"</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 "Fair Market Value"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(j) "Offering"</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 "Offering Date"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(l) "Offering Period"</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 "Participant"</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(n) "Participating Company"</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 "Plan"</w:t>
            </w:r>
          </w:p>
        </w:tc>
        <w:tc>
          <w:tcPr>
            <w:tcW w:w="29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(p) "Plan Account"</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(q) "Purchase Date"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(r) "Purchase Period"</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 "Purchase Price"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8"/>
                <w:szCs w:val="18"/>
                <w:color w:val="auto"/>
              </w:rPr>
              <w:t>(t) "Stock"</w:t>
            </w:r>
          </w:p>
        </w:tc>
        <w:tc>
          <w:tcPr>
            <w:tcW w:w="29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 "Subsidiary"</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SECTION 3  Administration Of The Plan.</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 Committee Composition</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(b) Committee Responsibilities</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  Enrollment And Participation.</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(a) Offering Periods</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 Enrollment</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(c) Duration of Participation</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Contributions.</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(a) Frequency of Payroll Deductions</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 Amount of Payroll Deductions</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(c) Changing Withholding Rate</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 Discontinuing Payroll Deductions</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SECTION 6  Withdrawal From The Plan.</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 Withdrawal</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(b) Re-enrollment After Withdrawal</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  Change In Employment Status.</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(a) Termination of Employment</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 Leave of Absence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8"/>
                <w:szCs w:val="18"/>
                <w:color w:val="auto"/>
              </w:rPr>
              <w:t>(c) Death</w:t>
            </w:r>
          </w:p>
        </w:tc>
        <w:tc>
          <w:tcPr>
            <w:tcW w:w="29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SECTION 8  Plan Accounts And Purchase Of Shares.</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(a) Plan Accounts</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 Purchase Price</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(c) Number of Shares Purchased</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 Available Shares Insufficient</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(e) Issuance of Stock.</w:t>
            </w:r>
          </w:p>
        </w:tc>
        <w:tc>
          <w:tcPr>
            <w:tcW w:w="48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 Unused Cash Balances</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(g) Stockholder Approval</w:t>
            </w:r>
          </w:p>
        </w:tc>
        <w:tc>
          <w:tcPr>
            <w:tcW w:w="488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9"/>
                <w:szCs w:val="19"/>
                <w:color w:val="auto"/>
              </w:rPr>
            </w:pPr>
          </w:p>
        </w:tc>
      </w:tr>
      <w:tr>
        <w:trPr>
          <w:trHeight w:val="112"/>
        </w:trPr>
        <w:tc>
          <w:tcPr>
            <w:tcW w:w="1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210"/>
        </w:trPr>
        <w:tc>
          <w:tcPr>
            <w:tcW w:w="11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  Limitations On Stock Ownership.</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(a) Five Percent Limit</w:t>
            </w:r>
          </w:p>
        </w:tc>
        <w:tc>
          <w:tcPr>
            <w:tcW w:w="340" w:type="dxa"/>
            <w:vAlign w:val="bottom"/>
          </w:tcPr>
          <w:p>
            <w:pPr>
              <w:ind w:left="60"/>
              <w:spacing w:after="0"/>
              <w:rPr>
                <w:sz w:val="20"/>
                <w:szCs w:val="20"/>
                <w:color w:val="auto"/>
              </w:rPr>
            </w:pPr>
            <w:r>
              <w:rPr>
                <w:rFonts w:ascii="Arial" w:cs="Arial" w:eastAsia="Arial" w:hAnsi="Arial"/>
                <w:sz w:val="18"/>
                <w:szCs w:val="18"/>
                <w:color w:val="auto"/>
                <w:w w:val="92"/>
              </w:rPr>
              <w:t>A-6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 Dollar Limit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SECTION 10  Rights Not Transferable.</w:t>
            </w:r>
          </w:p>
        </w:tc>
        <w:tc>
          <w:tcPr>
            <w:tcW w:w="340" w:type="dxa"/>
            <w:vAlign w:val="bottom"/>
          </w:tcPr>
          <w:p>
            <w:pPr>
              <w:ind w:left="60"/>
              <w:spacing w:after="0"/>
              <w:rPr>
                <w:sz w:val="20"/>
                <w:szCs w:val="20"/>
                <w:color w:val="auto"/>
              </w:rPr>
            </w:pPr>
            <w:r>
              <w:rPr>
                <w:rFonts w:ascii="Arial" w:cs="Arial" w:eastAsia="Arial" w:hAnsi="Arial"/>
                <w:sz w:val="18"/>
                <w:szCs w:val="18"/>
                <w:color w:val="auto"/>
                <w:w w:val="92"/>
              </w:rPr>
              <w:t>A-7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  No Rights As An Employee</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SECTION 12  No Rights As A Stockholder.</w:t>
            </w:r>
          </w:p>
        </w:tc>
        <w:tc>
          <w:tcPr>
            <w:tcW w:w="340" w:type="dxa"/>
            <w:vAlign w:val="bottom"/>
          </w:tcPr>
          <w:p>
            <w:pPr>
              <w:ind w:left="60"/>
              <w:spacing w:after="0"/>
              <w:rPr>
                <w:sz w:val="20"/>
                <w:szCs w:val="20"/>
                <w:color w:val="auto"/>
              </w:rPr>
            </w:pPr>
            <w:r>
              <w:rPr>
                <w:rFonts w:ascii="Arial" w:cs="Arial" w:eastAsia="Arial" w:hAnsi="Arial"/>
                <w:sz w:val="18"/>
                <w:szCs w:val="18"/>
                <w:color w:val="auto"/>
                <w:w w:val="92"/>
              </w:rPr>
              <w:t>A-7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13</w:t>
            </w:r>
          </w:p>
        </w:tc>
        <w:tc>
          <w:tcPr>
            <w:tcW w:w="7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Law Requirements.</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14</w:t>
            </w:r>
          </w:p>
        </w:tc>
        <w:tc>
          <w:tcPr>
            <w:tcW w:w="7740" w:type="dxa"/>
            <w:vAlign w:val="bottom"/>
          </w:tcPr>
          <w:p>
            <w:pPr>
              <w:ind w:left="80"/>
              <w:spacing w:after="0"/>
              <w:rPr>
                <w:sz w:val="20"/>
                <w:szCs w:val="20"/>
                <w:color w:val="auto"/>
              </w:rPr>
            </w:pPr>
            <w:r>
              <w:rPr>
                <w:rFonts w:ascii="Arial" w:cs="Arial" w:eastAsia="Arial" w:hAnsi="Arial"/>
                <w:sz w:val="18"/>
                <w:szCs w:val="18"/>
                <w:color w:val="auto"/>
              </w:rPr>
              <w:t>Stock Offered Under The Plan.</w:t>
            </w:r>
          </w:p>
        </w:tc>
        <w:tc>
          <w:tcPr>
            <w:tcW w:w="340" w:type="dxa"/>
            <w:vAlign w:val="bottom"/>
          </w:tcPr>
          <w:p>
            <w:pPr>
              <w:ind w:left="60"/>
              <w:spacing w:after="0"/>
              <w:rPr>
                <w:sz w:val="20"/>
                <w:szCs w:val="20"/>
                <w:color w:val="auto"/>
              </w:rPr>
            </w:pPr>
            <w:r>
              <w:rPr>
                <w:rFonts w:ascii="Arial" w:cs="Arial" w:eastAsia="Arial" w:hAnsi="Arial"/>
                <w:sz w:val="18"/>
                <w:szCs w:val="18"/>
                <w:color w:val="auto"/>
                <w:w w:val="92"/>
              </w:rPr>
              <w:t>A-8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 Authorized Shares</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(b) Antidilution Adjustments</w:t>
            </w:r>
          </w:p>
        </w:tc>
        <w:tc>
          <w:tcPr>
            <w:tcW w:w="340" w:type="dxa"/>
            <w:vAlign w:val="bottom"/>
          </w:tcPr>
          <w:p>
            <w:pPr>
              <w:ind w:left="60"/>
              <w:spacing w:after="0"/>
              <w:rPr>
                <w:sz w:val="20"/>
                <w:szCs w:val="20"/>
                <w:color w:val="auto"/>
              </w:rPr>
            </w:pPr>
            <w:r>
              <w:rPr>
                <w:rFonts w:ascii="Arial" w:cs="Arial" w:eastAsia="Arial" w:hAnsi="Arial"/>
                <w:sz w:val="18"/>
                <w:szCs w:val="18"/>
                <w:color w:val="auto"/>
                <w:w w:val="92"/>
              </w:rPr>
              <w:t>A-8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 Reorganizations</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SECTION 15</w:t>
            </w:r>
          </w:p>
        </w:tc>
        <w:tc>
          <w:tcPr>
            <w:tcW w:w="7740" w:type="dxa"/>
            <w:vAlign w:val="bottom"/>
          </w:tcPr>
          <w:p>
            <w:pPr>
              <w:ind w:left="80"/>
              <w:spacing w:after="0"/>
              <w:rPr>
                <w:sz w:val="20"/>
                <w:szCs w:val="20"/>
                <w:color w:val="auto"/>
              </w:rPr>
            </w:pPr>
            <w:r>
              <w:rPr>
                <w:rFonts w:ascii="Arial" w:cs="Arial" w:eastAsia="Arial" w:hAnsi="Arial"/>
                <w:sz w:val="18"/>
                <w:szCs w:val="18"/>
                <w:color w:val="auto"/>
              </w:rPr>
              <w:t>Amendment Or Discontinuance.</w:t>
            </w:r>
          </w:p>
        </w:tc>
        <w:tc>
          <w:tcPr>
            <w:tcW w:w="340" w:type="dxa"/>
            <w:vAlign w:val="bottom"/>
          </w:tcPr>
          <w:p>
            <w:pPr>
              <w:ind w:left="60"/>
              <w:spacing w:after="0"/>
              <w:rPr>
                <w:sz w:val="20"/>
                <w:szCs w:val="20"/>
                <w:color w:val="auto"/>
              </w:rPr>
            </w:pPr>
            <w:r>
              <w:rPr>
                <w:rFonts w:ascii="Arial" w:cs="Arial" w:eastAsia="Arial" w:hAnsi="Arial"/>
                <w:sz w:val="18"/>
                <w:szCs w:val="18"/>
                <w:color w:val="auto"/>
                <w:w w:val="92"/>
              </w:rPr>
              <w:t>A-8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16</w:t>
            </w:r>
          </w:p>
        </w:tc>
        <w:tc>
          <w:tcPr>
            <w:tcW w:w="7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Execution.</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A-9</w:t>
            </w:r>
          </w:p>
        </w:tc>
        <w:tc>
          <w:tcPr>
            <w:tcW w:w="1140" w:type="dxa"/>
            <w:vAlign w:val="bottom"/>
          </w:tcPr>
          <w:p>
            <w:pPr>
              <w:spacing w:after="0"/>
              <w:rPr>
                <w:sz w:val="18"/>
                <w:szCs w:val="18"/>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77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8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 STOCK PURCHASE PLAN</w:t>
      </w: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1</w:t>
      </w:r>
      <w:r>
        <w:rPr>
          <w:sz w:val="20"/>
          <w:szCs w:val="20"/>
          <w:color w:val="auto"/>
        </w:rPr>
        <w:tab/>
      </w:r>
      <w:r>
        <w:rPr>
          <w:rFonts w:ascii="Arial" w:cs="Arial" w:eastAsia="Arial" w:hAnsi="Arial"/>
          <w:sz w:val="16"/>
          <w:szCs w:val="16"/>
          <w:i w:val="1"/>
          <w:iCs w:val="1"/>
          <w:color w:val="auto"/>
        </w:rPr>
        <w:t>Purpose Of The Plan.</w:t>
      </w:r>
    </w:p>
    <w:p>
      <w:pPr>
        <w:spacing w:after="0" w:line="225" w:lineRule="exact"/>
        <w:rPr>
          <w:sz w:val="20"/>
          <w:szCs w:val="20"/>
          <w:color w:val="auto"/>
        </w:rPr>
      </w:pPr>
    </w:p>
    <w:p>
      <w:pPr>
        <w:jc w:val="both"/>
        <w:ind w:firstLine="708"/>
        <w:spacing w:after="0" w:line="256" w:lineRule="auto"/>
        <w:rPr>
          <w:sz w:val="20"/>
          <w:szCs w:val="20"/>
          <w:color w:val="auto"/>
        </w:rPr>
      </w:pPr>
      <w:r>
        <w:rPr>
          <w:rFonts w:ascii="Arial" w:cs="Arial" w:eastAsia="Arial" w:hAnsi="Arial"/>
          <w:sz w:val="18"/>
          <w:szCs w:val="18"/>
          <w:color w:val="auto"/>
        </w:rPr>
        <w:t>The Plan was adopted by the Board on March 10, 2015 and shall be effective on May 18, 2015 subject to stockholder approval (the "Effective Date"). The purpose of the Plan is to provide Eligible Employees with an opportunity to increase their proprietary interest in the success of the Company by purchasing Stock from the Company on favorable terms and to pay for such purchases through payroll deductions. The Plan is intended to qualify under section 423 of the Code.</w:t>
      </w:r>
    </w:p>
    <w:p>
      <w:pPr>
        <w:spacing w:after="0" w:line="19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2</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ind w:left="1220" w:hanging="59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260" w:hanging="637"/>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a committee designated by the Board, as described in Section 3.</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Veracyte, Inc., a Delaware corporation.</w:t>
      </w:r>
    </w:p>
    <w:p>
      <w:pPr>
        <w:spacing w:after="0" w:line="225" w:lineRule="exact"/>
        <w:rPr>
          <w:rFonts w:ascii="Arial" w:cs="Arial" w:eastAsia="Arial" w:hAnsi="Arial"/>
          <w:sz w:val="18"/>
          <w:szCs w:val="18"/>
          <w:color w:val="auto"/>
        </w:rPr>
      </w:pPr>
    </w:p>
    <w:p>
      <w:pPr>
        <w:jc w:val="both"/>
        <w:ind w:firstLine="738"/>
        <w:spacing w:after="0" w:line="291" w:lineRule="auto"/>
        <w:tabs>
          <w:tab w:leader="none" w:pos="1393"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means, unless provided otherwise by the Committee, base salary, wages and commissions paid in cash to a Participant by a Participating Company, without reduction for any pre-tax contributions made by the Participant under sections 401(k) or 125 of the Code. "Compensation" shall, unless provided otherwise by the Committee, exclude variable compensation other than commissions (including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and similar items. The Committee shall determine whether a particular item is included in Compensation.</w:t>
      </w:r>
    </w:p>
    <w:p>
      <w:pPr>
        <w:spacing w:after="0" w:line="174" w:lineRule="exact"/>
        <w:rPr>
          <w:sz w:val="20"/>
          <w:szCs w:val="20"/>
          <w:color w:val="auto"/>
        </w:rPr>
      </w:pPr>
    </w:p>
    <w:p>
      <w:pPr>
        <w:ind w:left="1240" w:hanging="61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Reorganization</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2900" w:hanging="850"/>
        <w:spacing w:after="0"/>
        <w:tabs>
          <w:tab w:leader="none" w:pos="2900" w:val="left"/>
        </w:tabs>
        <w:numPr>
          <w:ilvl w:val="3"/>
          <w:numId w:val="2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reorganization; or</w:t>
      </w:r>
    </w:p>
    <w:p>
      <w:pPr>
        <w:spacing w:after="0" w:line="218" w:lineRule="exact"/>
        <w:rPr>
          <w:rFonts w:ascii="Arial" w:cs="Arial" w:eastAsia="Arial" w:hAnsi="Arial"/>
          <w:sz w:val="16"/>
          <w:szCs w:val="16"/>
          <w:color w:val="auto"/>
        </w:rPr>
      </w:pPr>
    </w:p>
    <w:p>
      <w:pPr>
        <w:ind w:left="2340" w:hanging="619"/>
        <w:spacing w:after="0"/>
        <w:tabs>
          <w:tab w:leader="none" w:pos="23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 or the complete liquidation or dissolution</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18" w:lineRule="exact"/>
        <w:rPr>
          <w:rFonts w:ascii="Arial" w:cs="Arial" w:eastAsia="Arial" w:hAnsi="Arial"/>
          <w:sz w:val="16"/>
          <w:szCs w:val="16"/>
          <w:color w:val="auto"/>
        </w:rPr>
      </w:pPr>
    </w:p>
    <w:p>
      <w:pPr>
        <w:ind w:right="20" w:firstLine="664"/>
        <w:spacing w:after="0" w:line="268" w:lineRule="auto"/>
        <w:tabs>
          <w:tab w:leader="none" w:pos="12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any employee of a Participating Company whose customary employment is for more than five months per calendar year and for more than 20 hours per week.</w:t>
      </w:r>
    </w:p>
    <w:p>
      <w:pPr>
        <w:spacing w:after="0" w:line="186" w:lineRule="exact"/>
        <w:rPr>
          <w:sz w:val="20"/>
          <w:szCs w:val="20"/>
          <w:color w:val="auto"/>
        </w:rPr>
      </w:pPr>
    </w:p>
    <w:p>
      <w:pPr>
        <w:ind w:firstLine="651"/>
        <w:spacing w:after="0" w:line="268" w:lineRule="auto"/>
        <w:rPr>
          <w:sz w:val="20"/>
          <w:szCs w:val="20"/>
          <w:color w:val="auto"/>
        </w:rPr>
      </w:pPr>
      <w:r>
        <w:rPr>
          <w:rFonts w:ascii="Arial" w:cs="Arial" w:eastAsia="Arial" w:hAnsi="Arial"/>
          <w:sz w:val="18"/>
          <w:szCs w:val="18"/>
          <w:color w:val="auto"/>
        </w:rPr>
        <w:t>The foregoing notwithstanding, an individual shall not be considered an Eligible Employee if his or her participation in the Plan is prohibited by the law of any country which has jurisdiction over him or her.</w:t>
      </w:r>
    </w:p>
    <w:p>
      <w:pPr>
        <w:spacing w:after="0" w:line="186" w:lineRule="exact"/>
        <w:rPr>
          <w:sz w:val="20"/>
          <w:szCs w:val="20"/>
          <w:color w:val="auto"/>
        </w:rPr>
      </w:pPr>
    </w:p>
    <w:p>
      <w:pPr>
        <w:ind w:left="5580" w:right="5020" w:hanging="4957"/>
        <w:spacing w:after="0" w:line="670" w:lineRule="auto"/>
        <w:tabs>
          <w:tab w:leader="none" w:pos="1225" w:val="left"/>
        </w:tabs>
        <w:numPr>
          <w:ilvl w:val="0"/>
          <w:numId w:val="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amended.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1220" w:hanging="597"/>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the fair market value of a share of Stock, determined by the Committee as follows:</w:t>
      </w:r>
    </w:p>
    <w:p>
      <w:pPr>
        <w:spacing w:after="0" w:line="225" w:lineRule="exact"/>
        <w:rPr>
          <w:rFonts w:ascii="Arial" w:cs="Arial" w:eastAsia="Arial" w:hAnsi="Arial"/>
          <w:sz w:val="18"/>
          <w:szCs w:val="18"/>
          <w:color w:val="auto"/>
        </w:rPr>
      </w:pPr>
    </w:p>
    <w:p>
      <w:pPr>
        <w:jc w:val="both"/>
        <w:ind w:left="1080" w:firstLine="686"/>
        <w:spacing w:after="0" w:line="259" w:lineRule="auto"/>
        <w:tabs>
          <w:tab w:leader="none" w:pos="24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or</w:t>
      </w:r>
    </w:p>
    <w:p>
      <w:pPr>
        <w:spacing w:after="0" w:line="194" w:lineRule="exact"/>
        <w:rPr>
          <w:sz w:val="20"/>
          <w:szCs w:val="20"/>
          <w:color w:val="auto"/>
        </w:rPr>
      </w:pPr>
    </w:p>
    <w:p>
      <w:pPr>
        <w:ind w:left="1080" w:right="20" w:firstLine="700"/>
        <w:spacing w:after="0" w:line="268" w:lineRule="auto"/>
        <w:tabs>
          <w:tab w:leader="none" w:pos="24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foregoing provision is not applicable, then the Fair Market Value shall be determined by the Committee in good faith on such basis as it deems appropriate.</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For any date that is not a Trading Day, the Fair Market Value of a share of Stock for such date shall be determined by using the closing sale price for the immediately preceding Trading Day. Whenever possible, the determination of Fair Market Value by the Committee shall be based on the prices reported in the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or as reported directly to the Company by the stock exchange. Such determination shall be conclusive and binding on all persons.</w:t>
      </w:r>
    </w:p>
    <w:p>
      <w:pPr>
        <w:spacing w:after="0" w:line="161" w:lineRule="exact"/>
        <w:rPr>
          <w:sz w:val="20"/>
          <w:szCs w:val="20"/>
          <w:color w:val="auto"/>
        </w:rPr>
      </w:pPr>
    </w:p>
    <w:p>
      <w:pPr>
        <w:ind w:left="1220" w:hanging="597"/>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w:t>
      </w:r>
      <w:r>
        <w:rPr>
          <w:rFonts w:ascii="Arial" w:cs="Arial" w:eastAsia="Arial" w:hAnsi="Arial"/>
          <w:sz w:val="18"/>
          <w:szCs w:val="18"/>
          <w:color w:val="auto"/>
        </w:rPr>
        <w:t>" means the grant of options to purchase shares of Stock under the Plan to Eligible Employees.</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Date</w:t>
      </w:r>
      <w:r>
        <w:rPr>
          <w:rFonts w:ascii="Arial" w:cs="Arial" w:eastAsia="Arial" w:hAnsi="Arial"/>
          <w:sz w:val="18"/>
          <w:szCs w:val="18"/>
          <w:color w:val="auto"/>
        </w:rPr>
        <w:t>" means the first day of an Offering.</w:t>
      </w:r>
    </w:p>
    <w:p>
      <w:pPr>
        <w:spacing w:after="0" w:line="225" w:lineRule="exact"/>
        <w:rPr>
          <w:rFonts w:ascii="Arial" w:cs="Arial" w:eastAsia="Arial" w:hAnsi="Arial"/>
          <w:sz w:val="18"/>
          <w:szCs w:val="18"/>
          <w:color w:val="auto"/>
        </w:rPr>
      </w:pPr>
    </w:p>
    <w:p>
      <w:pPr>
        <w:ind w:left="1360" w:hanging="659"/>
        <w:spacing w:after="0"/>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Period</w:t>
      </w:r>
      <w:r>
        <w:rPr>
          <w:rFonts w:ascii="Arial" w:cs="Arial" w:eastAsia="Arial" w:hAnsi="Arial"/>
          <w:sz w:val="16"/>
          <w:szCs w:val="16"/>
          <w:color w:val="auto"/>
        </w:rPr>
        <w:t>" means a period with respect to which the right to purchase Stock may be granted under the Plan, as determined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4(a).</w:t>
      </w:r>
    </w:p>
    <w:p>
      <w:pPr>
        <w:spacing w:after="0" w:line="218" w:lineRule="exact"/>
        <w:rPr>
          <w:rFonts w:ascii="Arial" w:cs="Arial" w:eastAsia="Arial" w:hAnsi="Arial"/>
          <w:sz w:val="16"/>
          <w:szCs w:val="16"/>
          <w:color w:val="auto"/>
        </w:rPr>
      </w:pPr>
    </w:p>
    <w:p>
      <w:pPr>
        <w:ind w:left="1220" w:hanging="597"/>
        <w:spacing w:after="0"/>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who elects to participate in the Plan, as provided in Section 4(b).</w:t>
      </w:r>
    </w:p>
    <w:p>
      <w:pPr>
        <w:spacing w:after="0" w:line="225" w:lineRule="exact"/>
        <w:rPr>
          <w:sz w:val="20"/>
          <w:szCs w:val="20"/>
          <w:color w:val="auto"/>
        </w:rPr>
      </w:pPr>
    </w:p>
    <w:p>
      <w:pPr>
        <w:ind w:left="780"/>
        <w:spacing w:after="0"/>
        <w:tabs>
          <w:tab w:leader="none" w:pos="1440" w:val="left"/>
        </w:tabs>
        <w:rPr>
          <w:sz w:val="20"/>
          <w:szCs w:val="20"/>
          <w:color w:val="auto"/>
        </w:rPr>
      </w:pPr>
      <w:r>
        <w:rPr>
          <w:rFonts w:ascii="Arial" w:cs="Arial" w:eastAsia="Arial" w:hAnsi="Arial"/>
          <w:sz w:val="16"/>
          <w:szCs w:val="16"/>
          <w:color w:val="auto"/>
        </w:rPr>
        <w:t>(n)</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Participating Company</w:t>
      </w:r>
      <w:r>
        <w:rPr>
          <w:rFonts w:ascii="Arial" w:cs="Arial" w:eastAsia="Arial" w:hAnsi="Arial"/>
          <w:sz w:val="16"/>
          <w:szCs w:val="16"/>
          <w:color w:val="auto"/>
        </w:rPr>
        <w:t>" means (i) the Company and (ii) each present or future Subsidiary designated by the Committee as a Participating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1220" w:hanging="59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Veracyte, Inc. Employee Stock Purchase Plan, as it may be amended from time to time.</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Account</w:t>
      </w:r>
      <w:r>
        <w:rPr>
          <w:rFonts w:ascii="Arial" w:cs="Arial" w:eastAsia="Arial" w:hAnsi="Arial"/>
          <w:sz w:val="18"/>
          <w:szCs w:val="18"/>
          <w:color w:val="auto"/>
        </w:rPr>
        <w:t>" means the account established for each Participant pursuant to Section 8(a).</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Purchase Date</w:t>
      </w:r>
      <w:r>
        <w:rPr>
          <w:rFonts w:ascii="Arial" w:cs="Arial" w:eastAsia="Arial" w:hAnsi="Arial"/>
          <w:sz w:val="15"/>
          <w:szCs w:val="15"/>
          <w:color w:val="auto"/>
        </w:rPr>
        <w:t>" means one or more dates during an Offering on which shares of Stock may be purchased pursuant to the terms of the Offering.</w:t>
      </w:r>
    </w:p>
    <w:p>
      <w:pPr>
        <w:spacing w:after="0" w:line="259" w:lineRule="exact"/>
        <w:rPr>
          <w:rFonts w:ascii="Arial" w:cs="Arial" w:eastAsia="Arial" w:hAnsi="Arial"/>
          <w:sz w:val="15"/>
          <w:szCs w:val="15"/>
          <w:color w:val="auto"/>
        </w:rPr>
      </w:pPr>
    </w:p>
    <w:p>
      <w:pPr>
        <w:ind w:firstLine="725"/>
        <w:spacing w:after="0" w:line="268" w:lineRule="auto"/>
        <w:tabs>
          <w:tab w:leader="none" w:pos="14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Period</w:t>
      </w:r>
      <w:r>
        <w:rPr>
          <w:rFonts w:ascii="Arial" w:cs="Arial" w:eastAsia="Arial" w:hAnsi="Arial"/>
          <w:sz w:val="18"/>
          <w:szCs w:val="18"/>
          <w:color w:val="auto"/>
        </w:rPr>
        <w:t>" means one or more successive periods during an Offering, beginning on the Offering Date or on the day after a Purchase Date, and ending on the next succeeding Purchase Date.</w:t>
      </w:r>
    </w:p>
    <w:p>
      <w:pPr>
        <w:spacing w:after="0" w:line="186" w:lineRule="exact"/>
        <w:rPr>
          <w:sz w:val="20"/>
          <w:szCs w:val="20"/>
          <w:color w:val="auto"/>
        </w:rPr>
      </w:pPr>
    </w:p>
    <w:p>
      <w:pPr>
        <w:ind w:left="1240" w:hanging="617"/>
        <w:spacing w:after="0"/>
        <w:tabs>
          <w:tab w:leader="none" w:pos="1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means the price at which Participants may purchase shares of Stock under the Plan, as determined pursuant to Section 8(b).</w:t>
      </w:r>
    </w:p>
    <w:p>
      <w:pPr>
        <w:spacing w:after="0" w:line="248" w:lineRule="exact"/>
        <w:rPr>
          <w:rFonts w:ascii="Arial" w:cs="Arial" w:eastAsia="Arial" w:hAnsi="Arial"/>
          <w:sz w:val="16"/>
          <w:szCs w:val="16"/>
          <w:color w:val="auto"/>
        </w:rPr>
      </w:pPr>
    </w:p>
    <w:p>
      <w:pPr>
        <w:ind w:left="1220" w:hanging="597"/>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firstLine="647"/>
        <w:spacing w:after="0" w:line="268" w:lineRule="auto"/>
        <w:tabs>
          <w:tab w:leader="none" w:pos="1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unbroken chain owns stock possessing 50% or more of the total combined voting power of all classes of stock in one of the other corporations in such chain.</w:t>
      </w:r>
    </w:p>
    <w:p>
      <w:pPr>
        <w:spacing w:after="0" w:line="248" w:lineRule="exact"/>
        <w:rPr>
          <w:sz w:val="20"/>
          <w:szCs w:val="20"/>
          <w:color w:val="auto"/>
        </w:rPr>
      </w:pPr>
    </w:p>
    <w:p>
      <w:pPr>
        <w:ind w:left="1240" w:hanging="61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national stock exchange on which the Stock is traded is open for trading.</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3</w:t>
      </w:r>
      <w:r>
        <w:rPr>
          <w:sz w:val="20"/>
          <w:szCs w:val="20"/>
          <w:color w:val="auto"/>
        </w:rPr>
        <w:tab/>
      </w:r>
      <w:r>
        <w:rPr>
          <w:rFonts w:ascii="Arial" w:cs="Arial" w:eastAsia="Arial" w:hAnsi="Arial"/>
          <w:sz w:val="16"/>
          <w:szCs w:val="16"/>
          <w:i w:val="1"/>
          <w:iCs w:val="1"/>
          <w:color w:val="auto"/>
        </w:rPr>
        <w:t>Administration Of The Plan.</w:t>
      </w:r>
    </w:p>
    <w:p>
      <w:pPr>
        <w:spacing w:after="0" w:line="225" w:lineRule="exact"/>
        <w:rPr>
          <w:sz w:val="20"/>
          <w:szCs w:val="20"/>
          <w:color w:val="auto"/>
        </w:rPr>
      </w:pPr>
    </w:p>
    <w:p>
      <w:pPr>
        <w:ind w:firstLine="647"/>
        <w:spacing w:after="0" w:line="268" w:lineRule="auto"/>
        <w:tabs>
          <w:tab w:leader="none" w:pos="124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Committee Composition</w:t>
      </w:r>
      <w:r>
        <w:rPr>
          <w:rFonts w:ascii="Arial" w:cs="Arial" w:eastAsia="Arial" w:hAnsi="Arial"/>
          <w:sz w:val="18"/>
          <w:szCs w:val="18"/>
          <w:color w:val="auto"/>
        </w:rPr>
        <w:t>. The Plan shall be administered by the Committee. The Committee shall consist exclusively of one or more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who shall be appointed by the Board.</w:t>
      </w:r>
    </w:p>
    <w:p>
      <w:pPr>
        <w:spacing w:after="0" w:line="185" w:lineRule="exact"/>
        <w:rPr>
          <w:rFonts w:ascii="Arial" w:cs="Arial" w:eastAsia="Arial" w:hAnsi="Arial"/>
          <w:sz w:val="18"/>
          <w:szCs w:val="18"/>
          <w:color w:val="auto"/>
        </w:rPr>
      </w:pPr>
    </w:p>
    <w:p>
      <w:pPr>
        <w:jc w:val="both"/>
        <w:ind w:firstLine="680"/>
        <w:spacing w:after="0" w:line="284" w:lineRule="auto"/>
        <w:tabs>
          <w:tab w:leader="none" w:pos="1309"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The Committee shall have full power and authority, subject to the provisions of the Plan, to promulgate such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including sub plans which the Committee may establish (which need not qualify under Section 423 of the Code)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 plans, at the Committee's discretion, may provide for allocations of the authorized Shares reserved for issue under the Plan as set forth in Section 14(a)). The rules of such sub plans may take precedence over other provisions of the Plan, with the exception of Section 14(a), but unless otherwise superseded by the terms of such sub plan, the provisions of the Plan shall govern the operation of such sub 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1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4</w:t>
      </w:r>
      <w:r>
        <w:rPr>
          <w:sz w:val="20"/>
          <w:szCs w:val="20"/>
          <w:color w:val="auto"/>
        </w:rPr>
        <w:tab/>
      </w:r>
      <w:r>
        <w:rPr>
          <w:rFonts w:ascii="Arial" w:cs="Arial" w:eastAsia="Arial" w:hAnsi="Arial"/>
          <w:sz w:val="16"/>
          <w:szCs w:val="16"/>
          <w:i w:val="1"/>
          <w:iCs w:val="1"/>
          <w:color w:val="auto"/>
        </w:rPr>
        <w:t>Enrollment And Participation.</w:t>
      </w:r>
    </w:p>
    <w:p>
      <w:pPr>
        <w:spacing w:after="0" w:line="225" w:lineRule="exact"/>
        <w:rPr>
          <w:sz w:val="20"/>
          <w:szCs w:val="20"/>
          <w:color w:val="auto"/>
        </w:rPr>
      </w:pPr>
    </w:p>
    <w:p>
      <w:pPr>
        <w:jc w:val="both"/>
        <w:ind w:firstLine="721"/>
        <w:spacing w:after="0" w:line="291" w:lineRule="auto"/>
        <w:tabs>
          <w:tab w:leader="none" w:pos="1366"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Offering Periods</w:t>
      </w:r>
      <w:r>
        <w:rPr>
          <w:rFonts w:ascii="Arial" w:cs="Arial" w:eastAsia="Arial" w:hAnsi="Arial"/>
          <w:sz w:val="16"/>
          <w:szCs w:val="16"/>
          <w:color w:val="auto"/>
        </w:rPr>
        <w:t>. While the Plan is in effect, the Committee may from time to time grant options to purchase shares of Stock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12 months from the Offering Date and may include one or more successive Purchase Periods within the Offering, (ii) the Purchase Dates and Purchase Price for shares of Stock which may be purchased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6"/>
          <w:szCs w:val="16"/>
          <w:color w:val="auto"/>
        </w:rPr>
        <w:t>pursuant to the Offering, and (iii) if applicable, any limits on the number of shares purchasable by a Participant, or by all Participants in the aggregate, during any Offering Period or, if applicable, Purchase Period, in each case consistent with the limitations of the Plan. Unless provided otherwise by the Committee prior to commencement of an Offering, the maximum number of shares of Stock which may be purchased by an individual Participant during such Offering is 2,500 shares, subject to the other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172" w:lineRule="exact"/>
        <w:rPr>
          <w:sz w:val="20"/>
          <w:szCs w:val="20"/>
          <w:color w:val="auto"/>
        </w:rPr>
      </w:pPr>
    </w:p>
    <w:p>
      <w:pPr>
        <w:jc w:val="both"/>
        <w:ind w:firstLine="803"/>
        <w:spacing w:after="0" w:line="259" w:lineRule="auto"/>
        <w:tabs>
          <w:tab w:leader="none" w:pos="151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Enrollment</w:t>
      </w:r>
      <w:r>
        <w:rPr>
          <w:rFonts w:ascii="Arial" w:cs="Arial" w:eastAsia="Arial" w:hAnsi="Arial"/>
          <w:sz w:val="18"/>
          <w:szCs w:val="18"/>
          <w:color w:val="auto"/>
        </w:rPr>
        <w:t>. Any individual who, on the day preceding the first day of an Offering Period, qualifies as an Eligible Employee may elect to</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 Participant in the Plan for such Offering Period by executing the enrollment form prescribed for this purpose by the Company. The enrollment form shall be filed with the Company in accordance with such procedures as may be established by the Company.</w:t>
      </w:r>
    </w:p>
    <w:p>
      <w:pPr>
        <w:spacing w:after="0" w:line="194" w:lineRule="exact"/>
        <w:rPr>
          <w:rFonts w:ascii="Arial" w:cs="Arial" w:eastAsia="Arial" w:hAnsi="Arial"/>
          <w:sz w:val="18"/>
          <w:szCs w:val="18"/>
          <w:color w:val="auto"/>
        </w:rPr>
      </w:pPr>
    </w:p>
    <w:p>
      <w:pPr>
        <w:jc w:val="both"/>
        <w:ind w:firstLine="796"/>
        <w:spacing w:after="0" w:line="291" w:lineRule="auto"/>
        <w:tabs>
          <w:tab w:leader="none" w:pos="154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Duration of Participation</w:t>
      </w:r>
      <w:r>
        <w:rPr>
          <w:rFonts w:ascii="Arial" w:cs="Arial" w:eastAsia="Arial" w:hAnsi="Arial"/>
          <w:sz w:val="16"/>
          <w:szCs w:val="16"/>
          <w:color w:val="auto"/>
        </w:rPr>
        <w:t>. Once enrolled in the Plan, a Participant shall continue to participate in the Plan until he or she ceases to be an</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5</w:t>
      </w:r>
      <w:r>
        <w:rPr>
          <w:sz w:val="20"/>
          <w:szCs w:val="20"/>
          <w:color w:val="auto"/>
        </w:rPr>
        <w:tab/>
      </w:r>
      <w:r>
        <w:rPr>
          <w:rFonts w:ascii="Arial" w:cs="Arial" w:eastAsia="Arial" w:hAnsi="Arial"/>
          <w:sz w:val="16"/>
          <w:szCs w:val="16"/>
          <w:i w:val="1"/>
          <w:iCs w:val="1"/>
          <w:color w:val="auto"/>
        </w:rPr>
        <w:t>Employee Contributions.</w:t>
      </w:r>
    </w:p>
    <w:p>
      <w:pPr>
        <w:spacing w:after="0" w:line="225" w:lineRule="exact"/>
        <w:rPr>
          <w:sz w:val="20"/>
          <w:szCs w:val="20"/>
          <w:color w:val="auto"/>
        </w:rPr>
      </w:pPr>
    </w:p>
    <w:p>
      <w:pPr>
        <w:jc w:val="both"/>
        <w:ind w:firstLine="680"/>
        <w:spacing w:after="0" w:line="256" w:lineRule="auto"/>
        <w:tabs>
          <w:tab w:leader="none" w:pos="129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Frequency of Payroll Deductions</w:t>
      </w:r>
      <w:r>
        <w:rPr>
          <w:rFonts w:ascii="Arial" w:cs="Arial" w:eastAsia="Arial" w:hAnsi="Arial"/>
          <w:sz w:val="18"/>
          <w:szCs w:val="18"/>
          <w:color w:val="auto"/>
        </w:rPr>
        <w:t>. A Participant may purchase shares of Stock under the Plan solely by means of payroll deductions;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by the Committee, shall occur on each payday during participation in the Plan.</w:t>
      </w:r>
    </w:p>
    <w:p>
      <w:pPr>
        <w:spacing w:after="0" w:line="197" w:lineRule="exact"/>
        <w:rPr>
          <w:rFonts w:ascii="Arial" w:cs="Arial" w:eastAsia="Arial" w:hAnsi="Arial"/>
          <w:sz w:val="18"/>
          <w:szCs w:val="18"/>
          <w:color w:val="auto"/>
        </w:rPr>
      </w:pPr>
    </w:p>
    <w:p>
      <w:pPr>
        <w:jc w:val="both"/>
        <w:ind w:firstLine="672"/>
        <w:spacing w:after="0" w:line="298" w:lineRule="auto"/>
        <w:tabs>
          <w:tab w:leader="none" w:pos="129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Amount of Payroll Deductions</w:t>
      </w:r>
      <w:r>
        <w:rPr>
          <w:rFonts w:ascii="Arial" w:cs="Arial" w:eastAsia="Arial" w:hAnsi="Arial"/>
          <w:sz w:val="16"/>
          <w:szCs w:val="16"/>
          <w:color w:val="auto"/>
        </w:rPr>
        <w:t>. An Eligible Employee shall designate on the enrollment form the portion of his or her Compensation that he or</w:t>
      </w:r>
      <w:r>
        <w:rPr>
          <w:rFonts w:ascii="Arial" w:cs="Arial" w:eastAsia="Arial" w:hAnsi="Arial"/>
          <w:sz w:val="16"/>
          <w:szCs w:val="16"/>
          <w:i w:val="1"/>
          <w:iCs w:val="1"/>
          <w:color w:val="auto"/>
        </w:rPr>
        <w:t xml:space="preserve"> </w:t>
      </w:r>
      <w:r>
        <w:rPr>
          <w:rFonts w:ascii="Arial" w:cs="Arial" w:eastAsia="Arial" w:hAnsi="Arial"/>
          <w:sz w:val="16"/>
          <w:szCs w:val="16"/>
          <w:color w:val="auto"/>
        </w:rPr>
        <w:t>she elects to have withheld for the purchase of Stock. Such portion shall be a whole percentage of the Eligible Employee's Compensation, but not less than 1% nor more than 15%. However, no payroll deduction will be made unless a Participant timely files the proper form with the Company after a registration statement covering the Stock is filed and effective under the Securities Act of 1933, as amended.</w:t>
      </w:r>
    </w:p>
    <w:p>
      <w:pPr>
        <w:spacing w:after="0" w:line="166" w:lineRule="exact"/>
        <w:rPr>
          <w:rFonts w:ascii="Arial" w:cs="Arial" w:eastAsia="Arial" w:hAnsi="Arial"/>
          <w:sz w:val="16"/>
          <w:szCs w:val="16"/>
          <w:color w:val="auto"/>
        </w:rPr>
      </w:pPr>
    </w:p>
    <w:p>
      <w:pPr>
        <w:jc w:val="both"/>
        <w:ind w:firstLine="717"/>
        <w:spacing w:after="0" w:line="298" w:lineRule="auto"/>
        <w:tabs>
          <w:tab w:leader="none" w:pos="141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Changing Withholding Rate</w:t>
      </w:r>
      <w:r>
        <w:rPr>
          <w:rFonts w:ascii="Arial" w:cs="Arial" w:eastAsia="Arial" w:hAnsi="Arial"/>
          <w:sz w:val="16"/>
          <w:szCs w:val="16"/>
          <w:color w:val="auto"/>
        </w:rPr>
        <w:t>. A Participant may not increase the rate of payroll withholding during the Purchase Period, but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under the terms and conditions of an Offering, may discontinue or decrease the rate of payroll withholding to a whole percentage of his or her Compensation in accordance with such procedures and subject to such limitations as the Company may establish for all Participants. A Participant may also increase or decrease the rate of payroll withholding effective for a new Purchase Period by filing a new enrollment form with the Company at the prescribed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location and time. The new withholding rate shall be a whole percentage of the Eligible Employee's Compensation, but not less than 1% nor more than 15%.</w:t>
      </w:r>
    </w:p>
    <w:p>
      <w:pPr>
        <w:spacing w:after="0" w:line="248" w:lineRule="exact"/>
        <w:rPr>
          <w:sz w:val="20"/>
          <w:szCs w:val="20"/>
          <w:color w:val="auto"/>
        </w:rPr>
      </w:pPr>
    </w:p>
    <w:p>
      <w:pPr>
        <w:ind w:firstLine="688"/>
        <w:spacing w:after="0" w:line="332" w:lineRule="auto"/>
        <w:tabs>
          <w:tab w:leader="none" w:pos="1322"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Discontinuing Payroll Deductions</w:t>
      </w:r>
      <w:r>
        <w:rPr>
          <w:rFonts w:ascii="Arial" w:cs="Arial" w:eastAsia="Arial" w:hAnsi="Arial"/>
          <w:sz w:val="16"/>
          <w:szCs w:val="16"/>
          <w:color w:val="auto"/>
        </w:rPr>
        <w:t>. If a Participant wishes to discontinue employee contributions entirely, he or she may do so by withdrawing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Plan pursuant to Section 6(a). In addition, employee contributions may be discontinued automatically pursuant to Section 9(b).</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6</w:t>
      </w:r>
      <w:r>
        <w:rPr>
          <w:sz w:val="20"/>
          <w:szCs w:val="20"/>
          <w:color w:val="auto"/>
        </w:rPr>
        <w:tab/>
      </w:r>
      <w:r>
        <w:rPr>
          <w:rFonts w:ascii="Arial" w:cs="Arial" w:eastAsia="Arial" w:hAnsi="Arial"/>
          <w:sz w:val="16"/>
          <w:szCs w:val="16"/>
          <w:i w:val="1"/>
          <w:iCs w:val="1"/>
          <w:color w:val="auto"/>
        </w:rPr>
        <w:t>Withdrawal From The Plan.</w:t>
      </w:r>
    </w:p>
    <w:p>
      <w:pPr>
        <w:spacing w:after="0" w:line="225" w:lineRule="exact"/>
        <w:rPr>
          <w:sz w:val="20"/>
          <w:szCs w:val="20"/>
          <w:color w:val="auto"/>
        </w:rPr>
      </w:pPr>
    </w:p>
    <w:p>
      <w:pPr>
        <w:jc w:val="both"/>
        <w:ind w:firstLine="647"/>
        <w:spacing w:after="0" w:line="294" w:lineRule="auto"/>
        <w:tabs>
          <w:tab w:leader="none" w:pos="1245"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Withdrawal</w:t>
      </w:r>
      <w:r>
        <w:rPr>
          <w:rFonts w:ascii="Arial" w:cs="Arial" w:eastAsia="Arial" w:hAnsi="Arial"/>
          <w:sz w:val="16"/>
          <w:szCs w:val="16"/>
          <w:color w:val="auto"/>
        </w:rPr>
        <w:t>. A Participant may elect to withdraw from the Plan by filing the prescribed form with the Company at the prescribed location. Such</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69" w:lineRule="exact"/>
        <w:rPr>
          <w:rFonts w:ascii="Arial" w:cs="Arial" w:eastAsia="Arial" w:hAnsi="Arial"/>
          <w:sz w:val="16"/>
          <w:szCs w:val="16"/>
          <w:color w:val="auto"/>
        </w:rPr>
      </w:pPr>
    </w:p>
    <w:p>
      <w:pPr>
        <w:ind w:firstLine="623"/>
        <w:spacing w:after="0" w:line="268" w:lineRule="auto"/>
        <w:tabs>
          <w:tab w:leader="none" w:pos="121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Re-enrollment After Withdrawal</w:t>
      </w:r>
      <w:r>
        <w:rPr>
          <w:rFonts w:ascii="Arial" w:cs="Arial" w:eastAsia="Arial" w:hAnsi="Arial"/>
          <w:sz w:val="18"/>
          <w:szCs w:val="18"/>
          <w:color w:val="auto"/>
        </w:rPr>
        <w:t>. A former Participant who has withdrawn from the Plan shall not be a Participant until he or she re-enrolls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under Section 4(b). Re-enrollment may be effective only at the commencement of an Offering Period.</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7</w:t>
      </w:r>
      <w:r>
        <w:rPr>
          <w:sz w:val="20"/>
          <w:szCs w:val="20"/>
          <w:color w:val="auto"/>
        </w:rPr>
        <w:tab/>
      </w:r>
      <w:r>
        <w:rPr>
          <w:rFonts w:ascii="Arial" w:cs="Arial" w:eastAsia="Arial" w:hAnsi="Arial"/>
          <w:sz w:val="15"/>
          <w:szCs w:val="15"/>
          <w:i w:val="1"/>
          <w:iCs w:val="1"/>
          <w:color w:val="auto"/>
        </w:rPr>
        <w:t>Change In Employment Status</w:t>
      </w:r>
      <w:r>
        <w:rPr>
          <w:rFonts w:ascii="Arial" w:cs="Arial" w:eastAsia="Arial" w:hAnsi="Arial"/>
          <w:sz w:val="15"/>
          <w:szCs w:val="15"/>
          <w:color w:val="auto"/>
        </w:rPr>
        <w:t>.</w:t>
      </w:r>
    </w:p>
    <w:p>
      <w:pPr>
        <w:spacing w:after="0" w:line="225" w:lineRule="exact"/>
        <w:rPr>
          <w:sz w:val="20"/>
          <w:szCs w:val="20"/>
          <w:color w:val="auto"/>
        </w:rPr>
      </w:pPr>
    </w:p>
    <w:p>
      <w:pPr>
        <w:jc w:val="both"/>
        <w:ind w:firstLine="844"/>
        <w:spacing w:after="0" w:line="259" w:lineRule="auto"/>
        <w:tabs>
          <w:tab w:leader="none" w:pos="1569" w:val="left"/>
        </w:tabs>
        <w:numPr>
          <w:ilvl w:val="2"/>
          <w:numId w:val="38"/>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Termination of employment as an Eligible Employee for any reason, including death, shall be treated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withdrawal from the Plan under Section 6(a). A transfer from one Participating Company to another shall not be treated as a termination of employment.</w:t>
      </w:r>
    </w:p>
    <w:p>
      <w:pPr>
        <w:spacing w:after="0" w:line="194" w:lineRule="exact"/>
        <w:rPr>
          <w:rFonts w:ascii="Arial" w:cs="Arial" w:eastAsia="Arial" w:hAnsi="Arial"/>
          <w:sz w:val="18"/>
          <w:szCs w:val="18"/>
          <w:color w:val="auto"/>
        </w:rPr>
      </w:pPr>
    </w:p>
    <w:p>
      <w:pPr>
        <w:jc w:val="both"/>
        <w:ind w:firstLine="672"/>
        <w:spacing w:after="0" w:line="298"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Leave of Absence</w:t>
      </w:r>
      <w:r>
        <w:rPr>
          <w:rFonts w:ascii="Arial" w:cs="Arial" w:eastAsia="Arial" w:hAnsi="Arial"/>
          <w:sz w:val="16"/>
          <w:szCs w:val="16"/>
          <w:color w:val="auto"/>
        </w:rPr>
        <w:t>. For purposes of the Plan, employment shall not be deemed to terminate when the Participant goes on a military leave, a sick</w:t>
      </w:r>
      <w:r>
        <w:rPr>
          <w:rFonts w:ascii="Arial" w:cs="Arial" w:eastAsia="Arial" w:hAnsi="Arial"/>
          <w:sz w:val="16"/>
          <w:szCs w:val="16"/>
          <w:i w:val="1"/>
          <w:iCs w:val="1"/>
          <w:color w:val="auto"/>
        </w:rPr>
        <w:t xml:space="preserve"> </w:t>
      </w:r>
      <w:r>
        <w:rPr>
          <w:rFonts w:ascii="Arial" w:cs="Arial" w:eastAsia="Arial" w:hAnsi="Arial"/>
          <w:sz w:val="16"/>
          <w:szCs w:val="16"/>
          <w:color w:val="auto"/>
        </w:rPr>
        <w:t>leave or another bona fide leave of absence, if the leave was approved by the Company in writing. Employment, however, shall be deemed to terminate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66" w:lineRule="exact"/>
        <w:rPr>
          <w:rFonts w:ascii="Arial" w:cs="Arial" w:eastAsia="Arial" w:hAnsi="Arial"/>
          <w:sz w:val="16"/>
          <w:szCs w:val="16"/>
          <w:color w:val="auto"/>
        </w:rPr>
      </w:pPr>
    </w:p>
    <w:p>
      <w:pPr>
        <w:ind w:left="1260" w:hanging="637"/>
        <w:spacing w:after="0"/>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In the event of the Participant's death, the amount credited to his or her Plan Account shall be paid to the Participant's estate.</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8</w:t>
      </w:r>
      <w:r>
        <w:rPr>
          <w:sz w:val="20"/>
          <w:szCs w:val="20"/>
          <w:color w:val="auto"/>
        </w:rPr>
        <w:tab/>
      </w:r>
      <w:r>
        <w:rPr>
          <w:rFonts w:ascii="Arial" w:cs="Arial" w:eastAsia="Arial" w:hAnsi="Arial"/>
          <w:sz w:val="15"/>
          <w:szCs w:val="15"/>
          <w:i w:val="1"/>
          <w:iCs w:val="1"/>
          <w:color w:val="auto"/>
        </w:rPr>
        <w:t>Plan Accounts and Purchase Of Shares</w:t>
      </w:r>
      <w:r>
        <w:rPr>
          <w:rFonts w:ascii="Arial" w:cs="Arial" w:eastAsia="Arial" w:hAnsi="Arial"/>
          <w:sz w:val="15"/>
          <w:szCs w:val="15"/>
          <w:color w:val="auto"/>
        </w:rPr>
        <w:t>.</w:t>
      </w:r>
    </w:p>
    <w:p>
      <w:pPr>
        <w:spacing w:after="0" w:line="225" w:lineRule="exact"/>
        <w:rPr>
          <w:sz w:val="20"/>
          <w:szCs w:val="20"/>
          <w:color w:val="auto"/>
        </w:rPr>
      </w:pPr>
    </w:p>
    <w:p>
      <w:pPr>
        <w:jc w:val="both"/>
        <w:ind w:firstLine="623"/>
        <w:spacing w:after="0" w:line="335" w:lineRule="auto"/>
        <w:tabs>
          <w:tab w:leader="none" w:pos="1204"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Plan Accounts</w:t>
      </w:r>
      <w:r>
        <w:rPr>
          <w:rFonts w:ascii="Arial" w:cs="Arial" w:eastAsia="Arial" w:hAnsi="Arial"/>
          <w:sz w:val="15"/>
          <w:szCs w:val="15"/>
          <w:color w:val="auto"/>
        </w:rPr>
        <w:t>. The Company shall maintain a Plan Account on its books in the name of each Participant. Whenever an amount is deducted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42" w:lineRule="exact"/>
        <w:rPr>
          <w:rFonts w:ascii="Arial" w:cs="Arial" w:eastAsia="Arial" w:hAnsi="Arial"/>
          <w:sz w:val="15"/>
          <w:szCs w:val="15"/>
          <w:color w:val="auto"/>
        </w:rPr>
      </w:pPr>
    </w:p>
    <w:p>
      <w:pPr>
        <w:ind w:left="1220" w:hanging="597"/>
        <w:spacing w:after="0"/>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Purchase Price</w:t>
      </w:r>
      <w:r>
        <w:rPr>
          <w:rFonts w:ascii="Arial" w:cs="Arial" w:eastAsia="Arial" w:hAnsi="Arial"/>
          <w:sz w:val="16"/>
          <w:szCs w:val="16"/>
          <w:color w:val="auto"/>
        </w:rPr>
        <w:t>. The Purchase Price for each share of Stock purchased during an Offering Period shall not be less than the lesser of:</w:t>
      </w:r>
    </w:p>
    <w:p>
      <w:pPr>
        <w:spacing w:after="0" w:line="248" w:lineRule="exact"/>
        <w:rPr>
          <w:sz w:val="20"/>
          <w:szCs w:val="20"/>
          <w:color w:val="auto"/>
        </w:rPr>
      </w:pPr>
    </w:p>
    <w:p>
      <w:pPr>
        <w:ind w:left="5580" w:right="4280" w:hanging="3877"/>
        <w:spacing w:after="0" w:line="519" w:lineRule="auto"/>
        <w:tabs>
          <w:tab w:leader="none" w:pos="23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85% of the Fair Market Value of such share on the Purchase Date; or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left="2320" w:hanging="617"/>
        <w:spacing w:after="0"/>
        <w:tabs>
          <w:tab w:leader="none" w:pos="2320" w:val="left"/>
        </w:tabs>
        <w:numPr>
          <w:ilvl w:val="4"/>
          <w:numId w:val="43"/>
        </w:numPr>
        <w:rPr>
          <w:rFonts w:ascii="Arial" w:cs="Arial" w:eastAsia="Arial" w:hAnsi="Arial"/>
          <w:sz w:val="18"/>
          <w:szCs w:val="18"/>
          <w:color w:val="auto"/>
        </w:rPr>
      </w:pPr>
      <w:r>
        <w:rPr>
          <w:rFonts w:ascii="Arial" w:cs="Arial" w:eastAsia="Arial" w:hAnsi="Arial"/>
          <w:sz w:val="18"/>
          <w:szCs w:val="18"/>
          <w:color w:val="auto"/>
        </w:rPr>
        <w:t>85% of the Fair Market Value of such share on the Offering Date.</w:t>
      </w:r>
    </w:p>
    <w:p>
      <w:pPr>
        <w:spacing w:after="0" w:line="225" w:lineRule="exact"/>
        <w:rPr>
          <w:rFonts w:ascii="Arial" w:cs="Arial" w:eastAsia="Arial" w:hAnsi="Arial"/>
          <w:sz w:val="18"/>
          <w:szCs w:val="18"/>
          <w:color w:val="auto"/>
        </w:rPr>
      </w:pPr>
    </w:p>
    <w:p>
      <w:pPr>
        <w:jc w:val="both"/>
        <w:ind w:firstLine="678"/>
        <w:spacing w:after="0" w:line="290" w:lineRule="auto"/>
        <w:tabs>
          <w:tab w:leader="none" w:pos="1343"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Number of Shares Purchased</w:t>
      </w:r>
      <w:r>
        <w:rPr>
          <w:rFonts w:ascii="Arial" w:cs="Arial" w:eastAsia="Arial" w:hAnsi="Arial"/>
          <w:sz w:val="16"/>
          <w:szCs w:val="16"/>
          <w:color w:val="auto"/>
        </w:rPr>
        <w:t>. As of each Purchase Date, each Participant shall be deemed to have elected to purchase the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72" w:lineRule="exact"/>
        <w:rPr>
          <w:rFonts w:ascii="Arial" w:cs="Arial" w:eastAsia="Arial" w:hAnsi="Arial"/>
          <w:sz w:val="16"/>
          <w:szCs w:val="16"/>
          <w:color w:val="auto"/>
        </w:rPr>
      </w:pPr>
    </w:p>
    <w:p>
      <w:pPr>
        <w:jc w:val="both"/>
        <w:ind w:firstLine="697"/>
        <w:spacing w:after="0" w:line="255" w:lineRule="auto"/>
        <w:tabs>
          <w:tab w:leader="none" w:pos="1336"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Available Shares Insufficient</w:t>
      </w:r>
      <w:r>
        <w:rPr>
          <w:rFonts w:ascii="Arial" w:cs="Arial" w:eastAsia="Arial" w:hAnsi="Arial"/>
          <w:sz w:val="18"/>
          <w:szCs w:val="18"/>
          <w:color w:val="auto"/>
        </w:rPr>
        <w:t>. In the event that the aggregate number of shares that all Participants elect to purchase during an Offering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96" w:lineRule="exact"/>
        <w:rPr>
          <w:rFonts w:ascii="Arial" w:cs="Arial" w:eastAsia="Arial" w:hAnsi="Arial"/>
          <w:sz w:val="18"/>
          <w:szCs w:val="18"/>
          <w:color w:val="auto"/>
        </w:rPr>
      </w:pPr>
    </w:p>
    <w:p>
      <w:pPr>
        <w:jc w:val="both"/>
        <w:ind w:firstLine="639"/>
        <w:spacing w:after="0" w:line="298" w:lineRule="auto"/>
        <w:tabs>
          <w:tab w:leader="none" w:pos="1231"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Issuance of Stock</w:t>
      </w:r>
      <w:r>
        <w:rPr>
          <w:rFonts w:ascii="Arial" w:cs="Arial" w:eastAsia="Arial" w:hAnsi="Arial"/>
          <w:sz w:val="16"/>
          <w:szCs w:val="16"/>
          <w:color w:val="auto"/>
        </w:rPr>
        <w:t>. Certificates representing the shares of Stock purchased by a Participant under the Plan shall be issued to him or her as soon as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practicable after the applicable Purchase Date, except that the Committee may determine that such shares shall be held for each Participant's benefit by a broker designated by the Committee (unless the Participant has elected that certificates be issued to him or her). Shares may be registered in the name of the Participant or jointly in the name of the Participant and his or her spouse as joint tenants with right of survivorship or as community property.</w:t>
      </w:r>
    </w:p>
    <w:p>
      <w:pPr>
        <w:spacing w:after="0" w:line="166" w:lineRule="exact"/>
        <w:rPr>
          <w:rFonts w:ascii="Arial" w:cs="Arial" w:eastAsia="Arial" w:hAnsi="Arial"/>
          <w:sz w:val="16"/>
          <w:szCs w:val="16"/>
          <w:color w:val="auto"/>
        </w:rPr>
      </w:pPr>
    </w:p>
    <w:p>
      <w:pPr>
        <w:jc w:val="both"/>
        <w:ind w:firstLine="662"/>
        <w:spacing w:after="0" w:line="298" w:lineRule="auto"/>
        <w:tabs>
          <w:tab w:leader="none" w:pos="129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Unused Cash Balances</w:t>
      </w:r>
      <w:r>
        <w:rPr>
          <w:rFonts w:ascii="Arial" w:cs="Arial" w:eastAsia="Arial" w:hAnsi="Arial"/>
          <w:sz w:val="16"/>
          <w:szCs w:val="16"/>
          <w:color w:val="auto"/>
        </w:rPr>
        <w:t>. An amount remaining in the Participant's Plan Account that represents the Purchase Price for any fractional share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carried over in the Participant's Plan Account to the next Offering Period or refunded to the Participant in cash,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166" w:lineRule="exact"/>
        <w:rPr>
          <w:rFonts w:ascii="Arial" w:cs="Arial" w:eastAsia="Arial" w:hAnsi="Arial"/>
          <w:sz w:val="16"/>
          <w:szCs w:val="16"/>
          <w:color w:val="auto"/>
        </w:rPr>
      </w:pPr>
    </w:p>
    <w:p>
      <w:pPr>
        <w:jc w:val="both"/>
        <w:ind w:firstLine="713"/>
        <w:spacing w:after="0" w:line="259" w:lineRule="auto"/>
        <w:tabs>
          <w:tab w:leader="none" w:pos="1363" w:val="left"/>
        </w:tabs>
        <w:numPr>
          <w:ilvl w:val="3"/>
          <w:numId w:val="45"/>
        </w:numPr>
        <w:rPr>
          <w:rFonts w:ascii="Arial" w:cs="Arial" w:eastAsia="Arial" w:hAnsi="Arial"/>
          <w:sz w:val="18"/>
          <w:szCs w:val="18"/>
          <w:color w:val="auto"/>
        </w:rPr>
      </w:pPr>
      <w:r>
        <w:rPr>
          <w:rFonts w:ascii="Arial" w:cs="Arial" w:eastAsia="Arial" w:hAnsi="Arial"/>
          <w:sz w:val="18"/>
          <w:szCs w:val="18"/>
          <w:i w:val="1"/>
          <w:iCs w:val="1"/>
          <w:color w:val="auto"/>
        </w:rPr>
        <w:t>Stockholder Approval</w:t>
      </w:r>
      <w:r>
        <w:rPr>
          <w:rFonts w:ascii="Arial" w:cs="Arial" w:eastAsia="Arial" w:hAnsi="Arial"/>
          <w:sz w:val="18"/>
          <w:szCs w:val="18"/>
          <w:color w:val="auto"/>
        </w:rPr>
        <w:t>. The Plan shall be submitted to the stockholders of the Company for their approval within twelve (12) months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Plan is adopted by the Board. Any other provision of the Plan notwithstanding, no shares of Stock shall be purchased under the Plan unless and until the Company's stockholders have approved the adoption of the Plan.</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i w:val="1"/>
          <w:iCs w:val="1"/>
          <w:color w:val="auto"/>
        </w:rPr>
        <w:t>SECTION 9</w:t>
      </w:r>
      <w:r>
        <w:rPr>
          <w:sz w:val="20"/>
          <w:szCs w:val="20"/>
          <w:color w:val="auto"/>
        </w:rPr>
        <w:tab/>
      </w:r>
      <w:r>
        <w:rPr>
          <w:rFonts w:ascii="Arial" w:cs="Arial" w:eastAsia="Arial" w:hAnsi="Arial"/>
          <w:sz w:val="16"/>
          <w:szCs w:val="16"/>
          <w:i w:val="1"/>
          <w:iCs w:val="1"/>
          <w:color w:val="auto"/>
        </w:rPr>
        <w:t>Limitations On Stock Ownership.</w:t>
      </w:r>
    </w:p>
    <w:p>
      <w:pPr>
        <w:spacing w:after="0" w:line="225" w:lineRule="exact"/>
        <w:rPr>
          <w:sz w:val="20"/>
          <w:szCs w:val="20"/>
          <w:color w:val="auto"/>
        </w:rPr>
      </w:pPr>
    </w:p>
    <w:p>
      <w:pPr>
        <w:jc w:val="both"/>
        <w:ind w:firstLine="680"/>
        <w:spacing w:after="0" w:line="306" w:lineRule="auto"/>
        <w:tabs>
          <w:tab w:leader="none" w:pos="1299"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Five Percent Limit</w:t>
      </w:r>
      <w:r>
        <w:rPr>
          <w:rFonts w:ascii="Arial" w:cs="Arial" w:eastAsia="Arial" w:hAnsi="Arial"/>
          <w:sz w:val="16"/>
          <w:szCs w:val="16"/>
          <w:color w:val="auto"/>
        </w:rPr>
        <w:t>. Any other provision of the Plan notwithstanding, no Participant shall be granted a right to purchase Stock under the Plan if</w:t>
      </w:r>
      <w:r>
        <w:rPr>
          <w:rFonts w:ascii="Arial" w:cs="Arial" w:eastAsia="Arial" w:hAnsi="Arial"/>
          <w:sz w:val="16"/>
          <w:szCs w:val="16"/>
          <w:i w:val="1"/>
          <w:iCs w:val="1"/>
          <w:color w:val="auto"/>
        </w:rPr>
        <w:t xml:space="preserve"> </w:t>
      </w:r>
      <w:r>
        <w:rPr>
          <w:rFonts w:ascii="Arial" w:cs="Arial" w:eastAsia="Arial" w:hAnsi="Arial"/>
          <w:sz w:val="16"/>
          <w:szCs w:val="16"/>
          <w:color w:val="auto"/>
        </w:rPr>
        <w:t>such Participant, immediately after his or her election to purchase such Stock, would own stock possessing 5% or more of the total combined voting power or value of all classes of stock of the Company or any parent or Subsidiary of the Company. For purposes of this Subsection (a), the following rules shall apply:</w:t>
      </w:r>
    </w:p>
    <w:p>
      <w:pPr>
        <w:spacing w:after="0" w:line="160" w:lineRule="exact"/>
        <w:rPr>
          <w:rFonts w:ascii="Arial" w:cs="Arial" w:eastAsia="Arial" w:hAnsi="Arial"/>
          <w:sz w:val="16"/>
          <w:szCs w:val="16"/>
          <w:color w:val="auto"/>
        </w:rPr>
      </w:pPr>
    </w:p>
    <w:p>
      <w:pPr>
        <w:ind w:left="2300" w:hanging="597"/>
        <w:spacing w:after="0"/>
        <w:tabs>
          <w:tab w:leader="none" w:pos="2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Ownership of stock shall be determined after applying the attribution rules of section 424(d) of the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left="2420" w:hanging="654"/>
        <w:spacing w:after="0"/>
        <w:tabs>
          <w:tab w:leader="none" w:pos="24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Participant shall be deemed to own any stock that he or she has a right or option to purchase under this or any other plan;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1080" w:firstLine="803"/>
        <w:spacing w:after="0" w:line="332" w:lineRule="auto"/>
        <w:tabs>
          <w:tab w:leader="none" w:pos="25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Participant shall be deemed to have the right to purchase up to the maximum number of shares of Stock that may be purchased by a Participant under this Plan under the individual limit specified pursuant to Section 8(c) with respect to each Offering Period.</w:t>
      </w:r>
    </w:p>
    <w:p>
      <w:pPr>
        <w:spacing w:after="0" w:line="139" w:lineRule="exact"/>
        <w:rPr>
          <w:rFonts w:ascii="Arial" w:cs="Arial" w:eastAsia="Arial" w:hAnsi="Arial"/>
          <w:sz w:val="16"/>
          <w:szCs w:val="16"/>
          <w:color w:val="auto"/>
        </w:rPr>
      </w:pPr>
    </w:p>
    <w:p>
      <w:pPr>
        <w:jc w:val="both"/>
        <w:ind w:firstLine="705"/>
        <w:spacing w:after="0" w:line="256" w:lineRule="auto"/>
        <w:tabs>
          <w:tab w:leader="none" w:pos="1349"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Dollar Limit</w:t>
      </w:r>
      <w:r>
        <w:rPr>
          <w:rFonts w:ascii="Arial" w:cs="Arial" w:eastAsia="Arial" w:hAnsi="Arial"/>
          <w:sz w:val="18"/>
          <w:szCs w:val="18"/>
          <w:color w:val="auto"/>
        </w:rPr>
        <w:t>. Any other provision of the Plan notwithstanding, no Participant shall accrue the right to purchase Stock at a rate which exceeds</w:t>
      </w:r>
      <w:r>
        <w:rPr>
          <w:rFonts w:ascii="Arial" w:cs="Arial" w:eastAsia="Arial" w:hAnsi="Arial"/>
          <w:sz w:val="18"/>
          <w:szCs w:val="18"/>
          <w:i w:val="1"/>
          <w:iCs w:val="1"/>
          <w:color w:val="auto"/>
        </w:rPr>
        <w:t xml:space="preserve"> </w:t>
      </w:r>
      <w:r>
        <w:rPr>
          <w:rFonts w:ascii="Arial" w:cs="Arial" w:eastAsia="Arial" w:hAnsi="Arial"/>
          <w:sz w:val="18"/>
          <w:szCs w:val="18"/>
          <w:color w:val="auto"/>
        </w:rPr>
        <w:t>$25,000 of Fair Market Value of such Stock per calendar year (under this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97" w:lineRule="exact"/>
        <w:rPr>
          <w:sz w:val="20"/>
          <w:szCs w:val="20"/>
          <w:color w:val="auto"/>
        </w:rPr>
      </w:pPr>
    </w:p>
    <w:p>
      <w:pPr>
        <w:jc w:val="both"/>
        <w:ind w:firstLine="633"/>
        <w:spacing w:after="0" w:line="298" w:lineRule="auto"/>
        <w:rPr>
          <w:sz w:val="20"/>
          <w:szCs w:val="20"/>
          <w:color w:val="auto"/>
        </w:rPr>
      </w:pPr>
      <w:r>
        <w:rPr>
          <w:rFonts w:ascii="Arial" w:cs="Arial" w:eastAsia="Arial" w:hAnsi="Arial"/>
          <w:sz w:val="16"/>
          <w:szCs w:val="16"/>
          <w:color w:val="auto"/>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i w:val="1"/>
          <w:iCs w:val="1"/>
          <w:color w:val="auto"/>
        </w:rPr>
        <w:t>SECTION 10</w:t>
      </w:r>
      <w:r>
        <w:rPr>
          <w:sz w:val="20"/>
          <w:szCs w:val="20"/>
          <w:color w:val="auto"/>
        </w:rPr>
        <w:tab/>
      </w:r>
      <w:r>
        <w:rPr>
          <w:rFonts w:ascii="Arial" w:cs="Arial" w:eastAsia="Arial" w:hAnsi="Arial"/>
          <w:sz w:val="15"/>
          <w:szCs w:val="15"/>
          <w:i w:val="1"/>
          <w:iCs w:val="1"/>
          <w:color w:val="auto"/>
        </w:rPr>
        <w:t>Rights Not Transferable.</w:t>
      </w:r>
    </w:p>
    <w:p>
      <w:pPr>
        <w:spacing w:after="0" w:line="225"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16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i w:val="1"/>
          <w:iCs w:val="1"/>
          <w:color w:val="auto"/>
        </w:rPr>
        <w:t>SECTION 11</w:t>
      </w:r>
      <w:r>
        <w:rPr>
          <w:sz w:val="20"/>
          <w:szCs w:val="20"/>
          <w:color w:val="auto"/>
        </w:rPr>
        <w:tab/>
      </w:r>
      <w:r>
        <w:rPr>
          <w:rFonts w:ascii="Arial" w:cs="Arial" w:eastAsia="Arial" w:hAnsi="Arial"/>
          <w:sz w:val="15"/>
          <w:szCs w:val="15"/>
          <w:i w:val="1"/>
          <w:iCs w:val="1"/>
          <w:color w:val="auto"/>
        </w:rPr>
        <w:t>No Rights As An Employee</w:t>
      </w:r>
    </w:p>
    <w:p>
      <w:pPr>
        <w:spacing w:after="0" w:line="225" w:lineRule="exact"/>
        <w:rPr>
          <w:sz w:val="20"/>
          <w:szCs w:val="20"/>
          <w:color w:val="auto"/>
        </w:rPr>
      </w:pPr>
    </w:p>
    <w:p>
      <w:pPr>
        <w:jc w:val="both"/>
        <w:ind w:firstLine="846"/>
        <w:spacing w:after="0" w:line="306"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i w:val="1"/>
          <w:iCs w:val="1"/>
          <w:color w:val="auto"/>
        </w:rPr>
        <w:t>SECTION 12</w:t>
      </w:r>
      <w:r>
        <w:rPr>
          <w:sz w:val="20"/>
          <w:szCs w:val="20"/>
          <w:color w:val="auto"/>
        </w:rPr>
        <w:tab/>
      </w:r>
      <w:r>
        <w:rPr>
          <w:rFonts w:ascii="Arial" w:cs="Arial" w:eastAsia="Arial" w:hAnsi="Arial"/>
          <w:sz w:val="15"/>
          <w:szCs w:val="15"/>
          <w:i w:val="1"/>
          <w:iCs w:val="1"/>
          <w:color w:val="auto"/>
        </w:rPr>
        <w:t>No Rights As A Stockholder.</w:t>
      </w:r>
    </w:p>
    <w:p>
      <w:pPr>
        <w:spacing w:after="0" w:line="225" w:lineRule="exact"/>
        <w:rPr>
          <w:sz w:val="20"/>
          <w:szCs w:val="20"/>
          <w:color w:val="auto"/>
        </w:rPr>
      </w:pPr>
    </w:p>
    <w:p>
      <w:pPr>
        <w:jc w:val="both"/>
        <w:ind w:firstLine="706"/>
        <w:spacing w:after="0" w:line="268" w:lineRule="auto"/>
        <w:rPr>
          <w:sz w:val="20"/>
          <w:szCs w:val="20"/>
          <w:color w:val="auto"/>
        </w:rPr>
      </w:pPr>
      <w:r>
        <w:rPr>
          <w:rFonts w:ascii="Arial" w:cs="Arial" w:eastAsia="Arial" w:hAnsi="Arial"/>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8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i w:val="1"/>
          <w:iCs w:val="1"/>
          <w:color w:val="auto"/>
        </w:rPr>
        <w:t>SECTION 13</w:t>
      </w:r>
      <w:r>
        <w:rPr>
          <w:sz w:val="20"/>
          <w:szCs w:val="20"/>
          <w:color w:val="auto"/>
        </w:rPr>
        <w:tab/>
      </w:r>
      <w:r>
        <w:rPr>
          <w:rFonts w:ascii="Arial" w:cs="Arial" w:eastAsia="Arial" w:hAnsi="Arial"/>
          <w:sz w:val="15"/>
          <w:szCs w:val="15"/>
          <w:i w:val="1"/>
          <w:iCs w:val="1"/>
          <w:color w:val="auto"/>
        </w:rPr>
        <w:t>Securities Law Requirements.</w:t>
      </w:r>
    </w:p>
    <w:p>
      <w:pPr>
        <w:spacing w:after="0" w:line="225" w:lineRule="exact"/>
        <w:rPr>
          <w:sz w:val="20"/>
          <w:szCs w:val="20"/>
          <w:color w:val="auto"/>
        </w:rPr>
      </w:pPr>
    </w:p>
    <w:p>
      <w:pPr>
        <w:jc w:val="both"/>
        <w:ind w:firstLine="808"/>
        <w:spacing w:after="0" w:line="306" w:lineRule="auto"/>
        <w:rPr>
          <w:sz w:val="20"/>
          <w:szCs w:val="20"/>
          <w:color w:val="auto"/>
        </w:rPr>
      </w:pPr>
      <w:r>
        <w:rPr>
          <w:rFonts w:ascii="Arial" w:cs="Arial" w:eastAsia="Arial" w:hAnsi="Arial"/>
          <w:sz w:val="16"/>
          <w:szCs w:val="16"/>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tabs>
          <w:tab w:leader="none" w:pos="1100" w:val="left"/>
        </w:tabs>
        <w:rPr>
          <w:sz w:val="20"/>
          <w:szCs w:val="20"/>
          <w:color w:val="auto"/>
        </w:rPr>
      </w:pPr>
      <w:r>
        <w:rPr>
          <w:rFonts w:ascii="Arial" w:cs="Arial" w:eastAsia="Arial" w:hAnsi="Arial"/>
          <w:sz w:val="18"/>
          <w:szCs w:val="18"/>
          <w:i w:val="1"/>
          <w:iCs w:val="1"/>
          <w:color w:val="auto"/>
        </w:rPr>
        <w:t>SECTION 14</w:t>
      </w:r>
      <w:r>
        <w:rPr>
          <w:sz w:val="20"/>
          <w:szCs w:val="20"/>
          <w:color w:val="auto"/>
        </w:rPr>
        <w:tab/>
      </w:r>
      <w:r>
        <w:rPr>
          <w:rFonts w:ascii="Arial" w:cs="Arial" w:eastAsia="Arial" w:hAnsi="Arial"/>
          <w:sz w:val="15"/>
          <w:szCs w:val="15"/>
          <w:i w:val="1"/>
          <w:iCs w:val="1"/>
          <w:color w:val="auto"/>
        </w:rPr>
        <w:t>Stock Offered Under The Plan.</w:t>
      </w:r>
    </w:p>
    <w:p>
      <w:pPr>
        <w:spacing w:after="0" w:line="225" w:lineRule="exact"/>
        <w:rPr>
          <w:sz w:val="20"/>
          <w:szCs w:val="20"/>
          <w:color w:val="auto"/>
        </w:rPr>
      </w:pPr>
    </w:p>
    <w:p>
      <w:pPr>
        <w:ind w:firstLine="680"/>
        <w:spacing w:after="0" w:line="332" w:lineRule="auto"/>
        <w:tabs>
          <w:tab w:leader="none" w:pos="1299"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maximum aggregate number of shares of Stock available for purchase under the Plan is 750,000 shares.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available for purchase under the Plan shall at all times be subject to adjustment pursuant to Section 14.</w:t>
      </w:r>
    </w:p>
    <w:p>
      <w:pPr>
        <w:spacing w:after="0" w:line="139" w:lineRule="exact"/>
        <w:rPr>
          <w:rFonts w:ascii="Arial" w:cs="Arial" w:eastAsia="Arial" w:hAnsi="Arial"/>
          <w:sz w:val="16"/>
          <w:szCs w:val="16"/>
          <w:color w:val="auto"/>
        </w:rPr>
      </w:pPr>
    </w:p>
    <w:p>
      <w:pPr>
        <w:jc w:val="both"/>
        <w:ind w:firstLine="812"/>
        <w:spacing w:after="0" w:line="291" w:lineRule="auto"/>
        <w:tabs>
          <w:tab w:leader="none" w:pos="1525" w:val="left"/>
        </w:tabs>
        <w:numPr>
          <w:ilvl w:val="2"/>
          <w:numId w:val="50"/>
        </w:numPr>
        <w:rPr>
          <w:rFonts w:ascii="Arial" w:cs="Arial" w:eastAsia="Arial" w:hAnsi="Arial"/>
          <w:sz w:val="16"/>
          <w:szCs w:val="16"/>
          <w:color w:val="auto"/>
        </w:rPr>
      </w:pPr>
      <w:r>
        <w:rPr>
          <w:rFonts w:ascii="Arial" w:cs="Arial" w:eastAsia="Arial" w:hAnsi="Arial"/>
          <w:sz w:val="16"/>
          <w:szCs w:val="16"/>
          <w:i w:val="1"/>
          <w:iCs w:val="1"/>
          <w:color w:val="auto"/>
        </w:rPr>
        <w:t>Antidilution Adjustments</w:t>
      </w:r>
      <w:r>
        <w:rPr>
          <w:rFonts w:ascii="Arial" w:cs="Arial" w:eastAsia="Arial" w:hAnsi="Arial"/>
          <w:sz w:val="16"/>
          <w:szCs w:val="16"/>
          <w:color w:val="auto"/>
        </w:rPr>
        <w:t>. The aggregate number of shares of Stock offered under the Plan, the individual and aggregate Participant share</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limitations described in Section 8(c) and the price of shares that any Participant has elected to purchase shall be adjusted proportionately by the Committee in the event of any change in the number of issued shares of Stock (or issuance of shares other than Common Stock)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74" w:lineRule="exact"/>
        <w:rPr>
          <w:rFonts w:ascii="Arial" w:cs="Arial" w:eastAsia="Arial" w:hAnsi="Arial"/>
          <w:sz w:val="16"/>
          <w:szCs w:val="16"/>
          <w:color w:val="auto"/>
        </w:rPr>
      </w:pPr>
    </w:p>
    <w:p>
      <w:pPr>
        <w:jc w:val="both"/>
        <w:ind w:firstLine="709"/>
        <w:spacing w:after="0" w:line="256" w:lineRule="auto"/>
        <w:tabs>
          <w:tab w:leader="none" w:pos="1397"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Reorganizations</w:t>
      </w:r>
      <w:r>
        <w:rPr>
          <w:rFonts w:ascii="Arial" w:cs="Arial" w:eastAsia="Arial" w:hAnsi="Arial"/>
          <w:sz w:val="18"/>
          <w:szCs w:val="18"/>
          <w:color w:val="auto"/>
        </w:rPr>
        <w:t>. Any other provision of the Plan notwithstanding, immediately prior to the effective time of a Corporate Reorganization,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 then in progress shall terminate and shares shall be purchased pursuant to Section 8, unless the Plan is assumed by the surviving corporation or its parent corporation pursuant to the plan of merger or consolidation. The Plan shall in no event be construed to restrict in any way the Company's right to undertake a dissolution, liquidation, merger, consolidation or other reorganization.</w:t>
      </w:r>
    </w:p>
    <w:p>
      <w:pPr>
        <w:spacing w:after="0" w:line="1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i w:val="1"/>
          <w:iCs w:val="1"/>
          <w:color w:val="auto"/>
        </w:rPr>
        <w:t>SECTION 15</w:t>
      </w:r>
      <w:r>
        <w:rPr>
          <w:sz w:val="20"/>
          <w:szCs w:val="20"/>
          <w:color w:val="auto"/>
        </w:rPr>
        <w:tab/>
      </w:r>
      <w:r>
        <w:rPr>
          <w:rFonts w:ascii="Arial" w:cs="Arial" w:eastAsia="Arial" w:hAnsi="Arial"/>
          <w:sz w:val="15"/>
          <w:szCs w:val="15"/>
          <w:i w:val="1"/>
          <w:iCs w:val="1"/>
          <w:color w:val="auto"/>
        </w:rPr>
        <w:t>Amendment Or Discontinuance.</w:t>
      </w:r>
    </w:p>
    <w:p>
      <w:pPr>
        <w:spacing w:after="0" w:line="225" w:lineRule="exact"/>
        <w:rPr>
          <w:sz w:val="20"/>
          <w:szCs w:val="20"/>
          <w:color w:val="auto"/>
        </w:rPr>
      </w:pPr>
    </w:p>
    <w:p>
      <w:pPr>
        <w:jc w:val="both"/>
        <w:ind w:firstLine="687"/>
        <w:spacing w:after="0" w:line="289" w:lineRule="auto"/>
        <w:rPr>
          <w:sz w:val="20"/>
          <w:szCs w:val="20"/>
          <w:color w:val="auto"/>
        </w:rPr>
      </w:pPr>
      <w:r>
        <w:rPr>
          <w:rFonts w:ascii="Arial" w:cs="Arial" w:eastAsia="Arial" w:hAnsi="Arial"/>
          <w:sz w:val="16"/>
          <w:szCs w:val="16"/>
          <w:color w:val="auto"/>
        </w:rPr>
        <w:t>The Board (or any committee thereof to which it delegates such authority) shall have the right to amend, suspend or terminate the Plan at any time and without notice. Upon any such amendment, suspension or termination of the Plan during an Offering Period, the Board (or any committee thereof to which it delegates such authority)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This Plan shall continue until the earlier to occur of (a) termination of this Plan pursuant to this Section 15 or (b) issuance of all of the shares of Stock reserved for issuance under this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tabs>
          <w:tab w:leader="none" w:pos="1100" w:val="left"/>
        </w:tabs>
        <w:rPr>
          <w:sz w:val="20"/>
          <w:szCs w:val="20"/>
          <w:color w:val="auto"/>
        </w:rPr>
      </w:pPr>
      <w:r>
        <w:rPr>
          <w:rFonts w:ascii="Arial" w:cs="Arial" w:eastAsia="Arial" w:hAnsi="Arial"/>
          <w:sz w:val="18"/>
          <w:szCs w:val="18"/>
          <w:i w:val="1"/>
          <w:iCs w:val="1"/>
          <w:color w:val="auto"/>
        </w:rPr>
        <w:t>SECTION 16</w:t>
      </w:r>
      <w:r>
        <w:rPr>
          <w:sz w:val="20"/>
          <w:szCs w:val="20"/>
          <w:color w:val="auto"/>
        </w:rPr>
        <w:tab/>
      </w:r>
      <w:r>
        <w:rPr>
          <w:rFonts w:ascii="Arial" w:cs="Arial" w:eastAsia="Arial" w:hAnsi="Arial"/>
          <w:sz w:val="15"/>
          <w:szCs w:val="15"/>
          <w:i w:val="1"/>
          <w:iCs w:val="1"/>
          <w:color w:val="auto"/>
        </w:rPr>
        <w:t>Execution.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To record the adoption of the Plan by the Board, the Company has caused its authorized officer to execute the same.</w:t>
      </w:r>
    </w:p>
    <w:p>
      <w:pPr>
        <w:spacing w:after="0" w:line="26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VERACYTE, INC.</w:t>
      </w:r>
    </w:p>
    <w:p>
      <w:pPr>
        <w:spacing w:after="0" w:line="25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71120</wp:posOffset>
            </wp:positionV>
            <wp:extent cx="23412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71120</wp:posOffset>
            </wp:positionV>
            <wp:extent cx="23412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71120</wp:posOffset>
            </wp:positionV>
            <wp:extent cx="23412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Questions and Answers about the Proxy Materials and the Annual Meeting</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PROPOSAL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Report of the Audit Committee of the Board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PROPOSAL 2 APPROVAL OF THE VERACYTE, INC. EMPLOYEE STOCK PURCHASE PLAN</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PROPOSAL 3 RATIFICATION OF APPOINTMENT OF INDEPENDENT REGISTERED PUBLIC ACCOUNTING FIRM</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Stockholder Proposals for the 2016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Matters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Annex A</w:t>
        </w:r>
      </w:hyperlink>
    </w:p>
    <w:p>
      <w:pPr>
        <w:sectPr>
          <w:pgSz w:w="11900" w:h="16838" w:orient="portrait"/>
          <w:cols w:equalWidth="0" w:num="1">
            <w:col w:w="10219"/>
          </w:cols>
          <w:pgMar w:left="240" w:top="1440" w:right="1440" w:bottom="8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VERACYTE, INC. EMPLOYEE STOCK PURCHASE PLAN</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VERACYTE, INC. EMPLOYEE STOCK PURCHASE PLAN</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o"/>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o"/>
      <w:numFmt w:val="bullet"/>
      <w:start w:val="1"/>
    </w:lvl>
    <w:lvl w:ilvl="1">
      <w:lvlJc w:val="left"/>
      <w:lvlText w:val="(%2)"/>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2"/>
    </w:lvl>
  </w:abstractNum>
  <w:abstractNum w:abstractNumId="11">
    <w:nsid w:val="7C3DBD3D"/>
    <w:multiLevelType w:val="hybridMultilevel"/>
    <w:lvl w:ilvl="0">
      <w:lvlJc w:val="left"/>
      <w:lvlText w:val="(%1)"/>
      <w:numFmt w:val="decimal"/>
      <w:start w:val="3"/>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7"/>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5"/>
    </w:lvl>
  </w:abstractNum>
  <w:abstractNum w:abstractNumId="18">
    <w:nsid w:val="419AC241"/>
    <w:multiLevelType w:val="hybridMultilevel"/>
    <w:lvl w:ilvl="0">
      <w:lvlJc w:val="left"/>
      <w:lvlText w:val="(%1)"/>
      <w:numFmt w:val="decimal"/>
      <w:start w:val="12"/>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lowerLetter"/>
      <w:start w:val="1"/>
    </w:lvl>
    <w:lvl w:ilvl="1">
      <w:lvlJc w:val="left"/>
      <w:lvlText w:val="(%2)"/>
      <w:numFmt w:val="lowerLetter"/>
      <w:start w:val="5"/>
    </w:lvl>
  </w:abstractNum>
  <w:abstractNum w:abstractNumId="21">
    <w:nsid w:val="5072367"/>
    <w:multiLevelType w:val="hybridMultilevel"/>
    <w:lvl w:ilvl="0">
      <w:lvlJc w:val="left"/>
      <w:lvlText w:val="(%1)"/>
      <w:numFmt w:val="lowerLetter"/>
      <w:start w:val="6"/>
    </w:lvl>
    <w:lvl w:ilvl="1">
      <w:lvlJc w:val="left"/>
      <w:lvlText w:val="(%2)"/>
      <w:numFmt w:val="lowerLetter"/>
      <w:start w:val="6"/>
    </w:lvl>
    <w:lvl w:ilvl="2">
      <w:lvlJc w:val="left"/>
      <w:lvlText w:val="(%3)"/>
      <w:numFmt w:val="lowerLetter"/>
      <w:start w:val="34"/>
    </w:lvl>
    <w:lvl w:ilvl="3">
      <w:lvlJc w:val="left"/>
      <w:lvlText w:val="(%4)"/>
      <w:numFmt w:val="lowerRoman"/>
      <w:start w:val="1"/>
    </w:lvl>
  </w:abstractNum>
  <w:abstractNum w:abstractNumId="22">
    <w:nsid w:val="3804823E"/>
    <w:multiLevelType w:val="hybridMultilevel"/>
    <w:lvl w:ilvl="0">
      <w:lvlJc w:val="left"/>
      <w:lvlText w:val="(%1)"/>
      <w:numFmt w:val="lowerLetter"/>
      <w:start w:val="8"/>
    </w:lvl>
  </w:abstractNum>
  <w:abstractNum w:abstractNumId="23">
    <w:nsid w:val="77465F01"/>
    <w:multiLevelType w:val="hybridMultilevel"/>
    <w:lvl w:ilvl="0">
      <w:lvlJc w:val="left"/>
      <w:lvlText w:val="(%1)"/>
      <w:numFmt w:val="lowerRoman"/>
      <w:start w:val="1"/>
    </w:lvl>
    <w:lvl w:ilvl="1">
      <w:lvlJc w:val="left"/>
      <w:lvlText w:val="(%2)"/>
      <w:numFmt w:val="lowerRoman"/>
      <w:start w:val="1"/>
    </w:lvl>
  </w:abstractNum>
  <w:abstractNum w:abstractNumId="24">
    <w:nsid w:val="7724C67E"/>
    <w:multiLevelType w:val="hybridMultilevel"/>
    <w:lvl w:ilvl="0">
      <w:lvlJc w:val="left"/>
      <w:lvlText w:val="(%1)"/>
      <w:numFmt w:val="lowerRoman"/>
      <w:start w:val="2"/>
    </w:lvl>
  </w:abstractNum>
  <w:abstractNum w:abstractNumId="25">
    <w:nsid w:val="5C482A97"/>
    <w:multiLevelType w:val="hybridMultilevel"/>
    <w:lvl w:ilvl="0">
      <w:lvlJc w:val="left"/>
      <w:lvlText w:val="(%1)"/>
      <w:numFmt w:val="lowerLetter"/>
      <w:start w:val="10"/>
    </w:lvl>
    <w:lvl w:ilvl="1">
      <w:lvlJc w:val="left"/>
      <w:lvlText w:val="(%2)"/>
      <w:numFmt w:val="lowerLetter"/>
      <w:start w:val="12"/>
    </w:lvl>
  </w:abstractNum>
  <w:abstractNum w:abstractNumId="26">
    <w:nsid w:val="2463B9EA"/>
    <w:multiLevelType w:val="hybridMultilevel"/>
    <w:lvl w:ilvl="0">
      <w:lvlJc w:val="left"/>
      <w:lvlText w:val="(%1)"/>
      <w:numFmt w:val="lowerLetter"/>
      <w:start w:val="15"/>
    </w:lvl>
    <w:lvl w:ilvl="1">
      <w:lvlJc w:val="left"/>
      <w:lvlText w:val="(%2)"/>
      <w:numFmt w:val="lowerLetter"/>
      <w:start w:val="18"/>
    </w:lvl>
  </w:abstractNum>
  <w:abstractNum w:abstractNumId="27">
    <w:nsid w:val="5E884ADC"/>
    <w:multiLevelType w:val="hybridMultilevel"/>
    <w:lvl w:ilvl="0">
      <w:lvlJc w:val="left"/>
      <w:lvlText w:val="(%1)"/>
      <w:numFmt w:val="lowerLetter"/>
      <w:start w:val="19"/>
    </w:lvl>
  </w:abstractNum>
  <w:abstractNum w:abstractNumId="28">
    <w:nsid w:val="51EAD36B"/>
    <w:multiLevelType w:val="hybridMultilevel"/>
    <w:lvl w:ilvl="0">
      <w:lvlJc w:val="left"/>
      <w:lvlText w:val="(%1)"/>
      <w:numFmt w:val="lowerLetter"/>
      <w:start w:val="21"/>
    </w:lvl>
  </w:abstractNum>
  <w:abstractNum w:abstractNumId="29">
    <w:nsid w:val="2D517796"/>
    <w:multiLevelType w:val="hybridMultilevel"/>
    <w:lvl w:ilvl="0">
      <w:lvlJc w:val="left"/>
      <w:lvlText w:val="(%1)"/>
      <w:numFmt w:val="lowerLetter"/>
      <w:start w:val="18"/>
    </w:lvl>
  </w:abstractNum>
  <w:abstractNum w:abstractNumId="30">
    <w:nsid w:val="580BD78F"/>
    <w:multiLevelType w:val="hybridMultilevel"/>
    <w:lvl w:ilvl="0">
      <w:lvlJc w:val="left"/>
      <w:lvlText w:val="(%1)"/>
      <w:numFmt w:val="lowerLetter"/>
      <w:start w:val="1"/>
    </w:lvl>
    <w:lvl w:ilvl="1">
      <w:lvlJc w:val="left"/>
      <w:lvlText w:val="(%2)"/>
      <w:numFmt w:val="lowerLetter"/>
      <w:start w:val="2"/>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1"/>
    </w:lvl>
    <w:lvl w:ilvl="1">
      <w:lvlJc w:val="left"/>
      <w:lvlText w:val="(%2)"/>
      <w:numFmt w:val="lowerLetter"/>
      <w:start w:val="3"/>
    </w:lvl>
  </w:abstractNum>
  <w:abstractNum w:abstractNumId="34">
    <w:nsid w:val="6A2342EC"/>
    <w:multiLevelType w:val="hybridMultilevel"/>
    <w:lvl w:ilvl="0">
      <w:lvlJc w:val="left"/>
      <w:lvlText w:val="(%1)"/>
      <w:numFmt w:val="lowerLetter"/>
      <w:start w:val="4"/>
    </w:lvl>
  </w:abstractNum>
  <w:abstractNum w:abstractNumId="35">
    <w:nsid w:val="2A487CB0"/>
    <w:multiLevelType w:val="hybridMultilevel"/>
    <w:lvl w:ilvl="0">
      <w:lvlJc w:val="left"/>
      <w:lvlText w:val="%1"/>
      <w:numFmt w:val="lowerLetter"/>
      <w:start w:val="1"/>
    </w:lvl>
    <w:lvl w:ilvl="1">
      <w:lvlJc w:val="left"/>
      <w:lvlText w:val="(%2)"/>
      <w:numFmt w:val="lowerLetter"/>
      <w:start w:val="1"/>
    </w:lvl>
  </w:abstractNum>
  <w:abstractNum w:abstractNumId="36">
    <w:nsid w:val="1D4ED43B"/>
    <w:multiLevelType w:val="hybridMultilevel"/>
    <w:lvl w:ilvl="0">
      <w:lvlJc w:val="left"/>
      <w:lvlText w:val="(%1)"/>
      <w:numFmt w:val="lowerLetter"/>
      <w:start w:val="2"/>
    </w:lvl>
    <w:lvl w:ilvl="1">
      <w:lvlJc w:val="left"/>
      <w:lvlText w:val="%2"/>
      <w:numFmt w:val="lowerLetter"/>
      <w:start w:val="1"/>
    </w:lvl>
  </w:abstractNum>
  <w:abstractNum w:abstractNumId="37">
    <w:nsid w:val="725A06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8">
    <w:nsid w:val="2CD89A3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9">
    <w:nsid w:val="57E4CCAF"/>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5"/>
    </w:lvl>
  </w:abstractNum>
  <w:abstractNum w:abstractNumId="43">
    <w:nsid w:val="6DE91B1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1"/>
    </w:lvl>
    <w:lvl w:ilvl="4">
      <w:lvlJc w:val="left"/>
      <w:lvlText w:val="%5"/>
      <w:numFmt w:val="lowerLetter"/>
      <w:start w:val="1"/>
    </w:lvl>
  </w:abstractNum>
  <w:abstractNum w:abstractNumId="44">
    <w:nsid w:val="38437FDB"/>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7"/>
    </w:lvl>
    <w:lvl w:ilvl="4">
      <w:lvlJc w:val="left"/>
      <w:lvlText w:val="%5"/>
      <w:numFmt w:val="lowerLetter"/>
      <w:start w:val="1"/>
    </w:lvl>
  </w:abstractNum>
  <w:abstractNum w:abstractNumId="45">
    <w:nsid w:val="7644A45C"/>
    <w:multiLevelType w:val="hybridMultilevel"/>
    <w:lvl w:ilvl="0">
      <w:lvlJc w:val="left"/>
      <w:lvlText w:val="(%1)"/>
      <w:numFmt w:val="lowerLetter"/>
      <w:start w:val="1"/>
    </w:lvl>
    <w:lvl w:ilvl="1">
      <w:lvlJc w:val="left"/>
      <w:lvlText w:val="(%2)"/>
      <w:numFmt w:val="lowerLetter"/>
      <w:start w:val="9"/>
    </w:lvl>
  </w:abstractNum>
  <w:abstractNum w:abstractNumId="46">
    <w:nsid w:val="32FFF902"/>
    <w:multiLevelType w:val="hybridMultilevel"/>
    <w:lvl w:ilvl="0">
      <w:lvlJc w:val="left"/>
      <w:lvlText w:val="(%1)"/>
      <w:numFmt w:val="lowerRoman"/>
      <w:start w:val="2"/>
    </w:lvl>
  </w:abstractNum>
  <w:abstractNum w:abstractNumId="47">
    <w:nsid w:val="684A481A"/>
    <w:multiLevelType w:val="hybridMultilevel"/>
    <w:lvl w:ilvl="0">
      <w:lvlJc w:val="left"/>
      <w:lvlText w:val="%1"/>
      <w:numFmt w:val="lowerLetter"/>
      <w:start w:val="1"/>
    </w:lvl>
    <w:lvl w:ilvl="1">
      <w:lvlJc w:val="left"/>
      <w:lvlText w:val="(%2)"/>
      <w:numFmt w:val="lowerLetter"/>
      <w:start w:val="61"/>
    </w:lvl>
  </w:abstractNum>
  <w:abstractNum w:abstractNumId="48">
    <w:nsid w:val="579478FE"/>
    <w:multiLevelType w:val="hybridMultilevel"/>
    <w:lvl w:ilvl="0">
      <w:lvlJc w:val="left"/>
      <w:lvlText w:val="(%1)"/>
      <w:numFmt w:val="lowerLetter"/>
      <w:start w:val="2"/>
    </w:lvl>
    <w:lvl w:ilvl="1">
      <w:lvlJc w:val="left"/>
      <w:lvlText w:val="%2"/>
      <w:numFmt w:val="lowerLetter"/>
      <w:start w:val="1"/>
    </w:lvl>
  </w:abstractNum>
  <w:abstractNum w:abstractNumId="49">
    <w:nsid w:val="749ABB4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2019-12-08T17:46:40Z</dcterms:created>
  <dcterms:modified xsi:type="dcterms:W3CDTF">2019-12-08T17:46:40Z</dcterms:modified>
</cp:coreProperties>
</file>