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005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0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33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Bonnie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6000 SHORELINE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33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6,153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16,153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6,388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2.36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99,085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11/08/2017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6,153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02/03/2020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11/08/2017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6,388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09/28/2020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31,526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fully vested and immediately exercisable on February 3, 2012. The option award vested at a rate of 1/24th of the total number of shares subject to the award per month of continuous service commencing February 3, 2010.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became fully vested and immediately exercisable on September 28, 2014. The option award vested as to 1/4 of the total number of shares subject to the option after one year of continuous service commencing September 28, 2010, and the remaining shares vested at a rate of 1/48th of the total number of shares subject to the option for each month of continuous service thereafter.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Keith S. Kennedy, as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33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2019-12-04T01:41:30Z</dcterms:created>
  <dcterms:modified xsi:type="dcterms:W3CDTF">2019-12-04T01:41:30Z</dcterms:modified>
</cp:coreProperties>
</file>