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20" w:type="dxa"/>
            <w:vAlign w:val="bottom"/>
          </w:tcPr>
          <w:p>
            <w:pPr>
              <w:ind w:left="40"/>
              <w:spacing w:after="0"/>
              <w:rPr>
                <w:sz w:val="20"/>
                <w:szCs w:val="20"/>
                <w:color w:val="auto"/>
              </w:rPr>
            </w:pPr>
            <w:r>
              <w:rPr>
                <w:rFonts w:ascii="Arial" w:cs="Arial" w:eastAsia="Arial" w:hAnsi="Arial"/>
                <w:sz w:val="22"/>
                <w:szCs w:val="22"/>
                <w:color w:val="auto"/>
              </w:rPr>
              <w:t>0001020741</w:t>
            </w:r>
          </w:p>
        </w:tc>
        <w:tc>
          <w:tcPr>
            <w:tcW w:w="29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20" w:type="dxa"/>
            <w:vAlign w:val="bottom"/>
          </w:tcPr>
          <w:p>
            <w:pPr>
              <w:ind w:left="40"/>
              <w:spacing w:after="0"/>
              <w:rPr>
                <w:sz w:val="20"/>
                <w:szCs w:val="20"/>
                <w:color w:val="auto"/>
              </w:rPr>
            </w:pPr>
            <w:r>
              <w:rPr>
                <w:rFonts w:ascii="Arial" w:cs="Arial" w:eastAsia="Arial" w:hAnsi="Arial"/>
                <w:sz w:val="22"/>
                <w:szCs w:val="22"/>
                <w:color w:val="auto"/>
              </w:rPr>
              <w:t>XXXXXXXX</w:t>
            </w:r>
          </w:p>
        </w:tc>
        <w:tc>
          <w:tcPr>
            <w:tcW w:w="29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849"/>
        </w:trPr>
        <w:tc>
          <w:tcPr>
            <w:tcW w:w="68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29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001-36156</w:t>
            </w:r>
          </w:p>
        </w:tc>
      </w:tr>
      <w:tr>
        <w:trPr>
          <w:trHeight w:val="266"/>
        </w:trPr>
        <w:tc>
          <w:tcPr>
            <w:tcW w:w="30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w w:val="88"/>
              </w:rPr>
              <w:t>6000 Shoreline Court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w w:val="90"/>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94080</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1-650-243-6300</w:t>
            </w:r>
          </w:p>
        </w:tc>
      </w:tr>
      <w:tr>
        <w:trPr>
          <w:trHeight w:val="297"/>
        </w:trPr>
        <w:tc>
          <w:tcPr>
            <w:tcW w:w="68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2960" w:type="dxa"/>
            <w:vAlign w:val="bottom"/>
          </w:tcPr>
          <w:p>
            <w:pPr>
              <w:ind w:left="1100"/>
              <w:spacing w:after="0"/>
              <w:rPr>
                <w:sz w:val="20"/>
                <w:szCs w:val="20"/>
                <w:color w:val="auto"/>
              </w:rPr>
            </w:pPr>
            <w:r>
              <w:rPr>
                <w:rFonts w:ascii="Arial" w:cs="Arial" w:eastAsia="Arial" w:hAnsi="Arial"/>
                <w:sz w:val="22"/>
                <w:szCs w:val="22"/>
                <w:color w:val="auto"/>
              </w:rPr>
              <w:t>jVen Capital,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78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Goldman Sachs &amp; Co.</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200 West Street</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3090</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90475.2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72417156</w:t>
            </w:r>
          </w:p>
        </w:tc>
        <w:tc>
          <w:tcPr>
            <w:tcW w:w="1280" w:type="dxa"/>
            <w:vAlign w:val="bottom"/>
          </w:tcPr>
          <w:p>
            <w:pPr>
              <w:ind w:left="40"/>
              <w:spacing w:after="0"/>
              <w:rPr>
                <w:sz w:val="20"/>
                <w:szCs w:val="20"/>
                <w:color w:val="auto"/>
              </w:rPr>
            </w:pPr>
            <w:r>
              <w:rPr>
                <w:rFonts w:ascii="Arial" w:cs="Arial" w:eastAsia="Arial" w:hAnsi="Arial"/>
                <w:sz w:val="22"/>
                <w:szCs w:val="22"/>
                <w:color w:val="auto"/>
              </w:rPr>
              <w:t>07/19/2023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2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80" w:type="dxa"/>
            <w:vAlign w:val="bottom"/>
          </w:tcPr>
          <w:p>
            <w:pPr>
              <w:ind w:left="2820"/>
              <w:spacing w:after="0"/>
              <w:rPr>
                <w:sz w:val="20"/>
                <w:szCs w:val="20"/>
                <w:color w:val="auto"/>
              </w:rPr>
            </w:pPr>
            <w:r>
              <w:rPr>
                <w:rFonts w:ascii="Arial" w:cs="Arial" w:eastAsia="Arial" w:hAnsi="Arial"/>
                <w:sz w:val="22"/>
                <w:szCs w:val="22"/>
                <w:b w:val="1"/>
                <w:bCs w:val="1"/>
                <w:color w:val="auto"/>
                <w:w w:val="99"/>
              </w:rPr>
              <w:t>Transaction</w:t>
            </w:r>
          </w:p>
        </w:tc>
        <w:tc>
          <w:tcPr>
            <w:tcW w:w="1520" w:type="dxa"/>
            <w:vAlign w:val="bottom"/>
          </w:tcPr>
          <w:p>
            <w:pPr>
              <w:jc w:val="center"/>
              <w:ind w:left="152"/>
              <w:spacing w:after="0"/>
              <w:rPr>
                <w:sz w:val="20"/>
                <w:szCs w:val="20"/>
                <w:color w:val="auto"/>
              </w:rPr>
            </w:pPr>
            <w:r>
              <w:rPr>
                <w:rFonts w:ascii="Arial" w:cs="Arial" w:eastAsia="Arial" w:hAnsi="Arial"/>
                <w:sz w:val="22"/>
                <w:szCs w:val="22"/>
                <w:b w:val="1"/>
                <w:bCs w:val="1"/>
                <w:color w:val="auto"/>
                <w:w w:val="92"/>
              </w:rPr>
              <w:t>Whom</w:t>
            </w:r>
          </w:p>
        </w:tc>
        <w:tc>
          <w:tcPr>
            <w:tcW w:w="276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080" w:type="dxa"/>
            <w:vAlign w:val="bottom"/>
          </w:tcPr>
          <w:p>
            <w:pPr>
              <w:spacing w:after="0"/>
              <w:rPr>
                <w:sz w:val="24"/>
                <w:szCs w:val="24"/>
                <w:color w:val="auto"/>
              </w:rPr>
            </w:pPr>
          </w:p>
        </w:tc>
        <w:tc>
          <w:tcPr>
            <w:tcW w:w="1520" w:type="dxa"/>
            <w:vAlign w:val="bottom"/>
          </w:tcPr>
          <w:p>
            <w:pPr>
              <w:jc w:val="center"/>
              <w:ind w:left="152"/>
              <w:spacing w:after="0"/>
              <w:rPr>
                <w:sz w:val="20"/>
                <w:szCs w:val="20"/>
                <w:color w:val="auto"/>
              </w:rPr>
            </w:pPr>
            <w:r>
              <w:rPr>
                <w:rFonts w:ascii="Arial" w:cs="Arial" w:eastAsia="Arial" w:hAnsi="Arial"/>
                <w:sz w:val="22"/>
                <w:szCs w:val="22"/>
                <w:b w:val="1"/>
                <w:bCs w:val="1"/>
                <w:color w:val="auto"/>
                <w:w w:val="90"/>
              </w:rPr>
              <w:t>Acquired</w:t>
            </w:r>
          </w:p>
        </w:tc>
        <w:tc>
          <w:tcPr>
            <w:tcW w:w="276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80" w:type="dxa"/>
            <w:vAlign w:val="bottom"/>
          </w:tcPr>
          <w:p>
            <w:pPr>
              <w:ind w:left="2520"/>
              <w:spacing w:after="0"/>
              <w:rPr>
                <w:sz w:val="20"/>
                <w:szCs w:val="20"/>
                <w:color w:val="auto"/>
              </w:rPr>
            </w:pPr>
            <w:r>
              <w:rPr>
                <w:rFonts w:ascii="Arial" w:cs="Arial" w:eastAsia="Arial" w:hAnsi="Arial"/>
                <w:sz w:val="22"/>
                <w:szCs w:val="22"/>
                <w:color w:val="auto"/>
              </w:rPr>
              <w:t>Acquired from</w:t>
            </w:r>
          </w:p>
        </w:tc>
        <w:tc>
          <w:tcPr>
            <w:tcW w:w="1520" w:type="dxa"/>
            <w:vAlign w:val="bottom"/>
            <w:vMerge w:val="restart"/>
          </w:tcPr>
          <w:p>
            <w:pPr>
              <w:ind w:left="160"/>
              <w:spacing w:after="0"/>
              <w:rPr>
                <w:sz w:val="20"/>
                <w:szCs w:val="20"/>
                <w:color w:val="auto"/>
              </w:rPr>
            </w:pPr>
            <w:r>
              <w:rPr>
                <w:rFonts w:ascii="Arial" w:cs="Arial" w:eastAsia="Arial" w:hAnsi="Arial"/>
                <w:sz w:val="22"/>
                <w:szCs w:val="22"/>
                <w:color w:val="auto"/>
                <w:w w:val="99"/>
              </w:rPr>
              <w:t>Veracyte, Inc.</w:t>
            </w:r>
          </w:p>
        </w:tc>
        <w:tc>
          <w:tcPr>
            <w:tcW w:w="2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408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Common Stock 07/26/2011 Issuer in private</w:t>
            </w:r>
          </w:p>
        </w:tc>
        <w:tc>
          <w:tcPr>
            <w:tcW w:w="1520" w:type="dxa"/>
            <w:vAlign w:val="bottom"/>
            <w:vMerge w:val="continue"/>
          </w:tcPr>
          <w:p>
            <w:pPr>
              <w:spacing w:after="0"/>
              <w:rPr>
                <w:sz w:val="10"/>
                <w:szCs w:val="10"/>
                <w:color w:val="auto"/>
              </w:rPr>
            </w:pPr>
          </w:p>
        </w:tc>
        <w:tc>
          <w:tcPr>
            <w:tcW w:w="2760" w:type="dxa"/>
            <w:vAlign w:val="bottom"/>
            <w:vMerge w:val="restart"/>
          </w:tcPr>
          <w:p>
            <w:pPr>
              <w:jc w:val="right"/>
              <w:ind w:right="632"/>
              <w:spacing w:after="0" w:line="243" w:lineRule="exact"/>
              <w:rPr>
                <w:sz w:val="20"/>
                <w:szCs w:val="20"/>
                <w:color w:val="auto"/>
              </w:rPr>
            </w:pPr>
            <w:r>
              <w:rPr>
                <w:rFonts w:ascii="Arial" w:cs="Arial" w:eastAsia="Arial" w:hAnsi="Arial"/>
                <w:sz w:val="22"/>
                <w:szCs w:val="22"/>
                <w:color w:val="auto"/>
              </w:rPr>
              <w:t>3090</w:t>
            </w:r>
          </w:p>
        </w:tc>
        <w:tc>
          <w:tcPr>
            <w:tcW w:w="16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w w:val="85"/>
              </w:rPr>
              <w:t>07/26/2011 Cash</w:t>
            </w: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2520"/>
              <w:spacing w:after="0"/>
              <w:rPr>
                <w:sz w:val="20"/>
                <w:szCs w:val="20"/>
                <w:color w:val="auto"/>
              </w:rPr>
            </w:pPr>
            <w:r>
              <w:rPr>
                <w:rFonts w:ascii="Arial" w:cs="Arial" w:eastAsia="Arial" w:hAnsi="Arial"/>
                <w:sz w:val="22"/>
                <w:szCs w:val="22"/>
                <w:color w:val="auto"/>
              </w:rPr>
              <w:t>transaction</w:t>
            </w:r>
          </w:p>
        </w:tc>
        <w:tc>
          <w:tcPr>
            <w:tcW w:w="1520" w:type="dxa"/>
            <w:vAlign w:val="bottom"/>
            <w:vMerge w:val="continue"/>
          </w:tcPr>
          <w:p>
            <w:pPr>
              <w:spacing w:after="0"/>
              <w:rPr>
                <w:sz w:val="13"/>
                <w:szCs w:val="13"/>
                <w:color w:val="auto"/>
              </w:rPr>
            </w:pPr>
          </w:p>
        </w:tc>
        <w:tc>
          <w:tcPr>
            <w:tcW w:w="27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900" w:type="dxa"/>
            <w:vAlign w:val="bottom"/>
          </w:tcPr>
          <w:p>
            <w:pPr>
              <w:spacing w:after="0"/>
              <w:rPr>
                <w:sz w:val="20"/>
                <w:szCs w:val="20"/>
                <w:color w:val="auto"/>
              </w:rPr>
            </w:pPr>
            <w:r>
              <w:rPr>
                <w:rFonts w:ascii="Arial" w:cs="Arial" w:eastAsia="Arial" w:hAnsi="Arial"/>
                <w:sz w:val="22"/>
                <w:szCs w:val="22"/>
                <w:color w:val="auto"/>
              </w:rPr>
              <w:t>jVen Capital, LLC</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line="243" w:lineRule="exact"/>
              <w:rPr>
                <w:sz w:val="20"/>
                <w:szCs w:val="20"/>
                <w:color w:val="auto"/>
              </w:rPr>
            </w:pPr>
            <w:r>
              <w:rPr>
                <w:rFonts w:ascii="Arial" w:cs="Arial" w:eastAsia="Arial" w:hAnsi="Arial"/>
                <w:sz w:val="22"/>
                <w:szCs w:val="22"/>
                <w:color w:val="auto"/>
                <w:w w:val="90"/>
              </w:rPr>
              <w:t>6000 Shoreline Court</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07/17/2023 23949</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720105.72</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243" w:lineRule="exact"/>
              <w:rPr>
                <w:sz w:val="20"/>
                <w:szCs w:val="20"/>
                <w:color w:val="auto"/>
              </w:rPr>
            </w:pPr>
            <w:r>
              <w:rPr>
                <w:rFonts w:ascii="Arial" w:cs="Arial" w:eastAsia="Arial" w:hAnsi="Arial"/>
                <w:sz w:val="22"/>
                <w:szCs w:val="22"/>
                <w:color w:val="auto"/>
              </w:rPr>
              <w:t>Suite 300</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900" w:type="dxa"/>
            <w:vAlign w:val="bottom"/>
          </w:tcPr>
          <w:p>
            <w:pPr>
              <w:spacing w:after="0"/>
              <w:rPr>
                <w:sz w:val="20"/>
                <w:szCs w:val="20"/>
                <w:color w:val="auto"/>
              </w:rPr>
            </w:pPr>
            <w:r>
              <w:rPr>
                <w:rFonts w:ascii="Arial" w:cs="Arial" w:eastAsia="Arial" w:hAnsi="Arial"/>
                <w:sz w:val="22"/>
                <w:szCs w:val="22"/>
                <w:color w:val="auto"/>
                <w:w w:val="92"/>
              </w:rPr>
              <w:t>South San Francisco</w:t>
            </w:r>
          </w:p>
        </w:tc>
        <w:tc>
          <w:tcPr>
            <w:tcW w:w="420" w:type="dxa"/>
            <w:vAlign w:val="bottom"/>
          </w:tcPr>
          <w:p>
            <w:pPr>
              <w:ind w:left="40"/>
              <w:spacing w:after="0"/>
              <w:rPr>
                <w:sz w:val="20"/>
                <w:szCs w:val="20"/>
                <w:color w:val="auto"/>
              </w:rPr>
            </w:pPr>
            <w:r>
              <w:rPr>
                <w:rFonts w:ascii="Arial" w:cs="Arial" w:eastAsia="Arial" w:hAnsi="Arial"/>
                <w:sz w:val="22"/>
                <w:szCs w:val="22"/>
                <w:color w:val="auto"/>
              </w:rPr>
              <w:t>CA</w:t>
            </w:r>
          </w:p>
        </w:tc>
        <w:tc>
          <w:tcPr>
            <w:tcW w:w="1040" w:type="dxa"/>
            <w:vAlign w:val="bottom"/>
          </w:tcPr>
          <w:p>
            <w:pPr>
              <w:jc w:val="right"/>
              <w:ind w:right="312"/>
              <w:spacing w:after="0"/>
              <w:rPr>
                <w:sz w:val="20"/>
                <w:szCs w:val="20"/>
                <w:color w:val="auto"/>
              </w:rPr>
            </w:pPr>
            <w:r>
              <w:rPr>
                <w:rFonts w:ascii="Arial" w:cs="Arial" w:eastAsia="Arial" w:hAnsi="Arial"/>
                <w:sz w:val="22"/>
                <w:szCs w:val="22"/>
                <w:color w:val="auto"/>
                <w:w w:val="98"/>
              </w:rPr>
              <w:t>94080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900" w:type="dxa"/>
            <w:vAlign w:val="bottom"/>
          </w:tcPr>
          <w:p>
            <w:pPr>
              <w:spacing w:after="0"/>
              <w:rPr>
                <w:sz w:val="20"/>
                <w:szCs w:val="20"/>
                <w:color w:val="auto"/>
              </w:rPr>
            </w:pPr>
            <w:r>
              <w:rPr>
                <w:rFonts w:ascii="Arial" w:cs="Arial" w:eastAsia="Arial" w:hAnsi="Arial"/>
                <w:sz w:val="22"/>
                <w:szCs w:val="22"/>
                <w:color w:val="auto"/>
              </w:rPr>
              <w:t>jVen Capital, LLC</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line="243" w:lineRule="exact"/>
              <w:rPr>
                <w:sz w:val="20"/>
                <w:szCs w:val="20"/>
                <w:color w:val="auto"/>
              </w:rPr>
            </w:pPr>
            <w:r>
              <w:rPr>
                <w:rFonts w:ascii="Arial" w:cs="Arial" w:eastAsia="Arial" w:hAnsi="Arial"/>
                <w:sz w:val="22"/>
                <w:szCs w:val="22"/>
                <w:color w:val="auto"/>
                <w:w w:val="90"/>
              </w:rPr>
              <w:t>6000 Shoreline Court</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07/18/2023 7441</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224616.26</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243" w:lineRule="exact"/>
              <w:rPr>
                <w:sz w:val="20"/>
                <w:szCs w:val="20"/>
                <w:color w:val="auto"/>
              </w:rPr>
            </w:pPr>
            <w:r>
              <w:rPr>
                <w:rFonts w:ascii="Arial" w:cs="Arial" w:eastAsia="Arial" w:hAnsi="Arial"/>
                <w:sz w:val="22"/>
                <w:szCs w:val="22"/>
                <w:color w:val="auto"/>
              </w:rPr>
              <w:t>Suite 300</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900" w:type="dxa"/>
            <w:vAlign w:val="bottom"/>
          </w:tcPr>
          <w:p>
            <w:pPr>
              <w:spacing w:after="0"/>
              <w:rPr>
                <w:sz w:val="20"/>
                <w:szCs w:val="20"/>
                <w:color w:val="auto"/>
              </w:rPr>
            </w:pPr>
            <w:r>
              <w:rPr>
                <w:rFonts w:ascii="Arial" w:cs="Arial" w:eastAsia="Arial" w:hAnsi="Arial"/>
                <w:sz w:val="22"/>
                <w:szCs w:val="22"/>
                <w:color w:val="auto"/>
                <w:w w:val="92"/>
              </w:rPr>
              <w:t>South San Francisco</w:t>
            </w:r>
          </w:p>
        </w:tc>
        <w:tc>
          <w:tcPr>
            <w:tcW w:w="420" w:type="dxa"/>
            <w:vAlign w:val="bottom"/>
          </w:tcPr>
          <w:p>
            <w:pPr>
              <w:ind w:left="40"/>
              <w:spacing w:after="0"/>
              <w:rPr>
                <w:sz w:val="20"/>
                <w:szCs w:val="20"/>
                <w:color w:val="auto"/>
              </w:rPr>
            </w:pPr>
            <w:r>
              <w:rPr>
                <w:rFonts w:ascii="Arial" w:cs="Arial" w:eastAsia="Arial" w:hAnsi="Arial"/>
                <w:sz w:val="22"/>
                <w:szCs w:val="22"/>
                <w:color w:val="auto"/>
              </w:rPr>
              <w:t>CA</w:t>
            </w:r>
          </w:p>
        </w:tc>
        <w:tc>
          <w:tcPr>
            <w:tcW w:w="1040" w:type="dxa"/>
            <w:vAlign w:val="bottom"/>
          </w:tcPr>
          <w:p>
            <w:pPr>
              <w:jc w:val="right"/>
              <w:ind w:right="312"/>
              <w:spacing w:after="0"/>
              <w:rPr>
                <w:sz w:val="20"/>
                <w:szCs w:val="20"/>
                <w:color w:val="auto"/>
              </w:rPr>
            </w:pPr>
            <w:r>
              <w:rPr>
                <w:rFonts w:ascii="Arial" w:cs="Arial" w:eastAsia="Arial" w:hAnsi="Arial"/>
                <w:sz w:val="22"/>
                <w:szCs w:val="22"/>
                <w:color w:val="auto"/>
                <w:w w:val="98"/>
              </w:rPr>
              <w:t>94080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900" w:type="dxa"/>
            <w:vAlign w:val="bottom"/>
          </w:tcPr>
          <w:p>
            <w:pPr>
              <w:spacing w:after="0"/>
              <w:rPr>
                <w:sz w:val="20"/>
                <w:szCs w:val="20"/>
                <w:color w:val="auto"/>
              </w:rPr>
            </w:pPr>
            <w:r>
              <w:rPr>
                <w:rFonts w:ascii="Arial" w:cs="Arial" w:eastAsia="Arial" w:hAnsi="Arial"/>
                <w:sz w:val="22"/>
                <w:szCs w:val="22"/>
                <w:color w:val="auto"/>
              </w:rPr>
              <w:t>Evan Jones</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line="243" w:lineRule="exact"/>
              <w:rPr>
                <w:sz w:val="20"/>
                <w:szCs w:val="20"/>
                <w:color w:val="auto"/>
              </w:rPr>
            </w:pPr>
            <w:r>
              <w:rPr>
                <w:rFonts w:ascii="Arial" w:cs="Arial" w:eastAsia="Arial" w:hAnsi="Arial"/>
                <w:sz w:val="22"/>
                <w:szCs w:val="22"/>
                <w:color w:val="auto"/>
                <w:w w:val="90"/>
              </w:rPr>
              <w:t>6000 Shoreline Court</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07/17/2023 19095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574106.45</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243" w:lineRule="exact"/>
              <w:rPr>
                <w:sz w:val="20"/>
                <w:szCs w:val="20"/>
                <w:color w:val="auto"/>
              </w:rPr>
            </w:pPr>
            <w:r>
              <w:rPr>
                <w:rFonts w:ascii="Arial" w:cs="Arial" w:eastAsia="Arial" w:hAnsi="Arial"/>
                <w:sz w:val="22"/>
                <w:szCs w:val="22"/>
                <w:color w:val="auto"/>
              </w:rPr>
              <w:t>Suite 300</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900" w:type="dxa"/>
            <w:vAlign w:val="bottom"/>
          </w:tcPr>
          <w:p>
            <w:pPr>
              <w:spacing w:after="0"/>
              <w:rPr>
                <w:sz w:val="20"/>
                <w:szCs w:val="20"/>
                <w:color w:val="auto"/>
              </w:rPr>
            </w:pPr>
            <w:r>
              <w:rPr>
                <w:rFonts w:ascii="Arial" w:cs="Arial" w:eastAsia="Arial" w:hAnsi="Arial"/>
                <w:sz w:val="22"/>
                <w:szCs w:val="22"/>
                <w:color w:val="auto"/>
                <w:w w:val="92"/>
              </w:rPr>
              <w:t>South San Francisco</w:t>
            </w:r>
          </w:p>
        </w:tc>
        <w:tc>
          <w:tcPr>
            <w:tcW w:w="420" w:type="dxa"/>
            <w:vAlign w:val="bottom"/>
          </w:tcPr>
          <w:p>
            <w:pPr>
              <w:ind w:left="40"/>
              <w:spacing w:after="0"/>
              <w:rPr>
                <w:sz w:val="20"/>
                <w:szCs w:val="20"/>
                <w:color w:val="auto"/>
              </w:rPr>
            </w:pPr>
            <w:r>
              <w:rPr>
                <w:rFonts w:ascii="Arial" w:cs="Arial" w:eastAsia="Arial" w:hAnsi="Arial"/>
                <w:sz w:val="22"/>
                <w:szCs w:val="22"/>
                <w:color w:val="auto"/>
              </w:rPr>
              <w:t>CA</w:t>
            </w:r>
          </w:p>
        </w:tc>
        <w:tc>
          <w:tcPr>
            <w:tcW w:w="1040" w:type="dxa"/>
            <w:vAlign w:val="bottom"/>
          </w:tcPr>
          <w:p>
            <w:pPr>
              <w:jc w:val="right"/>
              <w:ind w:right="312"/>
              <w:spacing w:after="0"/>
              <w:rPr>
                <w:sz w:val="20"/>
                <w:szCs w:val="20"/>
                <w:color w:val="auto"/>
              </w:rPr>
            </w:pPr>
            <w:r>
              <w:rPr>
                <w:rFonts w:ascii="Arial" w:cs="Arial" w:eastAsia="Arial" w:hAnsi="Arial"/>
                <w:sz w:val="22"/>
                <w:szCs w:val="22"/>
                <w:color w:val="auto"/>
                <w:w w:val="98"/>
              </w:rPr>
              <w:t>94080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900" w:type="dxa"/>
            <w:vAlign w:val="bottom"/>
          </w:tcPr>
          <w:p>
            <w:pPr>
              <w:spacing w:after="0"/>
              <w:rPr>
                <w:sz w:val="20"/>
                <w:szCs w:val="20"/>
                <w:color w:val="auto"/>
              </w:rPr>
            </w:pPr>
            <w:r>
              <w:rPr>
                <w:rFonts w:ascii="Arial" w:cs="Arial" w:eastAsia="Arial" w:hAnsi="Arial"/>
                <w:sz w:val="22"/>
                <w:szCs w:val="22"/>
                <w:color w:val="auto"/>
              </w:rPr>
              <w:t>Evan Jones</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line="243" w:lineRule="exact"/>
              <w:rPr>
                <w:sz w:val="20"/>
                <w:szCs w:val="20"/>
                <w:color w:val="auto"/>
              </w:rPr>
            </w:pPr>
            <w:r>
              <w:rPr>
                <w:rFonts w:ascii="Arial" w:cs="Arial" w:eastAsia="Arial" w:hAnsi="Arial"/>
                <w:sz w:val="22"/>
                <w:szCs w:val="22"/>
                <w:color w:val="auto"/>
                <w:w w:val="90"/>
              </w:rPr>
              <w:t>6000 Shoreline Court</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07/18/2023 2324</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69534.08</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243" w:lineRule="exact"/>
              <w:rPr>
                <w:sz w:val="20"/>
                <w:szCs w:val="20"/>
                <w:color w:val="auto"/>
              </w:rPr>
            </w:pPr>
            <w:r>
              <w:rPr>
                <w:rFonts w:ascii="Arial" w:cs="Arial" w:eastAsia="Arial" w:hAnsi="Arial"/>
                <w:sz w:val="22"/>
                <w:szCs w:val="22"/>
                <w:color w:val="auto"/>
              </w:rPr>
              <w:t>Suite 300</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900" w:type="dxa"/>
            <w:vAlign w:val="bottom"/>
          </w:tcPr>
          <w:p>
            <w:pPr>
              <w:spacing w:after="0"/>
              <w:rPr>
                <w:sz w:val="20"/>
                <w:szCs w:val="20"/>
                <w:color w:val="auto"/>
              </w:rPr>
            </w:pPr>
            <w:r>
              <w:rPr>
                <w:rFonts w:ascii="Arial" w:cs="Arial" w:eastAsia="Arial" w:hAnsi="Arial"/>
                <w:sz w:val="22"/>
                <w:szCs w:val="22"/>
                <w:color w:val="auto"/>
                <w:w w:val="92"/>
              </w:rPr>
              <w:t>South San Francisco</w:t>
            </w:r>
          </w:p>
        </w:tc>
        <w:tc>
          <w:tcPr>
            <w:tcW w:w="420" w:type="dxa"/>
            <w:vAlign w:val="bottom"/>
          </w:tcPr>
          <w:p>
            <w:pPr>
              <w:ind w:left="40"/>
              <w:spacing w:after="0"/>
              <w:rPr>
                <w:sz w:val="20"/>
                <w:szCs w:val="20"/>
                <w:color w:val="auto"/>
              </w:rPr>
            </w:pPr>
            <w:r>
              <w:rPr>
                <w:rFonts w:ascii="Arial" w:cs="Arial" w:eastAsia="Arial" w:hAnsi="Arial"/>
                <w:sz w:val="22"/>
                <w:szCs w:val="22"/>
                <w:color w:val="auto"/>
              </w:rPr>
              <w:t>CA</w:t>
            </w:r>
          </w:p>
        </w:tc>
        <w:tc>
          <w:tcPr>
            <w:tcW w:w="1040" w:type="dxa"/>
            <w:vAlign w:val="bottom"/>
          </w:tcPr>
          <w:p>
            <w:pPr>
              <w:jc w:val="right"/>
              <w:ind w:right="312"/>
              <w:spacing w:after="0"/>
              <w:rPr>
                <w:sz w:val="20"/>
                <w:szCs w:val="20"/>
                <w:color w:val="auto"/>
              </w:rPr>
            </w:pPr>
            <w:r>
              <w:rPr>
                <w:rFonts w:ascii="Arial" w:cs="Arial" w:eastAsia="Arial" w:hAnsi="Arial"/>
                <w:sz w:val="22"/>
                <w:szCs w:val="22"/>
                <w:color w:val="auto"/>
                <w:w w:val="98"/>
              </w:rPr>
              <w:t>94080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The sales of shares set forth herein are made in connection with a selling plan dated 12/12/2022, that is intended to comply with Rule 10b5-1(c). All shares sold by jVen Capital, LLC.</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07/19/2023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12/12/2022</w:t>
      </w:r>
    </w:p>
    <w:p>
      <w:pPr>
        <w:spacing w:after="0" w:line="618" w:lineRule="exact"/>
        <w:rPr>
          <w:sz w:val="20"/>
          <w:szCs w:val="20"/>
          <w:color w:val="auto"/>
        </w:rPr>
      </w:pPr>
    </w:p>
    <w:p>
      <w:pPr>
        <w:sectPr>
          <w:pgSz w:w="11900" w:h="16838" w:orient="portrait"/>
          <w:cols w:equalWidth="0" w:num="2">
            <w:col w:w="3380" w:space="280"/>
            <w:col w:w="758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6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Goldman Sachs &amp; Co. LLC on behalf of Evan Jones</w:t>
      </w:r>
    </w:p>
    <w:p>
      <w:pPr>
        <w:sectPr>
          <w:pgSz w:w="11900" w:h="16838" w:orient="portrait"/>
          <w:cols w:equalWidth="0" w:num="1">
            <w:col w:w="11240"/>
          </w:cols>
          <w:pgMar w:left="320" w:top="102"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2023-07-19T15:52:58Z</dcterms:created>
  <dcterms:modified xsi:type="dcterms:W3CDTF">2023-07-19T15:52:58Z</dcterms:modified>
</cp:coreProperties>
</file>