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59"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Versant Ventures III, LLC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10/29/2013</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260" w:type="dxa"/>
            <w:vAlign w:val="bottom"/>
          </w:tcPr>
          <w:p>
            <w:pPr>
              <w:jc w:val="center"/>
              <w:ind w:right="92"/>
              <w:spacing w:after="0"/>
              <w:rPr>
                <w:sz w:val="20"/>
                <w:szCs w:val="20"/>
                <w:color w:val="auto"/>
              </w:rPr>
            </w:pPr>
            <w:r>
              <w:rPr>
                <w:rFonts w:ascii="Arial" w:cs="Arial" w:eastAsia="Arial" w:hAnsi="Arial"/>
                <w:sz w:val="14"/>
                <w:szCs w:val="14"/>
                <w:color w:val="auto"/>
                <w:w w:val="92"/>
              </w:rPr>
              <w:t>(First)</w:t>
            </w: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0000FF"/>
              </w:rPr>
              <w:t>VERSANT VENTURES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3000 SAND HILL RD, BLDG 4, SUITE</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210</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MENLO</w:t>
            </w:r>
          </w:p>
        </w:tc>
        <w:tc>
          <w:tcPr>
            <w:tcW w:w="900" w:type="dxa"/>
            <w:vAlign w:val="bottom"/>
            <w:vMerge w:val="restart"/>
          </w:tcPr>
          <w:p>
            <w:pPr>
              <w:ind w:left="240"/>
              <w:spacing w:after="0"/>
              <w:rPr>
                <w:sz w:val="20"/>
                <w:szCs w:val="20"/>
                <w:color w:val="auto"/>
              </w:rPr>
            </w:pPr>
            <w:r>
              <w:rPr>
                <w:rFonts w:ascii="Arial" w:cs="Arial" w:eastAsia="Arial" w:hAnsi="Arial"/>
                <w:sz w:val="18"/>
                <w:szCs w:val="18"/>
                <w:color w:val="0000FF"/>
              </w:rPr>
              <w:t>CA</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0000FF"/>
              </w:rPr>
              <w:t>94025</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PARK</w:t>
            </w:r>
          </w:p>
        </w:tc>
        <w:tc>
          <w:tcPr>
            <w:tcW w:w="9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88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6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2880" w:type="dxa"/>
            <w:vAlign w:val="bottom"/>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122"/>
        </w:trPr>
        <w:tc>
          <w:tcPr>
            <w:tcW w:w="1660" w:type="dxa"/>
            <w:vAlign w:val="bottom"/>
          </w:tcPr>
          <w:p>
            <w:pPr>
              <w:ind w:left="540"/>
              <w:spacing w:after="0" w:line="122"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22" w:lineRule="exact"/>
              <w:rPr>
                <w:sz w:val="20"/>
                <w:szCs w:val="20"/>
                <w:color w:val="auto"/>
              </w:rPr>
            </w:pPr>
            <w:r>
              <w:rPr>
                <w:rFonts w:ascii="Arial" w:cs="Arial" w:eastAsia="Arial" w:hAnsi="Arial"/>
                <w:sz w:val="14"/>
                <w:szCs w:val="14"/>
                <w:color w:val="auto"/>
              </w:rPr>
              <w:t>below)</w:t>
            </w:r>
          </w:p>
        </w:tc>
        <w:tc>
          <w:tcPr>
            <w:tcW w:w="2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bl>
    <w:p>
      <w:pPr>
        <w:spacing w:after="0" w:line="27"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59" w:orient="portrait"/>
          <w:cols w:equalWidth="0" w:num="2">
            <w:col w:w="4720" w:space="480"/>
            <w:col w:w="6220"/>
          </w:cols>
          <w:pgMar w:left="240" w:top="226" w:right="239" w:bottom="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20" w:type="dxa"/>
            <w:vAlign w:val="bottom"/>
          </w:tcPr>
          <w:p>
            <w:pPr>
              <w:spacing w:after="0"/>
              <w:rPr>
                <w:sz w:val="14"/>
                <w:szCs w:val="14"/>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1820" w:type="dxa"/>
            <w:vAlign w:val="bottom"/>
            <w:vMerge w:val="continue"/>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60" w:type="dxa"/>
            <w:vAlign w:val="bottom"/>
            <w:gridSpan w:val="5"/>
            <w:vMerge w:val="restart"/>
          </w:tcPr>
          <w:p>
            <w:pPr>
              <w:ind w:left="60"/>
              <w:spacing w:after="0"/>
              <w:rPr>
                <w:sz w:val="20"/>
                <w:szCs w:val="20"/>
                <w:color w:val="auto"/>
              </w:rPr>
            </w:pPr>
            <w:r>
              <w:rPr>
                <w:rFonts w:ascii="Arial" w:cs="Arial" w:eastAsia="Arial" w:hAnsi="Arial"/>
                <w:sz w:val="18"/>
                <w:szCs w:val="18"/>
                <w:color w:val="0000FF"/>
                <w:w w:val="97"/>
              </w:rPr>
              <w:t>Series A Convertible Preferred Stock</w:t>
            </w:r>
          </w:p>
        </w:tc>
        <w:tc>
          <w:tcPr>
            <w:tcW w:w="1400" w:type="dxa"/>
            <w:vAlign w:val="bottom"/>
            <w:gridSpan w:val="2"/>
            <w:vMerge w:val="restart"/>
          </w:tcPr>
          <w:p>
            <w:pPr>
              <w:jc w:val="right"/>
              <w:ind w:right="312"/>
              <w:spacing w:after="0"/>
              <w:rPr>
                <w:sz w:val="20"/>
                <w:szCs w:val="20"/>
                <w:color w:val="auto"/>
              </w:rPr>
            </w:pPr>
            <w:r>
              <w:rPr>
                <w:rFonts w:ascii="Arial" w:cs="Arial" w:eastAsia="Arial" w:hAnsi="Arial"/>
                <w:sz w:val="11"/>
                <w:szCs w:val="11"/>
                <w:color w:val="008000"/>
              </w:rPr>
              <w:t>(1)</w:t>
            </w:r>
          </w:p>
        </w:tc>
        <w:tc>
          <w:tcPr>
            <w:tcW w:w="800" w:type="dxa"/>
            <w:vAlign w:val="bottom"/>
            <w:gridSpan w:val="4"/>
            <w:vMerge w:val="restart"/>
          </w:tcPr>
          <w:p>
            <w:pPr>
              <w:jc w:val="center"/>
              <w:spacing w:after="0"/>
              <w:rPr>
                <w:sz w:val="20"/>
                <w:szCs w:val="20"/>
                <w:color w:val="auto"/>
              </w:rPr>
            </w:pPr>
            <w:r>
              <w:rPr>
                <w:rFonts w:ascii="Arial" w:cs="Arial" w:eastAsia="Arial" w:hAnsi="Arial"/>
                <w:sz w:val="11"/>
                <w:szCs w:val="11"/>
                <w:color w:val="008000"/>
                <w:w w:val="88"/>
              </w:rPr>
              <w:t>(1)</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39"/>
              <w:spacing w:after="0"/>
              <w:rPr>
                <w:sz w:val="20"/>
                <w:szCs w:val="20"/>
                <w:color w:val="auto"/>
              </w:rPr>
            </w:pPr>
            <w:r>
              <w:rPr>
                <w:rFonts w:ascii="Arial" w:cs="Arial" w:eastAsia="Arial" w:hAnsi="Arial"/>
                <w:sz w:val="18"/>
                <w:szCs w:val="18"/>
                <w:color w:val="0000FF"/>
                <w:w w:val="87"/>
              </w:rPr>
              <w:t>1,797,716</w:t>
            </w:r>
          </w:p>
        </w:tc>
        <w:tc>
          <w:tcPr>
            <w:tcW w:w="880" w:type="dxa"/>
            <w:vAlign w:val="bottom"/>
            <w:vMerge w:val="restart"/>
          </w:tcPr>
          <w:p>
            <w:pPr>
              <w:jc w:val="right"/>
              <w:ind w:right="298"/>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6"/>
              </w:rPr>
              <w:t>By Versant Venture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Capital III, L.P.</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60" w:type="dxa"/>
            <w:vAlign w:val="bottom"/>
            <w:gridSpan w:val="5"/>
            <w:vMerge w:val="restart"/>
          </w:tcPr>
          <w:p>
            <w:pPr>
              <w:ind w:left="60"/>
              <w:spacing w:after="0"/>
              <w:rPr>
                <w:sz w:val="20"/>
                <w:szCs w:val="20"/>
                <w:color w:val="auto"/>
              </w:rPr>
            </w:pPr>
            <w:r>
              <w:rPr>
                <w:rFonts w:ascii="Arial" w:cs="Arial" w:eastAsia="Arial" w:hAnsi="Arial"/>
                <w:sz w:val="18"/>
                <w:szCs w:val="18"/>
                <w:color w:val="0000FF"/>
                <w:w w:val="97"/>
              </w:rPr>
              <w:t>Series A Convertible Preferred Stock</w:t>
            </w:r>
          </w:p>
        </w:tc>
        <w:tc>
          <w:tcPr>
            <w:tcW w:w="1400" w:type="dxa"/>
            <w:vAlign w:val="bottom"/>
            <w:gridSpan w:val="2"/>
            <w:vMerge w:val="restart"/>
          </w:tcPr>
          <w:p>
            <w:pPr>
              <w:jc w:val="right"/>
              <w:ind w:right="312"/>
              <w:spacing w:after="0"/>
              <w:rPr>
                <w:sz w:val="20"/>
                <w:szCs w:val="20"/>
                <w:color w:val="auto"/>
              </w:rPr>
            </w:pPr>
            <w:r>
              <w:rPr>
                <w:rFonts w:ascii="Arial" w:cs="Arial" w:eastAsia="Arial" w:hAnsi="Arial"/>
                <w:sz w:val="11"/>
                <w:szCs w:val="11"/>
                <w:color w:val="008000"/>
              </w:rPr>
              <w:t>(1)</w:t>
            </w:r>
          </w:p>
        </w:tc>
        <w:tc>
          <w:tcPr>
            <w:tcW w:w="800" w:type="dxa"/>
            <w:vAlign w:val="bottom"/>
            <w:gridSpan w:val="4"/>
            <w:vMerge w:val="restart"/>
          </w:tcPr>
          <w:p>
            <w:pPr>
              <w:jc w:val="center"/>
              <w:spacing w:after="0"/>
              <w:rPr>
                <w:sz w:val="20"/>
                <w:szCs w:val="20"/>
                <w:color w:val="auto"/>
              </w:rPr>
            </w:pPr>
            <w:r>
              <w:rPr>
                <w:rFonts w:ascii="Arial" w:cs="Arial" w:eastAsia="Arial" w:hAnsi="Arial"/>
                <w:sz w:val="11"/>
                <w:szCs w:val="11"/>
                <w:color w:val="008000"/>
                <w:w w:val="88"/>
              </w:rPr>
              <w:t>(1)</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19"/>
              <w:spacing w:after="0"/>
              <w:rPr>
                <w:sz w:val="20"/>
                <w:szCs w:val="20"/>
                <w:color w:val="auto"/>
              </w:rPr>
            </w:pPr>
            <w:r>
              <w:rPr>
                <w:rFonts w:ascii="Arial" w:cs="Arial" w:eastAsia="Arial" w:hAnsi="Arial"/>
                <w:sz w:val="18"/>
                <w:szCs w:val="18"/>
                <w:color w:val="0000FF"/>
                <w:w w:val="87"/>
              </w:rPr>
              <w:t>10,617</w:t>
            </w:r>
          </w:p>
        </w:tc>
        <w:tc>
          <w:tcPr>
            <w:tcW w:w="880" w:type="dxa"/>
            <w:vAlign w:val="bottom"/>
            <w:vMerge w:val="restart"/>
          </w:tcPr>
          <w:p>
            <w:pPr>
              <w:jc w:val="right"/>
              <w:ind w:right="298"/>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By Versant Side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Fund III, L.P.</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60" w:type="dxa"/>
            <w:vAlign w:val="bottom"/>
            <w:gridSpan w:val="5"/>
            <w:vMerge w:val="restart"/>
          </w:tcPr>
          <w:p>
            <w:pPr>
              <w:ind w:left="60"/>
              <w:spacing w:after="0"/>
              <w:rPr>
                <w:sz w:val="20"/>
                <w:szCs w:val="20"/>
                <w:color w:val="auto"/>
              </w:rPr>
            </w:pPr>
            <w:r>
              <w:rPr>
                <w:rFonts w:ascii="Arial" w:cs="Arial" w:eastAsia="Arial" w:hAnsi="Arial"/>
                <w:sz w:val="18"/>
                <w:szCs w:val="18"/>
                <w:color w:val="0000FF"/>
                <w:w w:val="97"/>
              </w:rPr>
              <w:t>Series B Convertible Preferred Stock</w:t>
            </w:r>
          </w:p>
        </w:tc>
        <w:tc>
          <w:tcPr>
            <w:tcW w:w="1400" w:type="dxa"/>
            <w:vAlign w:val="bottom"/>
            <w:gridSpan w:val="2"/>
            <w:vMerge w:val="restart"/>
          </w:tcPr>
          <w:p>
            <w:pPr>
              <w:jc w:val="right"/>
              <w:ind w:right="312"/>
              <w:spacing w:after="0"/>
              <w:rPr>
                <w:sz w:val="20"/>
                <w:szCs w:val="20"/>
                <w:color w:val="auto"/>
              </w:rPr>
            </w:pPr>
            <w:r>
              <w:rPr>
                <w:rFonts w:ascii="Arial" w:cs="Arial" w:eastAsia="Arial" w:hAnsi="Arial"/>
                <w:sz w:val="11"/>
                <w:szCs w:val="11"/>
                <w:color w:val="008000"/>
              </w:rPr>
              <w:t>(1)</w:t>
            </w:r>
          </w:p>
        </w:tc>
        <w:tc>
          <w:tcPr>
            <w:tcW w:w="800" w:type="dxa"/>
            <w:vAlign w:val="bottom"/>
            <w:gridSpan w:val="4"/>
            <w:vMerge w:val="restart"/>
          </w:tcPr>
          <w:p>
            <w:pPr>
              <w:jc w:val="center"/>
              <w:spacing w:after="0"/>
              <w:rPr>
                <w:sz w:val="20"/>
                <w:szCs w:val="20"/>
                <w:color w:val="auto"/>
              </w:rPr>
            </w:pPr>
            <w:r>
              <w:rPr>
                <w:rFonts w:ascii="Arial" w:cs="Arial" w:eastAsia="Arial" w:hAnsi="Arial"/>
                <w:sz w:val="11"/>
                <w:szCs w:val="11"/>
                <w:color w:val="008000"/>
                <w:w w:val="88"/>
              </w:rPr>
              <w:t>(1)</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39"/>
              <w:spacing w:after="0"/>
              <w:rPr>
                <w:sz w:val="20"/>
                <w:szCs w:val="20"/>
                <w:color w:val="auto"/>
              </w:rPr>
            </w:pPr>
            <w:r>
              <w:rPr>
                <w:rFonts w:ascii="Arial" w:cs="Arial" w:eastAsia="Arial" w:hAnsi="Arial"/>
                <w:sz w:val="18"/>
                <w:szCs w:val="18"/>
                <w:color w:val="0000FF"/>
                <w:w w:val="89"/>
              </w:rPr>
              <w:t>998,105</w:t>
            </w:r>
          </w:p>
        </w:tc>
        <w:tc>
          <w:tcPr>
            <w:tcW w:w="880" w:type="dxa"/>
            <w:vAlign w:val="bottom"/>
            <w:vMerge w:val="restart"/>
          </w:tcPr>
          <w:p>
            <w:pPr>
              <w:jc w:val="right"/>
              <w:ind w:right="298"/>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6"/>
              </w:rPr>
              <w:t>By Versant Venture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Capital III, L.P.</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60" w:type="dxa"/>
            <w:vAlign w:val="bottom"/>
            <w:gridSpan w:val="5"/>
            <w:vMerge w:val="restart"/>
          </w:tcPr>
          <w:p>
            <w:pPr>
              <w:ind w:left="60"/>
              <w:spacing w:after="0"/>
              <w:rPr>
                <w:sz w:val="20"/>
                <w:szCs w:val="20"/>
                <w:color w:val="auto"/>
              </w:rPr>
            </w:pPr>
            <w:r>
              <w:rPr>
                <w:rFonts w:ascii="Arial" w:cs="Arial" w:eastAsia="Arial" w:hAnsi="Arial"/>
                <w:sz w:val="18"/>
                <w:szCs w:val="18"/>
                <w:color w:val="0000FF"/>
                <w:w w:val="97"/>
              </w:rPr>
              <w:t>Series B Convertible Preferred Stock</w:t>
            </w:r>
          </w:p>
        </w:tc>
        <w:tc>
          <w:tcPr>
            <w:tcW w:w="1400" w:type="dxa"/>
            <w:vAlign w:val="bottom"/>
            <w:gridSpan w:val="2"/>
            <w:vMerge w:val="restart"/>
          </w:tcPr>
          <w:p>
            <w:pPr>
              <w:jc w:val="right"/>
              <w:ind w:right="312"/>
              <w:spacing w:after="0"/>
              <w:rPr>
                <w:sz w:val="20"/>
                <w:szCs w:val="20"/>
                <w:color w:val="auto"/>
              </w:rPr>
            </w:pPr>
            <w:r>
              <w:rPr>
                <w:rFonts w:ascii="Arial" w:cs="Arial" w:eastAsia="Arial" w:hAnsi="Arial"/>
                <w:sz w:val="11"/>
                <w:szCs w:val="11"/>
                <w:color w:val="008000"/>
              </w:rPr>
              <w:t>(1)</w:t>
            </w:r>
          </w:p>
        </w:tc>
        <w:tc>
          <w:tcPr>
            <w:tcW w:w="800" w:type="dxa"/>
            <w:vAlign w:val="bottom"/>
            <w:gridSpan w:val="4"/>
            <w:vMerge w:val="restart"/>
          </w:tcPr>
          <w:p>
            <w:pPr>
              <w:jc w:val="center"/>
              <w:spacing w:after="0"/>
              <w:rPr>
                <w:sz w:val="20"/>
                <w:szCs w:val="20"/>
                <w:color w:val="auto"/>
              </w:rPr>
            </w:pPr>
            <w:r>
              <w:rPr>
                <w:rFonts w:ascii="Arial" w:cs="Arial" w:eastAsia="Arial" w:hAnsi="Arial"/>
                <w:sz w:val="11"/>
                <w:szCs w:val="11"/>
                <w:color w:val="008000"/>
                <w:w w:val="88"/>
              </w:rPr>
              <w:t>(1)</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19"/>
              <w:spacing w:after="0"/>
              <w:rPr>
                <w:sz w:val="20"/>
                <w:szCs w:val="20"/>
                <w:color w:val="auto"/>
              </w:rPr>
            </w:pPr>
            <w:r>
              <w:rPr>
                <w:rFonts w:ascii="Arial" w:cs="Arial" w:eastAsia="Arial" w:hAnsi="Arial"/>
                <w:sz w:val="18"/>
                <w:szCs w:val="18"/>
                <w:color w:val="0000FF"/>
                <w:w w:val="88"/>
              </w:rPr>
              <w:t>5,895</w:t>
            </w:r>
          </w:p>
        </w:tc>
        <w:tc>
          <w:tcPr>
            <w:tcW w:w="880" w:type="dxa"/>
            <w:vAlign w:val="bottom"/>
            <w:vMerge w:val="restart"/>
          </w:tcPr>
          <w:p>
            <w:pPr>
              <w:jc w:val="right"/>
              <w:ind w:right="298"/>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By Versant Side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Fund III, L.P.</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60" w:type="dxa"/>
            <w:vAlign w:val="bottom"/>
            <w:gridSpan w:val="5"/>
            <w:vMerge w:val="restart"/>
          </w:tcPr>
          <w:p>
            <w:pPr>
              <w:ind w:left="60"/>
              <w:spacing w:after="0"/>
              <w:rPr>
                <w:sz w:val="20"/>
                <w:szCs w:val="20"/>
                <w:color w:val="auto"/>
              </w:rPr>
            </w:pPr>
            <w:r>
              <w:rPr>
                <w:rFonts w:ascii="Arial" w:cs="Arial" w:eastAsia="Arial" w:hAnsi="Arial"/>
                <w:sz w:val="18"/>
                <w:szCs w:val="18"/>
                <w:color w:val="0000FF"/>
                <w:w w:val="97"/>
              </w:rPr>
              <w:t>Series C Convertible Preferred Stock</w:t>
            </w:r>
          </w:p>
        </w:tc>
        <w:tc>
          <w:tcPr>
            <w:tcW w:w="1400" w:type="dxa"/>
            <w:vAlign w:val="bottom"/>
            <w:gridSpan w:val="2"/>
            <w:vMerge w:val="restart"/>
          </w:tcPr>
          <w:p>
            <w:pPr>
              <w:jc w:val="right"/>
              <w:ind w:right="312"/>
              <w:spacing w:after="0"/>
              <w:rPr>
                <w:sz w:val="20"/>
                <w:szCs w:val="20"/>
                <w:color w:val="auto"/>
              </w:rPr>
            </w:pPr>
            <w:r>
              <w:rPr>
                <w:rFonts w:ascii="Arial" w:cs="Arial" w:eastAsia="Arial" w:hAnsi="Arial"/>
                <w:sz w:val="11"/>
                <w:szCs w:val="11"/>
                <w:color w:val="008000"/>
              </w:rPr>
              <w:t>(1)</w:t>
            </w:r>
          </w:p>
        </w:tc>
        <w:tc>
          <w:tcPr>
            <w:tcW w:w="800" w:type="dxa"/>
            <w:vAlign w:val="bottom"/>
            <w:gridSpan w:val="4"/>
            <w:vMerge w:val="restart"/>
          </w:tcPr>
          <w:p>
            <w:pPr>
              <w:jc w:val="center"/>
              <w:spacing w:after="0"/>
              <w:rPr>
                <w:sz w:val="20"/>
                <w:szCs w:val="20"/>
                <w:color w:val="auto"/>
              </w:rPr>
            </w:pPr>
            <w:r>
              <w:rPr>
                <w:rFonts w:ascii="Arial" w:cs="Arial" w:eastAsia="Arial" w:hAnsi="Arial"/>
                <w:sz w:val="11"/>
                <w:szCs w:val="11"/>
                <w:color w:val="008000"/>
                <w:w w:val="88"/>
              </w:rPr>
              <w:t>(1)</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39"/>
              <w:spacing w:after="0"/>
              <w:rPr>
                <w:sz w:val="20"/>
                <w:szCs w:val="20"/>
                <w:color w:val="auto"/>
              </w:rPr>
            </w:pPr>
            <w:r>
              <w:rPr>
                <w:rFonts w:ascii="Arial" w:cs="Arial" w:eastAsia="Arial" w:hAnsi="Arial"/>
                <w:sz w:val="18"/>
                <w:szCs w:val="18"/>
                <w:color w:val="0000FF"/>
                <w:w w:val="89"/>
              </w:rPr>
              <w:t>799,168</w:t>
            </w:r>
          </w:p>
        </w:tc>
        <w:tc>
          <w:tcPr>
            <w:tcW w:w="880" w:type="dxa"/>
            <w:vAlign w:val="bottom"/>
            <w:vMerge w:val="restart"/>
          </w:tcPr>
          <w:p>
            <w:pPr>
              <w:jc w:val="right"/>
              <w:ind w:right="298"/>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6"/>
              </w:rPr>
              <w:t>By Versant Venture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Capital III, L.P.</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60" w:type="dxa"/>
            <w:vAlign w:val="bottom"/>
            <w:gridSpan w:val="5"/>
            <w:vMerge w:val="restart"/>
          </w:tcPr>
          <w:p>
            <w:pPr>
              <w:ind w:left="60"/>
              <w:spacing w:after="0"/>
              <w:rPr>
                <w:sz w:val="20"/>
                <w:szCs w:val="20"/>
                <w:color w:val="auto"/>
              </w:rPr>
            </w:pPr>
            <w:r>
              <w:rPr>
                <w:rFonts w:ascii="Arial" w:cs="Arial" w:eastAsia="Arial" w:hAnsi="Arial"/>
                <w:sz w:val="18"/>
                <w:szCs w:val="18"/>
                <w:color w:val="0000FF"/>
                <w:w w:val="97"/>
              </w:rPr>
              <w:t>Series C Convertible Preferred Stock</w:t>
            </w:r>
          </w:p>
        </w:tc>
        <w:tc>
          <w:tcPr>
            <w:tcW w:w="1400" w:type="dxa"/>
            <w:vAlign w:val="bottom"/>
            <w:gridSpan w:val="2"/>
            <w:vMerge w:val="restart"/>
          </w:tcPr>
          <w:p>
            <w:pPr>
              <w:jc w:val="right"/>
              <w:ind w:right="312"/>
              <w:spacing w:after="0"/>
              <w:rPr>
                <w:sz w:val="20"/>
                <w:szCs w:val="20"/>
                <w:color w:val="auto"/>
              </w:rPr>
            </w:pPr>
            <w:r>
              <w:rPr>
                <w:rFonts w:ascii="Arial" w:cs="Arial" w:eastAsia="Arial" w:hAnsi="Arial"/>
                <w:sz w:val="11"/>
                <w:szCs w:val="11"/>
                <w:color w:val="008000"/>
              </w:rPr>
              <w:t>(1)</w:t>
            </w:r>
          </w:p>
        </w:tc>
        <w:tc>
          <w:tcPr>
            <w:tcW w:w="800" w:type="dxa"/>
            <w:vAlign w:val="bottom"/>
            <w:gridSpan w:val="4"/>
            <w:vMerge w:val="restart"/>
          </w:tcPr>
          <w:p>
            <w:pPr>
              <w:jc w:val="center"/>
              <w:spacing w:after="0"/>
              <w:rPr>
                <w:sz w:val="20"/>
                <w:szCs w:val="20"/>
                <w:color w:val="auto"/>
              </w:rPr>
            </w:pPr>
            <w:r>
              <w:rPr>
                <w:rFonts w:ascii="Arial" w:cs="Arial" w:eastAsia="Arial" w:hAnsi="Arial"/>
                <w:sz w:val="11"/>
                <w:szCs w:val="11"/>
                <w:color w:val="008000"/>
                <w:w w:val="88"/>
              </w:rPr>
              <w:t>(1)</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19"/>
              <w:spacing w:after="0"/>
              <w:rPr>
                <w:sz w:val="20"/>
                <w:szCs w:val="20"/>
                <w:color w:val="auto"/>
              </w:rPr>
            </w:pPr>
            <w:r>
              <w:rPr>
                <w:rFonts w:ascii="Arial" w:cs="Arial" w:eastAsia="Arial" w:hAnsi="Arial"/>
                <w:sz w:val="18"/>
                <w:szCs w:val="18"/>
                <w:color w:val="0000FF"/>
                <w:w w:val="88"/>
              </w:rPr>
              <w:t>4,720</w:t>
            </w:r>
          </w:p>
        </w:tc>
        <w:tc>
          <w:tcPr>
            <w:tcW w:w="880" w:type="dxa"/>
            <w:vAlign w:val="bottom"/>
            <w:vMerge w:val="restart"/>
          </w:tcPr>
          <w:p>
            <w:pPr>
              <w:jc w:val="right"/>
              <w:ind w:right="298"/>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By Versant Side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Fund III, L.P.</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6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6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gridSpan w:val="4"/>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Versant Ventures III, LLC</w:t>
              </w:r>
            </w:hyperlink>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gridSpan w:val="3"/>
          </w:tcPr>
          <w:p>
            <w:pPr>
              <w:ind w:left="160"/>
              <w:spacing w:after="0"/>
              <w:rPr>
                <w:sz w:val="20"/>
                <w:szCs w:val="20"/>
                <w:color w:val="auto"/>
              </w:rPr>
            </w:pPr>
            <w:r>
              <w:rPr>
                <w:rFonts w:ascii="Arial" w:cs="Arial" w:eastAsia="Arial" w:hAnsi="Arial"/>
                <w:sz w:val="14"/>
                <w:szCs w:val="14"/>
                <w:color w:val="auto"/>
              </w:rPr>
              <w:t>(First)</w:t>
            </w: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18"/>
                <w:szCs w:val="18"/>
                <w:color w:val="0000FF"/>
              </w:rPr>
              <w:t>VERSANT VENTURES</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60" w:type="dxa"/>
            <w:vAlign w:val="bottom"/>
            <w:gridSpan w:val="6"/>
          </w:tcPr>
          <w:p>
            <w:pPr>
              <w:spacing w:after="0"/>
              <w:rPr>
                <w:sz w:val="20"/>
                <w:szCs w:val="20"/>
                <w:color w:val="auto"/>
              </w:rPr>
            </w:pPr>
            <w:r>
              <w:rPr>
                <w:rFonts w:ascii="Arial" w:cs="Arial" w:eastAsia="Arial" w:hAnsi="Arial"/>
                <w:sz w:val="18"/>
                <w:szCs w:val="18"/>
                <w:color w:val="0000FF"/>
              </w:rPr>
              <w:t>3000 SAND HILL RD, BLDG 4, SUITE 210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MENLO PARK</w:t>
            </w:r>
          </w:p>
        </w:tc>
        <w:tc>
          <w:tcPr>
            <w:tcW w:w="1560" w:type="dxa"/>
            <w:vAlign w:val="bottom"/>
            <w:gridSpan w:val="3"/>
          </w:tcPr>
          <w:p>
            <w:pPr>
              <w:ind w:left="160"/>
              <w:spacing w:after="0"/>
              <w:rPr>
                <w:sz w:val="20"/>
                <w:szCs w:val="20"/>
                <w:color w:val="auto"/>
              </w:rPr>
            </w:pPr>
            <w:r>
              <w:rPr>
                <w:rFonts w:ascii="Arial" w:cs="Arial" w:eastAsia="Arial" w:hAnsi="Arial"/>
                <w:sz w:val="18"/>
                <w:szCs w:val="18"/>
                <w:color w:val="0000FF"/>
              </w:rPr>
              <w:t>CA</w:t>
            </w:r>
          </w:p>
        </w:tc>
        <w:tc>
          <w:tcPr>
            <w:tcW w:w="520" w:type="dxa"/>
            <w:vAlign w:val="bottom"/>
          </w:tcPr>
          <w:p>
            <w:pPr>
              <w:ind w:left="60"/>
              <w:spacing w:after="0"/>
              <w:rPr>
                <w:sz w:val="20"/>
                <w:szCs w:val="20"/>
                <w:color w:val="auto"/>
              </w:rPr>
            </w:pPr>
            <w:r>
              <w:rPr>
                <w:rFonts w:ascii="Arial" w:cs="Arial" w:eastAsia="Arial" w:hAnsi="Arial"/>
                <w:sz w:val="18"/>
                <w:szCs w:val="18"/>
                <w:color w:val="0000FF"/>
                <w:w w:val="87"/>
              </w:rPr>
              <w:t>94025</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gridSpan w:val="3"/>
          </w:tcPr>
          <w:p>
            <w:pPr>
              <w:ind w:left="160"/>
              <w:spacing w:after="0"/>
              <w:rPr>
                <w:sz w:val="20"/>
                <w:szCs w:val="20"/>
                <w:color w:val="auto"/>
              </w:rPr>
            </w:pPr>
            <w:r>
              <w:rPr>
                <w:rFonts w:ascii="Arial" w:cs="Arial" w:eastAsia="Arial" w:hAnsi="Arial"/>
                <w:sz w:val="14"/>
                <w:szCs w:val="14"/>
                <w:color w:val="auto"/>
              </w:rPr>
              <w:t>(State)</w:t>
            </w: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6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gridSpan w:val="4"/>
          </w:tcPr>
          <w:p>
            <w:pPr>
              <w:spacing w:after="0" w:line="224" w:lineRule="exact"/>
              <w:rPr>
                <w:rFonts w:ascii="Arial" w:cs="Arial" w:eastAsia="Arial" w:hAnsi="Arial"/>
                <w:sz w:val="22"/>
                <w:szCs w:val="22"/>
                <w:color w:val="0000EE"/>
                <w:w w:val="91"/>
              </w:rPr>
            </w:pPr>
            <w:hyperlink r:id="rId13">
              <w:r>
                <w:rPr>
                  <w:rFonts w:ascii="Arial" w:cs="Arial" w:eastAsia="Arial" w:hAnsi="Arial"/>
                  <w:sz w:val="22"/>
                  <w:szCs w:val="22"/>
                  <w:color w:val="0000EE"/>
                  <w:w w:val="91"/>
                </w:rPr>
                <w:t>Versant Venture Capital III, L.P.</w:t>
              </w:r>
            </w:hyperlink>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gridSpan w:val="3"/>
          </w:tcPr>
          <w:p>
            <w:pPr>
              <w:ind w:left="160"/>
              <w:spacing w:after="0"/>
              <w:rPr>
                <w:sz w:val="20"/>
                <w:szCs w:val="20"/>
                <w:color w:val="auto"/>
              </w:rPr>
            </w:pPr>
            <w:r>
              <w:rPr>
                <w:rFonts w:ascii="Arial" w:cs="Arial" w:eastAsia="Arial" w:hAnsi="Arial"/>
                <w:sz w:val="14"/>
                <w:szCs w:val="14"/>
                <w:color w:val="auto"/>
              </w:rPr>
              <w:t>(First)</w:t>
            </w: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VERSANT VENTURES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3000 SAND HILL RD, BLDG 4, SUITE 210</w:t>
      </w:r>
    </w:p>
    <w:p>
      <w:pPr>
        <w:sectPr>
          <w:pgSz w:w="11900" w:h="16859" w:orient="portrait"/>
          <w:cols w:equalWidth="0" w:num="1">
            <w:col w:w="11420"/>
          </w:cols>
          <w:pgMar w:left="240" w:top="226" w:right="239" w:bottom="0" w:gutter="0" w:footer="0" w:header="0"/>
          <w:type w:val="continuous"/>
        </w:sect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59"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MENLO PARK</w:t>
            </w:r>
          </w:p>
        </w:tc>
        <w:tc>
          <w:tcPr>
            <w:tcW w:w="1440" w:type="dxa"/>
            <w:vAlign w:val="bottom"/>
            <w:gridSpan w:val="2"/>
          </w:tcPr>
          <w:p>
            <w:pPr>
              <w:ind w:left="160"/>
              <w:spacing w:after="0"/>
              <w:rPr>
                <w:sz w:val="20"/>
                <w:szCs w:val="20"/>
                <w:color w:val="auto"/>
              </w:rPr>
            </w:pPr>
            <w:r>
              <w:rPr>
                <w:rFonts w:ascii="Arial" w:cs="Arial" w:eastAsia="Arial" w:hAnsi="Arial"/>
                <w:sz w:val="18"/>
                <w:szCs w:val="18"/>
                <w:color w:val="0000FF"/>
              </w:rPr>
              <w:t>CA</w:t>
            </w:r>
          </w:p>
        </w:tc>
        <w:tc>
          <w:tcPr>
            <w:tcW w:w="1600" w:type="dxa"/>
            <w:vAlign w:val="bottom"/>
          </w:tcPr>
          <w:p>
            <w:pPr>
              <w:ind w:left="180"/>
              <w:spacing w:after="0"/>
              <w:rPr>
                <w:sz w:val="20"/>
                <w:szCs w:val="20"/>
                <w:color w:val="auto"/>
              </w:rPr>
            </w:pPr>
            <w:r>
              <w:rPr>
                <w:rFonts w:ascii="Arial" w:cs="Arial" w:eastAsia="Arial" w:hAnsi="Arial"/>
                <w:sz w:val="18"/>
                <w:szCs w:val="18"/>
                <w:color w:val="0000FF"/>
              </w:rPr>
              <w:t>94025</w:t>
            </w:r>
          </w:p>
        </w:tc>
        <w:tc>
          <w:tcPr>
            <w:tcW w:w="100" w:type="dxa"/>
            <w:vAlign w:val="bottom"/>
          </w:tcPr>
          <w:p>
            <w:pPr>
              <w:spacing w:after="0"/>
              <w:rPr>
                <w:sz w:val="19"/>
                <w:szCs w:val="19"/>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Versant Side Fund III,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-1156970</wp:posOffset>
            </wp:positionV>
            <wp:extent cx="2924175" cy="2336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2336800"/>
                    </a:xfrm>
                    <a:prstGeom prst="rect">
                      <a:avLst/>
                    </a:prstGeom>
                    <a:noFill/>
                  </pic:spPr>
                </pic:pic>
              </a:graphicData>
            </a:graphic>
          </wp:anchor>
        </w:drawing>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VERSANT VENTURES</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3000 SAND HILL RD, BLDG 4, SUITE 210</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3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MENLO PARK</w:t>
            </w:r>
          </w:p>
        </w:tc>
        <w:tc>
          <w:tcPr>
            <w:tcW w:w="1100" w:type="dxa"/>
            <w:vAlign w:val="bottom"/>
          </w:tcPr>
          <w:p>
            <w:pPr>
              <w:ind w:left="16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94025</w:t>
            </w:r>
          </w:p>
        </w:tc>
      </w:tr>
      <w:tr>
        <w:trPr>
          <w:trHeight w:val="158"/>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1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1. Each outstanding share of convertible preferred stock will automatically convert into 0.25 shares of common stock upon closing of the Issuer's initial public offering and has no expiration date.</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line="228" w:lineRule="auto"/>
        <w:rPr>
          <w:sz w:val="20"/>
          <w:szCs w:val="20"/>
          <w:color w:val="auto"/>
        </w:rPr>
      </w:pPr>
      <w:r>
        <w:rPr>
          <w:rFonts w:ascii="Arial" w:cs="Arial" w:eastAsia="Arial" w:hAnsi="Arial"/>
          <w:sz w:val="14"/>
          <w:szCs w:val="14"/>
          <w:color w:val="008000"/>
        </w:rPr>
        <w:t>This Form 3 is filed jointly by Versant Ventures III, LLC ("Versant LLC"), Versant Venture Capital III, L.P. ("Versant Capital") and Versant Side Fund III, L.P. ("Versant Side Fund") (collectively, the "Reporting Persons"). Versant LLC is the sole general partner of Versant Capital and Versant Side Fund and has voting and dispositive power with respect to these shares. The individual managing members of Versant Ventures III, LLC are Brian G. Atwood, Bradley J. Bolzon, Samuel D. Colella, Ross A. Jaffe, William J. Link, Barbara N. Lubash, Donald B. Milder, Rebecca B. Robertson, and Charles M. Warden (collectively, the "Managing Members"), all of whom share voting and investment power with respect to these shares. Each individual Managing Member disclaims beneficial ownership of these shares, except to the extent of their pecuniary interest in such shares.</w:t>
      </w:r>
    </w:p>
    <w:p>
      <w:pPr>
        <w:spacing w:after="0" w:line="3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/s/Brian G. Atwood, as</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10/29/2013</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Managing Director</w:t>
            </w: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20" w:type="dxa"/>
            <w:vAlign w:val="bottom"/>
            <w:tcBorders>
              <w:top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500" w:firstLine="9"/>
        <w:spacing w:after="0" w:line="350" w:lineRule="auto"/>
        <w:tabs>
          <w:tab w:leader="none" w:pos="16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60" w:top="1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1" Type="http://schemas.openxmlformats.org/officeDocument/2006/relationships/hyperlink" Target="http://www.sec.gov/cgi-bin/browse-edgar?action=getcompany&amp;CIK=0001456587" TargetMode="External"/><Relationship Id="rId12" Type="http://schemas.openxmlformats.org/officeDocument/2006/relationships/hyperlink" Target="http://www.sec.gov/cgi-bin/browse-edgar?action=getcompany&amp;CIK=0001384101" TargetMode="External"/><Relationship Id="rId13" Type="http://schemas.openxmlformats.org/officeDocument/2006/relationships/hyperlink" Target="http://www.sec.gov/cgi-bin/browse-edgar?action=getcompany&amp;CIK=0001456586" TargetMode="External"/><Relationship Id="rId14" Type="http://schemas.openxmlformats.org/officeDocument/2006/relationships/hyperlink" Target="http://www.sec.gov/cgi-bin/browse-edgar?action=getcompany&amp;CIK=0001456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2019-12-16T22:05:36Z</dcterms:created>
  <dcterms:modified xsi:type="dcterms:W3CDTF">2019-12-16T22:05:36Z</dcterms:modified>
</cp:coreProperties>
</file>