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July 30, 2020</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904" w:right="339" w:bottom="1440" w:gutter="0" w:footer="0" w:header="0"/>
        </w:sectPr>
      </w:pPr>
    </w:p>
    <w:p>
      <w:pPr>
        <w:spacing w:after="0" w:line="207" w:lineRule="exact"/>
        <w:rPr>
          <w:sz w:val="24"/>
          <w:szCs w:val="24"/>
          <w:color w:val="auto"/>
        </w:rPr>
      </w:pPr>
    </w:p>
    <w:p>
      <w:pPr>
        <w:jc w:val="center"/>
        <w:ind w:left="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5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00" w:space="720"/>
            <w:col w:w="2340" w:space="720"/>
            <w:col w:w="3460"/>
          </w:cols>
          <w:pgMar w:left="320" w:top="904" w:right="339" w:bottom="1440" w:gutter="0" w:footer="0" w:header="0"/>
          <w:type w:val="continuous"/>
        </w:sectPr>
      </w:pPr>
    </w:p>
    <w:p>
      <w:pPr>
        <w:spacing w:after="0" w:line="18"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6000 Shoreline Court, Suite 300, South San Francisco, California</w:t>
      </w:r>
    </w:p>
    <w:p>
      <w:pPr>
        <w:spacing w:after="0" w:line="50"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82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900" w:space="720"/>
            <w:col w:w="2620"/>
          </w:cols>
          <w:pgMar w:left="320" w:top="904"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40" w:firstLine="54"/>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1200" w:hanging="706"/>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1200" w:hanging="706"/>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200" w:hanging="706"/>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1200" w:hanging="706"/>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32"/>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00" w:type="dxa"/>
            <w:vAlign w:val="bottom"/>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VCYT</w:t>
            </w:r>
          </w:p>
        </w:tc>
        <w:tc>
          <w:tcPr>
            <w:tcW w:w="20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28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407670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775970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30, 2020, Veracyte, Inc. issued a press release announcing its financial results for the quarter ended June 30, 2020. The full text of the press release is furnished as Exhibit 99.1 to this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d) Exhibits</w:t>
            </w:r>
          </w:p>
        </w:tc>
        <w:tc>
          <w:tcPr>
            <w:tcW w:w="30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Exhibit No.</w:t>
            </w:r>
          </w:p>
        </w:tc>
        <w:tc>
          <w:tcPr>
            <w:tcW w:w="9520" w:type="dxa"/>
            <w:vAlign w:val="bottom"/>
            <w:gridSpan w:val="2"/>
          </w:tcPr>
          <w:p>
            <w:pPr>
              <w:ind w:left="300"/>
              <w:spacing w:after="0"/>
              <w:rPr>
                <w:sz w:val="20"/>
                <w:szCs w:val="20"/>
                <w:color w:val="auto"/>
              </w:rPr>
            </w:pPr>
            <w:r>
              <w:rPr>
                <w:rFonts w:ascii="Arial" w:cs="Arial" w:eastAsia="Arial" w:hAnsi="Arial"/>
                <w:sz w:val="18"/>
                <w:szCs w:val="18"/>
                <w:color w:val="auto"/>
              </w:rPr>
              <w:t>Description</w:t>
            </w:r>
          </w:p>
        </w:tc>
        <w:tc>
          <w:tcPr>
            <w:tcW w:w="320" w:type="dxa"/>
            <w:vAlign w:val="bottom"/>
          </w:tcPr>
          <w:p>
            <w:pPr>
              <w:spacing w:after="0"/>
              <w:rPr>
                <w:sz w:val="24"/>
                <w:szCs w:val="24"/>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1"/>
        </w:trPr>
        <w:tc>
          <w:tcPr>
            <w:tcW w:w="1400" w:type="dxa"/>
            <w:vAlign w:val="bottom"/>
          </w:tcPr>
          <w:p>
            <w:pPr>
              <w:jc w:val="right"/>
              <w:ind w:right="450"/>
              <w:spacing w:after="0"/>
              <w:rPr>
                <w:sz w:val="20"/>
                <w:szCs w:val="20"/>
                <w:color w:val="auto"/>
              </w:rPr>
            </w:pPr>
            <w:r>
              <w:rPr>
                <w:rFonts w:ascii="Arial" w:cs="Arial" w:eastAsia="Arial" w:hAnsi="Arial"/>
                <w:sz w:val="18"/>
                <w:szCs w:val="18"/>
                <w:color w:val="auto"/>
              </w:rPr>
              <w:t>99.1</w:t>
            </w:r>
          </w:p>
        </w:tc>
        <w:tc>
          <w:tcPr>
            <w:tcW w:w="9520" w:type="dxa"/>
            <w:vAlign w:val="bottom"/>
            <w:gridSpan w:val="2"/>
          </w:tcPr>
          <w:p>
            <w:pPr>
              <w:ind w:left="3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issued by Veracyte, Inc. dated July 30, 2020.</w:t>
              </w:r>
            </w:hyperlink>
          </w:p>
        </w:tc>
        <w:tc>
          <w:tcPr>
            <w:tcW w:w="320" w:type="dxa"/>
            <w:vAlign w:val="bottom"/>
          </w:tcPr>
          <w:p>
            <w:pPr>
              <w:spacing w:after="0"/>
              <w:rPr>
                <w:sz w:val="24"/>
                <w:szCs w:val="24"/>
                <w:color w:val="auto"/>
              </w:rPr>
            </w:pPr>
          </w:p>
        </w:tc>
      </w:tr>
      <w:tr>
        <w:trPr>
          <w:trHeight w:val="230"/>
        </w:trPr>
        <w:tc>
          <w:tcPr>
            <w:tcW w:w="1400" w:type="dxa"/>
            <w:vAlign w:val="bottom"/>
          </w:tcPr>
          <w:p>
            <w:pPr>
              <w:jc w:val="right"/>
              <w:ind w:right="470"/>
              <w:spacing w:after="0"/>
              <w:rPr>
                <w:sz w:val="20"/>
                <w:szCs w:val="20"/>
                <w:color w:val="auto"/>
              </w:rPr>
            </w:pPr>
            <w:r>
              <w:rPr>
                <w:rFonts w:ascii="Arial" w:cs="Arial" w:eastAsia="Arial" w:hAnsi="Arial"/>
                <w:sz w:val="18"/>
                <w:szCs w:val="18"/>
                <w:color w:val="auto"/>
              </w:rPr>
              <w:t>104</w:t>
            </w:r>
          </w:p>
        </w:tc>
        <w:tc>
          <w:tcPr>
            <w:tcW w:w="9520" w:type="dxa"/>
            <w:vAlign w:val="bottom"/>
            <w:gridSpan w:val="2"/>
          </w:tcPr>
          <w:p>
            <w:pPr>
              <w:ind w:left="30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320" w:type="dxa"/>
            <w:vAlign w:val="bottom"/>
          </w:tcPr>
          <w:p>
            <w:pPr>
              <w:spacing w:after="0"/>
              <w:rPr>
                <w:sz w:val="20"/>
                <w:szCs w:val="20"/>
                <w:color w:val="auto"/>
              </w:rPr>
            </w:pPr>
          </w:p>
        </w:tc>
      </w:tr>
      <w:tr>
        <w:trPr>
          <w:trHeight w:val="790"/>
        </w:trPr>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30, 2020</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Keith Kennedy</w:t>
            </w:r>
          </w:p>
        </w:tc>
      </w:tr>
      <w:tr>
        <w:trPr>
          <w:trHeight w:val="195"/>
        </w:trPr>
        <w:tc>
          <w:tcPr>
            <w:tcW w:w="9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ind w:left="60"/>
              <w:spacing w:after="0" w:line="195" w:lineRule="exact"/>
              <w:rPr>
                <w:sz w:val="20"/>
                <w:szCs w:val="20"/>
                <w:color w:val="auto"/>
              </w:rPr>
            </w:pPr>
            <w:r>
              <w:rPr>
                <w:rFonts w:ascii="Arial" w:cs="Arial" w:eastAsia="Arial" w:hAnsi="Arial"/>
                <w:sz w:val="18"/>
                <w:szCs w:val="18"/>
                <w:color w:val="auto"/>
              </w:rPr>
              <w:t>Keith Kennedy</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60"/>
              <w:spacing w:after="0"/>
              <w:rPr>
                <w:sz w:val="20"/>
                <w:szCs w:val="20"/>
                <w:color w:val="auto"/>
              </w:rPr>
            </w:pPr>
            <w:r>
              <w:rPr>
                <w:rFonts w:ascii="Arial" w:cs="Arial" w:eastAsia="Arial" w:hAnsi="Arial"/>
                <w:sz w:val="18"/>
                <w:szCs w:val="18"/>
                <w:i w:val="1"/>
                <w:iCs w:val="1"/>
                <w:color w:val="auto"/>
              </w:rPr>
              <w:t>Chief Operating Officer and Chief Financial Officer</w:t>
            </w:r>
          </w:p>
        </w:tc>
      </w:tr>
      <w:tr>
        <w:trPr>
          <w:trHeight w:val="230"/>
        </w:trPr>
        <w:tc>
          <w:tcPr>
            <w:tcW w:w="900" w:type="dxa"/>
            <w:vAlign w:val="bottom"/>
          </w:tcPr>
          <w:p>
            <w:pPr>
              <w:spacing w:after="0"/>
              <w:rPr>
                <w:sz w:val="20"/>
                <w:szCs w:val="20"/>
                <w:color w:val="auto"/>
              </w:rPr>
            </w:pPr>
          </w:p>
        </w:tc>
        <w:tc>
          <w:tcPr>
            <w:tcW w:w="4480" w:type="dxa"/>
            <w:vAlign w:val="bottom"/>
          </w:tcPr>
          <w:p>
            <w:pPr>
              <w:ind w:left="6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154305</wp:posOffset>
            </wp:positionV>
            <wp:extent cx="1499870" cy="1019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9870"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Announces Second Quarter 2020 Financial Results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Revenue of $20.7 Million and Genomic Testing Volume of 5,379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Advances Pipeline and Global Expansion Strategy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SOUTH SAN FRANCISCO, Calif., July 30, 2020-- Veracyte, Inc. (Nasdaq: VCYT) today announced financial results for the second quarter ended June 30, 2020 and provided an update on recent business progress.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delivered solid second quarter results in the face of headwinds from the COVID-19 pandemic,” said Bonnie Anderson, Veracyte’s chairman and chief executive officer. “Our genomic testing volume doubled between April and June as hospitals started performing more non-emergency procedures and physician practices began to open. We have begun leveraging opportunities for new virtual sales and marketing models to increase efficiency and drive growth. We also remain on track to bring four new tests to market in 2021, further accelerating our growth. Additionally, we continued to grow our biopharmaceutical and diagnostic partnerships to fuel our global expansion with a comprehensive test menu that extends our total addressable market beyond the $40 billion for our current and pipeline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2020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second quarter of 2020:</w:t>
      </w:r>
    </w:p>
    <w:p>
      <w:pPr>
        <w:spacing w:after="0" w:line="225" w:lineRule="exact"/>
        <w:rPr>
          <w:sz w:val="20"/>
          <w:szCs w:val="20"/>
          <w:color w:val="auto"/>
        </w:rPr>
      </w:pPr>
    </w:p>
    <w:p>
      <w:pPr>
        <w:ind w:left="660" w:right="18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was $20.7 million, comprising $16.9 million in testing and product revenue and $3.8 million in biopharmaceutical partnership and</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collaboration revenue;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$24.1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$11.0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$8.4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were $147.5 million at June 30, 2020</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For the six-month period ended June 30, 2020:</w:t>
      </w:r>
    </w:p>
    <w:p>
      <w:pPr>
        <w:spacing w:after="0" w:line="225" w:lineRule="exact"/>
        <w:rPr>
          <w:sz w:val="20"/>
          <w:szCs w:val="20"/>
          <w:color w:val="auto"/>
        </w:rPr>
      </w:pPr>
    </w:p>
    <w:p>
      <w:pPr>
        <w:ind w:left="660" w:right="18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was $51.8 million, comprising $47.3 million in testing and product revenue and $4.5 million in biopharmaceutical partnership and</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collaboration revenue;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$55.2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$22.7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$0.45;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$13.7 million.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2020 and Recent Business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Diagnostics Business:</w:t>
      </w:r>
    </w:p>
    <w:p>
      <w:pPr>
        <w:spacing w:after="0" w:line="2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our reported genomic testing volume (Afirma, Percepta and Envisia), with June total volume doubling that of April.</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virtual customer engagement program, conducting more than two dozen virtual educational events, email campaigns and other digital outreach to clinicians.</w:t>
      </w:r>
    </w:p>
    <w:p>
      <w:pPr>
        <w:ind w:left="660" w:right="3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Strengthened our library of published clinical evidence supporting use of the Afirma Xpression Atlas (</w:t>
      </w:r>
      <w:r>
        <w:rPr>
          <w:rFonts w:ascii="Arial" w:cs="Arial" w:eastAsia="Arial" w:hAnsi="Arial"/>
          <w:sz w:val="18"/>
          <w:szCs w:val="18"/>
          <w:i w:val="1"/>
          <w:iCs w:val="1"/>
          <w:color w:val="auto"/>
        </w:rPr>
        <w:t>Cancer Cytopathology</w:t>
      </w:r>
      <w:r>
        <w:rPr>
          <w:rFonts w:ascii="Arial" w:cs="Arial" w:eastAsia="Arial" w:hAnsi="Arial"/>
          <w:sz w:val="18"/>
          <w:szCs w:val="18"/>
          <w:color w:val="auto"/>
        </w:rPr>
        <w:t>) and the Envisia Genomic Classifier (</w:t>
      </w:r>
      <w:r>
        <w:rPr>
          <w:rFonts w:ascii="Arial" w:cs="Arial" w:eastAsia="Arial" w:hAnsi="Arial"/>
          <w:sz w:val="18"/>
          <w:szCs w:val="18"/>
          <w:i w:val="1"/>
          <w:iCs w:val="1"/>
          <w:color w:val="auto"/>
        </w:rPr>
        <w:t>CHEST</w:t>
      </w:r>
      <w:r>
        <w:rPr>
          <w:rFonts w:ascii="Arial" w:cs="Arial" w:eastAsia="Arial" w:hAnsi="Arial"/>
          <w:sz w:val="18"/>
          <w:szCs w:val="18"/>
          <w:color w:val="auto"/>
        </w:rPr>
        <w:t xml:space="preserve"> and </w:t>
      </w:r>
      <w:r>
        <w:rPr>
          <w:rFonts w:ascii="Arial" w:cs="Arial" w:eastAsia="Arial" w:hAnsi="Arial"/>
          <w:sz w:val="18"/>
          <w:szCs w:val="18"/>
          <w:i w:val="1"/>
          <w:iCs w:val="1"/>
          <w:color w:val="auto"/>
        </w:rPr>
        <w:t>AJRCCM</w:t>
      </w:r>
      <w:r>
        <w:rPr>
          <w:rFonts w:ascii="Arial" w:cs="Arial" w:eastAsia="Arial" w:hAnsi="Arial"/>
          <w:sz w:val="18"/>
          <w:szCs w:val="18"/>
          <w:color w:val="auto"/>
        </w:rPr>
        <w:t xml:space="preserve">). The </w:t>
      </w:r>
      <w:r>
        <w:rPr>
          <w:rFonts w:ascii="Arial" w:cs="Arial" w:eastAsia="Arial" w:hAnsi="Arial"/>
          <w:sz w:val="18"/>
          <w:szCs w:val="18"/>
          <w:i w:val="1"/>
          <w:iCs w:val="1"/>
          <w:color w:val="auto"/>
        </w:rPr>
        <w:t>AJRCCM</w:t>
      </w:r>
      <w:r>
        <w:rPr>
          <w:rFonts w:ascii="Arial" w:cs="Arial" w:eastAsia="Arial" w:hAnsi="Arial"/>
          <w:sz w:val="18"/>
          <w:szCs w:val="18"/>
          <w:color w:val="auto"/>
        </w:rPr>
        <w:t xml:space="preserve"> study further demonstrates the Envisia classifier’s ability to improve diagnosis of idiopathic pulmonary fibrosis without the need for surgery.</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LymphMark – Submitted De Novo classification request to the FDA for the lymphoma subtyping test, which is designed to help inform diagnosis and better treatment decisions.</w:t>
      </w:r>
    </w:p>
    <w:p>
      <w:pPr>
        <w:ind w:left="660" w:hanging="328"/>
        <w:spacing w:after="0" w:line="180" w:lineRule="auto"/>
        <w:tabs>
          <w:tab w:leader="none" w:pos="660" w:val="left"/>
        </w:tabs>
        <w:numPr>
          <w:ilvl w:val="0"/>
          <w:numId w:val="4"/>
        </w:numPr>
        <w:rPr>
          <w:rFonts w:ascii="Arial" w:cs="Arial" w:eastAsia="Arial" w:hAnsi="Arial"/>
          <w:sz w:val="33"/>
          <w:szCs w:val="33"/>
          <w:color w:val="auto"/>
          <w:vertAlign w:val="subscript"/>
        </w:rPr>
      </w:pPr>
      <w:r>
        <w:rPr>
          <w:rFonts w:ascii="Arial" w:cs="Arial" w:eastAsia="Arial" w:hAnsi="Arial"/>
          <w:sz w:val="17"/>
          <w:szCs w:val="17"/>
          <w:color w:val="auto"/>
        </w:rPr>
        <w:t>On track to launch four new products in 2021: Nasal swab test for early lung cancer detection; Percepta Atlas to inform treatment decisions in lung cancer; Envisia international launch on the nCounter; and LymphMark, if the FDA grants our De Novo classification request.</w:t>
      </w:r>
    </w:p>
    <w:p>
      <w:pPr>
        <w:ind w:left="660" w:right="200" w:hanging="328"/>
        <w:spacing w:after="0" w:line="180" w:lineRule="auto"/>
        <w:tabs>
          <w:tab w:leader="none" w:pos="660" w:val="left"/>
        </w:tabs>
        <w:numPr>
          <w:ilvl w:val="0"/>
          <w:numId w:val="4"/>
        </w:numPr>
        <w:rPr>
          <w:rFonts w:ascii="Arial" w:cs="Arial" w:eastAsia="Arial" w:hAnsi="Arial"/>
          <w:sz w:val="33"/>
          <w:szCs w:val="33"/>
          <w:color w:val="auto"/>
          <w:vertAlign w:val="subscript"/>
        </w:rPr>
      </w:pPr>
      <w:r>
        <w:rPr>
          <w:rFonts w:ascii="Arial" w:cs="Arial" w:eastAsia="Arial" w:hAnsi="Arial"/>
          <w:sz w:val="17"/>
          <w:szCs w:val="17"/>
          <w:color w:val="auto"/>
        </w:rPr>
        <w:t>Signed distributor contracts that will make Veracyte’s advanced genomic testing on the nCounter system available to laboratories throughout the Asia Pacific region, as well as in Australia and New Zealand.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Collaborations:</w:t>
      </w:r>
    </w:p>
    <w:p>
      <w:pPr>
        <w:spacing w:after="0" w:line="23" w:lineRule="exact"/>
        <w:rPr>
          <w:sz w:val="20"/>
          <w:szCs w:val="20"/>
          <w:color w:val="auto"/>
        </w:rPr>
      </w:pPr>
    </w:p>
    <w:p>
      <w:pPr>
        <w:ind w:left="660" w:right="3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CareDx – Formed strategic collaboration through which CareDx has the exclusive right to develop solid organ transplant rejection tests on the nCounter Analysis System, fueling our global menu expansion.</w:t>
      </w:r>
    </w:p>
    <w:p>
      <w:pPr>
        <w:ind w:left="660" w:right="5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Generated revenue from four biopharmaceutical and diagnostics partners: Eli Lilly/Loxo Oncology, Johnson &amp; Johnson Innovation, Acerta Pharma and CareDx.</w:t>
      </w:r>
    </w:p>
    <w:p>
      <w:pPr>
        <w:ind w:left="660" w:right="2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MAVIDx – Signed strategic agreement, taking an equity stake in MAVIDx, for the new company to develop COVID-19 and other infectious disease tests for ultra-high throughput testing on the nCounter system. A Harvard University report estimates the market will require 20 million tests per day in the United States alone.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Veracyte will host a conference call and webcast today at 4:30 p.m. Eastern Time to discuss the company's financial results and provide a general business update. The conference call will be webcast live from the company’s website and will be available via the following link: </w:t>
      </w:r>
      <w:r>
        <w:rPr>
          <w:rFonts w:ascii="Arial" w:cs="Arial" w:eastAsia="Arial" w:hAnsi="Arial"/>
          <w:sz w:val="18"/>
          <w:szCs w:val="18"/>
          <w:u w:val="single" w:color="auto"/>
          <w:color w:val="auto"/>
        </w:rPr>
        <w:t>https://edge.media-server.com/mmc/p/xs86q7qz</w:t>
      </w:r>
      <w:r>
        <w:rPr>
          <w:rFonts w:ascii="Arial" w:cs="Arial" w:eastAsia="Arial" w:hAnsi="Arial"/>
          <w:sz w:val="18"/>
          <w:szCs w:val="18"/>
          <w:color w:val="auto"/>
        </w:rPr>
        <w:t xml:space="preserve">. The webcast should be accessed 10 minutes prior to the conference call start time. A replay of the webcast will be available for one year following the conclusion of the live broadcast and will be accessible on the company’s website at </w:t>
      </w:r>
      <w:r>
        <w:rPr>
          <w:rFonts w:ascii="Arial" w:cs="Arial" w:eastAsia="Arial" w:hAnsi="Arial"/>
          <w:sz w:val="18"/>
          <w:szCs w:val="18"/>
          <w:u w:val="single" w:color="auto"/>
          <w:color w:val="auto"/>
        </w:rPr>
        <w:t>https://investor.veracyte.com/events-presentations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490220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The conference call can be accessed as follows:</w:t>
            </w:r>
          </w:p>
        </w:tc>
        <w:tc>
          <w:tcPr>
            <w:tcW w:w="2860" w:type="dxa"/>
            <w:vAlign w:val="bottom"/>
          </w:tcPr>
          <w:p>
            <w:pPr>
              <w:spacing w:after="0"/>
              <w:rPr>
                <w:sz w:val="18"/>
                <w:szCs w:val="18"/>
                <w:color w:val="auto"/>
              </w:rPr>
            </w:pPr>
          </w:p>
        </w:tc>
      </w:tr>
      <w:tr>
        <w:trPr>
          <w:trHeight w:val="216"/>
        </w:trPr>
        <w:tc>
          <w:tcPr>
            <w:tcW w:w="5960" w:type="dxa"/>
            <w:vAlign w:val="bottom"/>
          </w:tcPr>
          <w:p>
            <w:pPr>
              <w:ind w:left="620"/>
              <w:spacing w:after="0"/>
              <w:rPr>
                <w:sz w:val="20"/>
                <w:szCs w:val="20"/>
                <w:color w:val="auto"/>
              </w:rPr>
            </w:pPr>
            <w:r>
              <w:rPr>
                <w:rFonts w:ascii="Arial" w:cs="Arial" w:eastAsia="Arial" w:hAnsi="Arial"/>
                <w:sz w:val="18"/>
                <w:szCs w:val="18"/>
                <w:color w:val="auto"/>
              </w:rPr>
              <w:t>U.S./Canada participant dial-in number (toll-free):</w:t>
            </w:r>
          </w:p>
        </w:tc>
        <w:tc>
          <w:tcPr>
            <w:tcW w:w="2860" w:type="dxa"/>
            <w:vAlign w:val="bottom"/>
          </w:tcPr>
          <w:p>
            <w:pPr>
              <w:ind w:left="1720"/>
              <w:spacing w:after="0"/>
              <w:rPr>
                <w:sz w:val="20"/>
                <w:szCs w:val="20"/>
                <w:color w:val="auto"/>
              </w:rPr>
            </w:pPr>
            <w:r>
              <w:rPr>
                <w:rFonts w:ascii="Arial" w:cs="Arial" w:eastAsia="Arial" w:hAnsi="Arial"/>
                <w:sz w:val="18"/>
                <w:szCs w:val="18"/>
                <w:color w:val="auto"/>
                <w:w w:val="90"/>
              </w:rPr>
              <w:t>(855) 541-0980</w:t>
            </w:r>
          </w:p>
        </w:tc>
      </w:tr>
      <w:tr>
        <w:trPr>
          <w:trHeight w:val="216"/>
        </w:trPr>
        <w:tc>
          <w:tcPr>
            <w:tcW w:w="5960" w:type="dxa"/>
            <w:vAlign w:val="bottom"/>
          </w:tcPr>
          <w:p>
            <w:pPr>
              <w:ind w:left="620"/>
              <w:spacing w:after="0"/>
              <w:rPr>
                <w:sz w:val="20"/>
                <w:szCs w:val="20"/>
                <w:color w:val="auto"/>
              </w:rPr>
            </w:pPr>
            <w:r>
              <w:rPr>
                <w:rFonts w:ascii="Arial" w:cs="Arial" w:eastAsia="Arial" w:hAnsi="Arial"/>
                <w:sz w:val="18"/>
                <w:szCs w:val="18"/>
                <w:color w:val="auto"/>
              </w:rPr>
              <w:t>International participant dial-in number:</w:t>
            </w:r>
          </w:p>
        </w:tc>
        <w:tc>
          <w:tcPr>
            <w:tcW w:w="2860" w:type="dxa"/>
            <w:vAlign w:val="bottom"/>
          </w:tcPr>
          <w:p>
            <w:pPr>
              <w:ind w:left="1720"/>
              <w:spacing w:after="0"/>
              <w:rPr>
                <w:sz w:val="20"/>
                <w:szCs w:val="20"/>
                <w:color w:val="auto"/>
              </w:rPr>
            </w:pPr>
            <w:r>
              <w:rPr>
                <w:rFonts w:ascii="Arial" w:cs="Arial" w:eastAsia="Arial" w:hAnsi="Arial"/>
                <w:sz w:val="18"/>
                <w:szCs w:val="18"/>
                <w:color w:val="auto"/>
                <w:w w:val="90"/>
              </w:rPr>
              <w:t>(970) 315-0440</w:t>
            </w:r>
          </w:p>
        </w:tc>
      </w:tr>
      <w:tr>
        <w:trPr>
          <w:trHeight w:val="230"/>
        </w:trPr>
        <w:tc>
          <w:tcPr>
            <w:tcW w:w="5960" w:type="dxa"/>
            <w:vAlign w:val="bottom"/>
          </w:tcPr>
          <w:p>
            <w:pPr>
              <w:ind w:left="620"/>
              <w:spacing w:after="0"/>
              <w:rPr>
                <w:sz w:val="20"/>
                <w:szCs w:val="20"/>
                <w:color w:val="auto"/>
              </w:rPr>
            </w:pPr>
            <w:r>
              <w:rPr>
                <w:rFonts w:ascii="Arial" w:cs="Arial" w:eastAsia="Arial" w:hAnsi="Arial"/>
                <w:sz w:val="18"/>
                <w:szCs w:val="18"/>
                <w:color w:val="auto"/>
              </w:rPr>
              <w:t>Conference I.D.:</w:t>
            </w:r>
          </w:p>
        </w:tc>
        <w:tc>
          <w:tcPr>
            <w:tcW w:w="2860" w:type="dxa"/>
            <w:vAlign w:val="bottom"/>
          </w:tcPr>
          <w:p>
            <w:pPr>
              <w:ind w:left="1720"/>
              <w:spacing w:after="0"/>
              <w:rPr>
                <w:sz w:val="20"/>
                <w:szCs w:val="20"/>
                <w:color w:val="auto"/>
              </w:rPr>
            </w:pPr>
            <w:r>
              <w:rPr>
                <w:rFonts w:ascii="Arial" w:cs="Arial" w:eastAsia="Arial" w:hAnsi="Arial"/>
                <w:sz w:val="18"/>
                <w:szCs w:val="18"/>
                <w:color w:val="auto"/>
              </w:rPr>
              <w:t>2496566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Veracyte (Nasdaq: VCYT) is a global genomic diagnostics company that improves patient care by providing answers to clinical questions, informing diagnosis and treatment decisions throughout the patient journey in cancer and other diseases. The company’s growing menu of genomic tests leverage advances in genomic science and technology, enabling patients to avoid risky, costly diagnostic procedures and quicken time to appropriate treatment. The company’s tests in thyroid cancer, lung cancer, breast cancer and idiopathic pulmonary fibrosis are available to patients and its lymphoma subtyping test is in development. With Veracyte’s exclusive global license to a best-in-class diagnostics instrument platform, the company is positioned to deliver its tests to patients worldwide. Veracyte is based in South San Francisco, California. For more information, please visit </w:t>
      </w:r>
      <w:r>
        <w:rPr>
          <w:rFonts w:ascii="Arial" w:cs="Arial" w:eastAsia="Arial" w:hAnsi="Arial"/>
          <w:sz w:val="18"/>
          <w:szCs w:val="18"/>
          <w:u w:val="single" w:color="auto"/>
          <w:color w:val="auto"/>
        </w:rPr>
        <w:t>www.veracyte.com</w:t>
      </w:r>
      <w:r>
        <w:rPr>
          <w:rFonts w:ascii="Arial" w:cs="Arial" w:eastAsia="Arial" w:hAnsi="Arial"/>
          <w:sz w:val="18"/>
          <w:szCs w:val="18"/>
          <w:color w:val="auto"/>
        </w:rPr>
        <w:t xml:space="preserve"> and follow the company on Twitter (@veracyte).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regarding Veracyte’s financial and operational results for the second quarter ended June 30, 2020, anticipated timing of the launch of new products in 2021, availability of Veracyte’s testing internationally, Veracyte’s total addressable market, the current and future impacts of COVID-19 on Veracyte’s business, actions Veracyte has taken in response to COVID-19, and Veracyte’s long-term outlook. Forward-looking statements are neither historical facts nor assurances of future performance, but are based only on our current beliefs, expectations and assumptions. These statements involve risks and uncertainties, which could cause actual results to differ materially from our predictions, and include, but are not limited to: the impact of COVID-19 on Veracyte’s business and operating results, specifically, and the healthcare system and economy more generally, Veracyte’s ability to achieve and maintain Medicare coverage for its tests; the benefits of Veracyte’s tests and the applicability of clinical results to actual outcomes; the laws and regulations applicable to Veracyte’s business, including potential regulation by the Food and Drug Administration or other regulatory bodies; Veracyte’s ability to successfully achieve and maintain adoption of and reimbursement for its products; the amount by which use of Veracyte’s products are able to reduce invasive procedures and misdiagnosis, and reduce healthcare costs; the occurrence and outcomes of clinical studies; and other risks set forth in Veracyte’s filings with the Securities and Exchange Commission, including the risks set forth in its quarterly report on Form 10-Q for the quarter ended June 30, 2020. These forward-looking statements speak only as of the date hereof and Veracyte specifically disclaims any obligation to update these forward-looking statements or reasons why actual results might differ, whether as a result of new information, future events or otherwise.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Prosigna, LymphMark, and the Veracyte logo are trademarks of Veracyte,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0"/>
                <w:szCs w:val="20"/>
                <w:color w:val="auto"/>
              </w:rPr>
            </w:pPr>
          </w:p>
        </w:tc>
        <w:tc>
          <w:tcPr>
            <w:tcW w:w="24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09"/>
        </w:trPr>
        <w:tc>
          <w:tcPr>
            <w:tcW w:w="59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Testing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15,212</w:t>
            </w:r>
          </w:p>
        </w:tc>
        <w:tc>
          <w:tcPr>
            <w:tcW w:w="2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26,686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42,203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52,075</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revenue</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Biopharmaceutical revenue</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4,501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5,590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Collaboration revenue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r>
      <w:tr>
        <w:trPr>
          <w:trHeight w:val="20"/>
        </w:trPr>
        <w:tc>
          <w:tcPr>
            <w:tcW w:w="5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20,704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30,136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51,826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59,665</w:t>
            </w:r>
          </w:p>
        </w:tc>
      </w:tr>
      <w:tr>
        <w:trPr>
          <w:trHeight w:val="209"/>
        </w:trPr>
        <w:tc>
          <w:tcPr>
            <w:tcW w:w="59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testing revenue</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17,039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2,491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biopharmaceutical revenue</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4,169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3,330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8,576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6,765</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13,943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28,285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26,420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6,920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15,770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13,824</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r>
      <w:tr>
        <w:trPr>
          <w:trHeight w:val="20"/>
        </w:trPr>
        <w:tc>
          <w:tcPr>
            <w:tcW w:w="5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31,755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33,236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75,077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64,832</w:t>
            </w:r>
          </w:p>
        </w:tc>
      </w:tr>
      <w:tr>
        <w:trPr>
          <w:trHeight w:val="20"/>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(11,051)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(23,251)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w:t>
            </w:r>
          </w:p>
        </w:tc>
      </w:tr>
      <w:tr>
        <w:trPr>
          <w:trHeight w:val="20"/>
        </w:trPr>
        <w:tc>
          <w:tcPr>
            <w:tcW w:w="5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(11,025)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(22,741)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(4,411)</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(0.22)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(0.45)</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(0.10)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Arial" w:cs="Arial" w:eastAsia="Arial" w:hAnsi="Arial"/>
                <w:sz w:val="18"/>
                <w:szCs w:val="18"/>
                <w:color w:val="auto"/>
              </w:rPr>
              <w:t>Shares used to compute net loss per common share, basic and diluted</w:t>
            </w:r>
          </w:p>
        </w:tc>
        <w:tc>
          <w:tcPr>
            <w:tcW w:w="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50,212,123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w w:val="99"/>
              </w:rPr>
              <w:t>45,586,081</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50,002,377</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w w:val="99"/>
              </w:rPr>
              <w:t>43,389,540</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1"/>
        </w:trPr>
        <w:tc>
          <w:tcPr>
            <w:tcW w:w="5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80" w:right="1160"/>
        <w:spacing w:after="0" w:line="250" w:lineRule="auto"/>
        <w:rPr>
          <w:sz w:val="20"/>
          <w:szCs w:val="20"/>
          <w:color w:val="auto"/>
        </w:rPr>
      </w:pPr>
      <w:r>
        <w:rPr>
          <w:rFonts w:ascii="Arial" w:cs="Arial" w:eastAsia="Arial" w:hAnsi="Arial"/>
          <w:sz w:val="18"/>
          <w:szCs w:val="18"/>
          <w:color w:val="auto"/>
        </w:rPr>
        <w:t>Cash and cash equivalents Accounts receivable Supplies</w:t>
      </w:r>
    </w:p>
    <w:p>
      <w:pPr>
        <w:spacing w:after="0" w:line="1" w:lineRule="exact"/>
        <w:rPr>
          <w:sz w:val="20"/>
          <w:szCs w:val="20"/>
          <w:color w:val="auto"/>
        </w:rPr>
      </w:pPr>
    </w:p>
    <w:p>
      <w:pPr>
        <w:ind w:left="340" w:right="60" w:hanging="161"/>
        <w:spacing w:after="0" w:line="258" w:lineRule="auto"/>
        <w:rPr>
          <w:sz w:val="20"/>
          <w:szCs w:val="20"/>
          <w:color w:val="auto"/>
        </w:rPr>
      </w:pPr>
      <w:r>
        <w:rPr>
          <w:rFonts w:ascii="Arial" w:cs="Arial" w:eastAsia="Arial" w:hAnsi="Arial"/>
          <w:sz w:val="18"/>
          <w:szCs w:val="18"/>
          <w:color w:val="auto"/>
        </w:rPr>
        <w:t>Prepaid expenses and other current assets Total current assets</w:t>
      </w:r>
    </w:p>
    <w:p>
      <w:pPr>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assets - operating 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Finite-lived 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w:t>
      </w:r>
    </w:p>
    <w:p>
      <w:pPr>
        <w:spacing w:after="0" w:line="23"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Liabilities and Stockholders’ Equity Current liabilities: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liabilities</w:t>
      </w:r>
    </w:p>
    <w:p>
      <w:pPr>
        <w:spacing w:after="0" w:line="9" w:lineRule="exact"/>
        <w:rPr>
          <w:sz w:val="20"/>
          <w:szCs w:val="20"/>
          <w:color w:val="auto"/>
        </w:rPr>
      </w:pPr>
    </w:p>
    <w:p>
      <w:pPr>
        <w:ind w:left="340" w:hanging="161"/>
        <w:spacing w:after="0" w:line="258" w:lineRule="auto"/>
        <w:rPr>
          <w:sz w:val="20"/>
          <w:szCs w:val="20"/>
          <w:color w:val="auto"/>
        </w:rPr>
      </w:pPr>
      <w:r>
        <w:rPr>
          <w:rFonts w:ascii="Arial" w:cs="Arial" w:eastAsia="Arial" w:hAnsi="Arial"/>
          <w:sz w:val="18"/>
          <w:szCs w:val="18"/>
          <w:color w:val="auto"/>
        </w:rPr>
        <w:t>Current portion of operating lease liability Total current liabilities</w:t>
      </w:r>
    </w:p>
    <w:p>
      <w:pPr>
        <w:spacing w:after="0"/>
        <w:rPr>
          <w:sz w:val="20"/>
          <w:szCs w:val="20"/>
          <w:color w:val="auto"/>
        </w:rPr>
      </w:pPr>
      <w:r>
        <w:rPr>
          <w:rFonts w:ascii="Arial" w:cs="Arial" w:eastAsia="Arial" w:hAnsi="Arial"/>
          <w:sz w:val="18"/>
          <w:szCs w:val="18"/>
          <w:color w:val="auto"/>
        </w:rPr>
        <w:t>Long-term debt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Acquisition related contingent consideration</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348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1" w:lineRule="exact"/>
        <w:rPr>
          <w:sz w:val="20"/>
          <w:szCs w:val="20"/>
          <w:color w:val="auto"/>
        </w:rPr>
      </w:pPr>
    </w:p>
    <w:p>
      <w:pPr>
        <w:jc w:val="center"/>
        <w:ind w:right="3480"/>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r>
      <w:tr>
        <w:trPr>
          <w:trHeight w:val="224"/>
        </w:trPr>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(Unaudited)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88"/>
              </w:rPr>
              <w:t>(See Note 1)</w:t>
            </w:r>
          </w:p>
        </w:tc>
        <w:tc>
          <w:tcPr>
            <w:tcW w:w="20" w:type="dxa"/>
            <w:vAlign w:val="bottom"/>
          </w:tcPr>
          <w:p>
            <w:pPr>
              <w:spacing w:after="0"/>
              <w:rPr>
                <w:sz w:val="19"/>
                <w:szCs w:val="19"/>
                <w:color w:val="auto"/>
              </w:rPr>
            </w:pPr>
          </w:p>
        </w:tc>
      </w:tr>
      <w:tr>
        <w:trPr>
          <w:trHeight w:val="619"/>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147,450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159,317</w:t>
            </w:r>
          </w:p>
        </w:tc>
      </w:tr>
      <w:tr>
        <w:trPr>
          <w:trHeight w:val="216"/>
        </w:trPr>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15,306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19,329</w:t>
            </w:r>
          </w:p>
        </w:tc>
      </w:tr>
      <w:tr>
        <w:trPr>
          <w:trHeight w:val="216"/>
        </w:trPr>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7,041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6,806</w:t>
            </w:r>
          </w:p>
        </w:tc>
      </w:tr>
      <w:tr>
        <w:trPr>
          <w:trHeight w:val="230"/>
        </w:trPr>
        <w:tc>
          <w:tcPr>
            <w:tcW w:w="1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2,891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2,235</w:t>
            </w:r>
          </w:p>
        </w:tc>
      </w:tr>
      <w:tr>
        <w:trPr>
          <w:trHeight w:val="195"/>
        </w:trPr>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172,688</w:t>
            </w: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187,687</w:t>
            </w:r>
          </w:p>
        </w:tc>
        <w:tc>
          <w:tcPr>
            <w:tcW w:w="2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8,640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8,933</w:t>
            </w:r>
          </w:p>
        </w:tc>
      </w:tr>
      <w:tr>
        <w:trPr>
          <w:trHeight w:val="216"/>
        </w:trPr>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8,339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8,808</w:t>
            </w:r>
          </w:p>
        </w:tc>
      </w:tr>
      <w:tr>
        <w:trPr>
          <w:trHeight w:val="216"/>
        </w:trPr>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62,471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65,019</w:t>
            </w:r>
          </w:p>
        </w:tc>
      </w:tr>
      <w:tr>
        <w:trPr>
          <w:trHeight w:val="216"/>
        </w:trPr>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2,725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2,725</w:t>
            </w:r>
          </w:p>
        </w:tc>
      </w:tr>
      <w:tr>
        <w:trPr>
          <w:trHeight w:val="216"/>
        </w:trPr>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603</w:t>
            </w:r>
          </w:p>
        </w:tc>
      </w:tr>
      <w:tr>
        <w:trPr>
          <w:trHeight w:val="230"/>
        </w:trPr>
        <w:tc>
          <w:tcPr>
            <w:tcW w:w="1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1,271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1,437</w:t>
            </w:r>
          </w:p>
        </w:tc>
      </w:tr>
      <w:tr>
        <w:trPr>
          <w:trHeight w:val="209"/>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256,737</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275,212</w:t>
            </w:r>
          </w:p>
        </w:tc>
        <w:tc>
          <w:tcPr>
            <w:tcW w:w="20" w:type="dxa"/>
            <w:vAlign w:val="bottom"/>
          </w:tcPr>
          <w:p>
            <w:pPr>
              <w:spacing w:after="0"/>
              <w:rPr>
                <w:sz w:val="18"/>
                <w:szCs w:val="18"/>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4"/>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2,224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2,328</w:t>
            </w:r>
          </w:p>
        </w:tc>
      </w:tr>
      <w:tr>
        <w:trPr>
          <w:trHeight w:val="216"/>
        </w:trPr>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9,386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13,734</w:t>
            </w:r>
          </w:p>
        </w:tc>
      </w:tr>
      <w:tr>
        <w:trPr>
          <w:trHeight w:val="230"/>
        </w:trPr>
        <w:tc>
          <w:tcPr>
            <w:tcW w:w="1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1,495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1,407</w:t>
            </w:r>
          </w:p>
        </w:tc>
      </w:tr>
      <w:tr>
        <w:trPr>
          <w:trHeight w:val="195"/>
        </w:trPr>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13,105</w:t>
            </w: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17,469</w:t>
            </w:r>
          </w:p>
        </w:tc>
        <w:tc>
          <w:tcPr>
            <w:tcW w:w="2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694</w:t>
            </w:r>
          </w:p>
        </w:tc>
      </w:tr>
      <w:tr>
        <w:trPr>
          <w:trHeight w:val="228"/>
        </w:trPr>
        <w:tc>
          <w:tcPr>
            <w:tcW w:w="1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5,948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6,088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-3067050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-2792730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-2518410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-2235835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-1960880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-1687195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-1412875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-1103630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-829945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-555625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-272415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3220" w:space="260"/>
            <w:col w:w="7760"/>
          </w:cols>
          <w:pgMar w:left="320" w:top="580"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liability, net of current portion</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10,736</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30,590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35,757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226,147</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239,455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256,737</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275,212</w:t>
            </w:r>
          </w:p>
        </w:tc>
      </w:tr>
      <w:tr>
        <w:trPr>
          <w:trHeight w:val="20"/>
        </w:trPr>
        <w:tc>
          <w:tcPr>
            <w:tcW w:w="8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42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condensed balance sheet at December 31, 2019 has been derived from the audited financial statements at that date included in the Company's Form 10-K filed with the Securities and Exchange Commission dated February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09"/>
        </w:trPr>
        <w:tc>
          <w:tcPr>
            <w:tcW w:w="80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(22,741)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(4,411)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3,929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1,869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disposal of property and equipment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6,265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4,325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Interest on end-of-term debt obligations</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Write-down of excess supplies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Noncash lease expense</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Revaluation of acquisition related contingent consideration</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Supplies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(1,323)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(1,702)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Operating lease liability</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(604)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1,746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w:t>
            </w:r>
          </w:p>
        </w:tc>
      </w:tr>
      <w:tr>
        <w:trPr>
          <w:trHeight w:val="20"/>
        </w:trPr>
        <w:tc>
          <w:tcPr>
            <w:tcW w:w="80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(13,724)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(3,466)</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(1,314)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(1,424)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disposal of property and equipment</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(1,314)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(1,407)</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Proceeds from the issuance of common stock in a public offering, net of issuance costs</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137,848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Payment of long-term debt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Payment of financial lease liability</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Payment of taxes on vested restricted stock units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(11,867)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114,652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159,920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148,053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193,250</w:t>
            </w:r>
          </w:p>
        </w:tc>
      </w:tr>
      <w:tr>
        <w:trPr>
          <w:trHeight w:val="20"/>
        </w:trPr>
        <w:tc>
          <w:tcPr>
            <w:tcW w:w="8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Supplementary cash flow information of non-cash investing and financing activities: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included in accounts payable and accrued liability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Interest paid on debt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r>
      <w:tr>
        <w:trPr>
          <w:trHeight w:val="587"/>
        </w:trPr>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June 30, 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159,317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159,920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tracy.morris@veracyte.com</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2020-07-30T18:19:18Z</dcterms:created>
  <dcterms:modified xsi:type="dcterms:W3CDTF">2020-07-30T18:19:18Z</dcterms:modified>
</cp:coreProperties>
</file>