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January 11,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VERACYTE,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(650) 243-6300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11, 2026, Veracyte, Inc. a Delaware corporation (“Veracyte”), issued a press release furnished as Exhibit 99.1 to this Current Report on Form 8-K (the “Press Release”) that, among other things, announced certain preliminary, unaudited estimated financial and operating results for the fourth quarter and full year ended December 31, 2025, including that Veracyte expects to report that it generated total revenue of between $138 million and $140 million, testing revenue of between $134 million and $136 million, and testing volume of approximately 45,500 tests, in each case for the fourth quarter of 2025. Veracyte also expects to report total revenue of between $515 million and $517 million, testing revenue of between $491 million and $493 million, and testing volume of approximately 169,700 tests for the full year ended December 31, 2025. In addition, Veracyte expects to report adjusted EBITDA margin of greater than 25% for the full year ended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Veracyte’s audited financial statements for the full year ended December 31, 2025 are not yet available. Accordingly, Veracyte’s preliminary unaudited revenue and testing volume ranges and preliminary adjusted EBITDA margin in the Press Release and described herein are estimates and subject to the completion of Veracyte’s financial closing procedures and any adjustments that may result from the completion of the audit of Veracyte’s financial statements. The preliminary unaudited revenue and testing volume ranges and preliminary adjusted EBITDA margin in the Press Release and described herein may differ materially from the actual results that will be reflected in Veracyte’s audited financial statements when they are completed and publicly disclosed. Further, Veracyte is unable to provide an estimate of net income margin, the most closely comparable GAAP measure to adjusted EBITDA margin, for the full year ended December 31, 2025 or related reconciliation tables without unreasonable effort, due to the unavailability at this time of reliable estimates for net income and certain components that are necessary for such reconciliation for the period presented. Such components may include, but are not limited to, stock-based compensation expenses, acquisition-related expenses, and other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report as well as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shall be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01x11x20268xkprelimin.htm">
              <w:r>
                <w:rPr>
                  <w:rStyle w:val="InternetLink"/>
                  <w:rFonts w:ascii="Times New Roman;serif" w:hAnsi="Times New Roman;serif"/>
                  <w:b w:val="false"/>
                  <w:color w:val="000080"/>
                  <w:sz w:val="20"/>
                  <w:u w:val="single"/>
                </w:rPr>
                <w:t xml:space="preserve">Press release issued by Veracyte, Inc. dated </w:t>
              </w:r>
            </w:hyperlink>
            <w:hyperlink w:anchor="vcyt-01x11x20268xkprelimin.htm">
              <w:r>
                <w:rPr>
                  <w:rStyle w:val="InternetLink"/>
                  <w:rFonts w:ascii="Times New Roman;serif" w:hAnsi="Times New Roman;serif"/>
                  <w:b w:val="false"/>
                  <w:color w:val="000080"/>
                  <w:sz w:val="20"/>
                  <w:u w:val="single"/>
                </w:rPr>
                <w:t>January</w:t>
              </w:r>
            </w:hyperlink>
            <w:hyperlink w:anchor="vcyt-01x11x20268xkprelimin.htm">
              <w:r>
                <w:rPr>
                  <w:rStyle w:val="InternetLink"/>
                  <w:rFonts w:ascii="Times New Roman;serif" w:hAnsi="Times New Roman;serif"/>
                  <w:b w:val="false"/>
                  <w:color w:val="000080"/>
                  <w:sz w:val="20"/>
                  <w:u w:val="single"/>
                </w:rPr>
                <w:t xml:space="preserve"> </w:t>
              </w:r>
            </w:hyperlink>
            <w:hyperlink w:anchor="vcyt-01x11x20268xkprelimin.htm">
              <w:r>
                <w:rPr>
                  <w:rStyle w:val="InternetLink"/>
                  <w:rFonts w:ascii="Times New Roman;serif" w:hAnsi="Times New Roman;serif"/>
                  <w:b w:val="false"/>
                  <w:color w:val="000080"/>
                  <w:sz w:val="20"/>
                  <w:u w:val="single"/>
                </w:rPr>
                <w:t>11</w:t>
              </w:r>
            </w:hyperlink>
            <w:hyperlink w:anchor="vcyt-01x11x20268xkprelimin.htm">
              <w:r>
                <w:rPr>
                  <w:rStyle w:val="InternetLink"/>
                  <w:rFonts w:ascii="Times New Roman;serif" w:hAnsi="Times New Roman;serif"/>
                  <w:b w:val="false"/>
                  <w:color w:val="000080"/>
                  <w:sz w:val="20"/>
                  <w:u w:val="single"/>
                </w:rPr>
                <w:t>, 202</w:t>
              </w:r>
            </w:hyperlink>
            <w:hyperlink w:anchor="vcyt-01x11x20268xkprelimin.htm">
              <w:r>
                <w:rPr>
                  <w:rStyle w:val="InternetLink"/>
                  <w:rFonts w:ascii="Times New Roman;serif" w:hAnsi="Times New Roman;serif"/>
                  <w:b w:val="false"/>
                  <w:color w:val="000080"/>
                  <w:sz w:val="20"/>
                  <w:u w:val="single"/>
                </w:rPr>
                <w:t>6</w:t>
              </w:r>
            </w:hyperlink>
            <w:hyperlink w:anchor="vcyt-01x11x20268xkprelimin.htm">
              <w:r>
                <w:rPr>
                  <w:rStyle w:val="InternetLink"/>
                  <w:rFonts w:ascii="Times New Roman;serif" w:hAnsi="Times New Roman;serif"/>
                  <w:b w:val="false"/>
                  <w:color w:val="000080"/>
                  <w:sz w:val="20"/>
                  <w:u w:val="single"/>
                </w:rPr>
                <w:t>.</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416" w:type="dxa"/>
        <w:jc w:val="left"/>
        <w:tblInd w:w="0" w:type="dxa"/>
        <w:tblLayout w:type="fixed"/>
        <w:tblCellMar>
          <w:top w:w="28" w:type="dxa"/>
          <w:left w:w="28" w:type="dxa"/>
          <w:bottom w:w="28" w:type="dxa"/>
          <w:right w:w="28" w:type="dxa"/>
        </w:tblCellMar>
      </w:tblPr>
      <w:tblGrid>
        <w:gridCol w:w="260"/>
        <w:gridCol w:w="229"/>
        <w:gridCol w:w="231"/>
        <w:gridCol w:w="499"/>
        <w:gridCol w:w="499"/>
        <w:gridCol w:w="501"/>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11, 2026</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Veracyte Announces Preliminary Fourth Quarter and Full-Year 2025 Results</w:t>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Grew full-year revenue to between $515 million and $517 million, an increase of 16%</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SOUTH SAN FRANCISCO, Calif., January 11, 2026 -- Veracyte, Inc. (Nasdaq: VCYT), a leading cancer diagnostics company, today announced preliminary, unaudited financial results for the fourth quarter and full year ended December 31,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Preliminary Unaudited Financial Results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For the fourth quarter ended December 31, 2025, as compared to the same period of 2024, Veracyte expects to report: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Total revenue of between $138 million and $140 million, an increase of between 16% and 18%</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Testing revenue of between $134 million and $136 million, an increase of between 19% and 21%</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Testing volume of approximately 45,500, an increase of 16%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For the full year ended December 31, 2025, as compared to the same period of 2024, Veracyte expects to report:</w:t>
      </w:r>
    </w:p>
    <w:p>
      <w:pPr>
        <w:pStyle w:val="TextBody"/>
        <w:bidi w:val="0"/>
        <w:spacing w:lineRule="auto" w:line="268" w:before="60" w:after="283"/>
        <w:ind w:left="0" w:right="0" w:hanging="360"/>
        <w:jc w:val="left"/>
        <w:rPr/>
      </w:pPr>
      <w:r>
        <w:rPr>
          <w:color w:val="000000"/>
        </w:rPr>
        <w:t>•</w:t>
      </w:r>
      <w:r>
        <w:rPr>
          <w:rFonts w:ascii="Arial;sans-serif" w:hAnsi="Arial;sans-serif"/>
          <w:b w:val="false"/>
          <w:color w:val="000000"/>
          <w:sz w:val="20"/>
        </w:rPr>
        <w:t xml:space="preserve">Total revenue of between $515 million and $517 million, an increase of approximately 16% </w:t>
      </w:r>
    </w:p>
    <w:p>
      <w:pPr>
        <w:pStyle w:val="TextBody"/>
        <w:bidi w:val="0"/>
        <w:spacing w:lineRule="auto" w:line="268" w:before="60" w:after="283"/>
        <w:ind w:left="0" w:right="0" w:hanging="360"/>
        <w:jc w:val="left"/>
        <w:rPr/>
      </w:pPr>
      <w:r>
        <w:rPr>
          <w:color w:val="000000"/>
        </w:rPr>
        <w:t>•</w:t>
      </w:r>
      <w:r>
        <w:rPr>
          <w:rFonts w:ascii="Arial;sans-serif" w:hAnsi="Arial;sans-serif"/>
          <w:b w:val="false"/>
          <w:color w:val="000000"/>
          <w:sz w:val="20"/>
        </w:rPr>
        <w:t xml:space="preserve">Testing revenue of between $491 million and $493 million, an increase of approximately 17% to 18% </w:t>
      </w:r>
    </w:p>
    <w:p>
      <w:pPr>
        <w:pStyle w:val="TextBody"/>
        <w:bidi w:val="0"/>
        <w:spacing w:lineRule="auto" w:line="268" w:before="60" w:after="283"/>
        <w:ind w:left="0" w:right="0" w:hanging="360"/>
        <w:jc w:val="left"/>
        <w:rPr/>
      </w:pPr>
      <w:r>
        <w:rPr>
          <w:color w:val="000000"/>
        </w:rPr>
        <w:t>•</w:t>
      </w:r>
      <w:r>
        <w:rPr>
          <w:rFonts w:ascii="Arial;sans-serif" w:hAnsi="Arial;sans-serif"/>
          <w:b w:val="false"/>
          <w:color w:val="000000"/>
          <w:sz w:val="20"/>
        </w:rPr>
        <w:t>Testing volume of approximately 169,700, an increase of 19%</w:t>
      </w:r>
    </w:p>
    <w:p>
      <w:pPr>
        <w:pStyle w:val="TextBody"/>
        <w:bidi w:val="0"/>
        <w:spacing w:lineRule="auto" w:line="268" w:before="60" w:after="283"/>
        <w:ind w:left="0" w:right="0" w:hanging="360"/>
        <w:jc w:val="left"/>
        <w:rPr/>
      </w:pPr>
      <w:r>
        <w:rPr>
          <w:color w:val="000000"/>
        </w:rPr>
        <w:t>•</w:t>
      </w:r>
      <w:r>
        <w:rPr>
          <w:rFonts w:ascii="Arial;sans-serif" w:hAnsi="Arial;sans-serif"/>
          <w:b w:val="false"/>
          <w:color w:val="000000"/>
          <w:sz w:val="20"/>
        </w:rPr>
        <w:t>Decipher volume of approximately 102,000, an increase of 27%, and Afirma volume of approximately 67,700, an increase of 11%</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Additionally, Veracyte expects to report adjusted EBITDA margin of greater than 25% for the full year ended December 31, 2025.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I am immensely proud of the impact our tests have had on the more than 800,000 patients we have served since the company’s inception,” said Marc Stapley, Veracyte’s chief executive officer. “We ended 2025 with another strong quarter of testing revenue growth and further expanded our patient impact. Looking ahead to 2026, I’m excited for continued Decipher and Afirma growth, as well as the launch of Prosigna and our TrueMRD platform in the US market, which we believe will further catalyze our patient reach and financial performance.”</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2026 Financial Outlook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Veracyte is initiating 2026 total revenue guidance of 10% to 13% growth, or $570 million to $582 million, with testing revenue guidance of 14% to 16% growth, or $559 million to $569 million, excluding the contribution from new tests. Further, 2026 adjusted EBITDA margin is expected to be 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Veracyte is unable to provide a quantitative reconciliation of expected adjusted EBITDA margin to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company’s control, or that cannot be reasonably predicted. Such adjustments include, but are not limited to, acquisition-related expenses, and other adjustments. Any associated estimate of these items and their impact on GAAP performance for the guidance period could vary materially. For more information on the non-GAAP financial measures, please refer to the section titled “Note Regarding Use of Non-GAAP Financial Measures” at the end of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lineRule="auto" w:line="276"/>
        <w:jc w:val="left"/>
        <w:rPr/>
      </w:pPr>
      <w:r>
        <w:rPr>
          <w:rFonts w:ascii="Arial;sans-serif" w:hAnsi="Arial;sans-serif"/>
          <w:b w:val="false"/>
          <w:color w:val="000000"/>
          <w:sz w:val="20"/>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w:t>
      </w:r>
      <w:r>
        <w:rPr>
          <w:rFonts w:ascii="Arial;sans-serif" w:hAnsi="Arial;sans-serif"/>
          <w:b w:val="false"/>
          <w:color w:val="000000"/>
          <w:sz w:val="20"/>
          <w:shd w:fill="FFFFFF" w:val="clear"/>
        </w:rPr>
        <w:t xml:space="preserve">For more information, please visit </w:t>
      </w:r>
      <w:r>
        <w:rPr>
          <w:rFonts w:ascii="Arial;sans-serif" w:hAnsi="Arial;sans-serif"/>
          <w:b w:val="false"/>
          <w:color w:val="0563C1"/>
          <w:sz w:val="20"/>
          <w:shd w:fill="FFFFFF" w:val="clear"/>
        </w:rPr>
        <w:t xml:space="preserve">www.veracyte.com </w:t>
      </w:r>
      <w:r>
        <w:rPr>
          <w:rFonts w:ascii="Arial;sans-serif" w:hAnsi="Arial;sans-serif"/>
          <w:b w:val="false"/>
          <w:color w:val="000000"/>
          <w:sz w:val="20"/>
          <w:shd w:fill="FFFFFF" w:val="clear"/>
        </w:rPr>
        <w:t xml:space="preserve">or follow us on </w:t>
      </w:r>
      <w:r>
        <w:rPr>
          <w:rFonts w:ascii="Arial;sans-serif" w:hAnsi="Arial;sans-serif"/>
          <w:b w:val="false"/>
          <w:color w:val="0563C1"/>
          <w:sz w:val="20"/>
          <w:shd w:fill="FFFFFF" w:val="clear"/>
        </w:rPr>
        <w:t xml:space="preserve">LinkedIn </w:t>
      </w:r>
      <w:r>
        <w:rPr>
          <w:rFonts w:ascii="Arial;sans-serif" w:hAnsi="Arial;sans-serif"/>
          <w:b w:val="false"/>
          <w:color w:val="000000"/>
          <w:sz w:val="20"/>
          <w:shd w:fill="FFFFFF" w:val="clear"/>
        </w:rPr>
        <w:t xml:space="preserve">or </w:t>
      </w:r>
      <w:r>
        <w:rPr>
          <w:rFonts w:ascii="Arial;sans-serif" w:hAnsi="Arial;sans-serif"/>
          <w:b w:val="false"/>
          <w:color w:val="0563C1"/>
          <w:sz w:val="20"/>
          <w:shd w:fill="FFFFFF" w:val="clear"/>
        </w:rPr>
        <w:t>X (Twitter).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color w:val="000000"/>
          <w:shd w:fill="FFFFFF" w:val="clear"/>
        </w:rPr>
      </w:pPr>
      <w:r>
        <w:rPr>
          <w:color w:val="000000"/>
          <w:shd w:fill="FFFFFF" w:val="clear"/>
        </w:rPr>
        <w:t> </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Financial Disclaimer</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Veracyte has not completed preparation of its financial statements for the fourth quarter or full year ended December 31, 2025. The revenue and testing volume ranges presented in this news release for the fourth quarter of 2025 and for the year ended December 31, 2025, as well as the estimates given for our adjusted EBITDA margin, are preliminary and unaudited and are thus inherently uncertain and subject to change as we complete our financial results for the fourth quarter and full year ended December 31, 2025. Further, these preliminary and unaudited estimates are not a comprehensive statement or estimate of our financial results or financial condition as of and for the periods presented, should not be viewed as a substitute for financial statements prepared in accordance with GAAP and are not necessarily indicative of the results to be achieved in any future period. Veracyte is in the process of completing its customary year-end close and review procedures as of and for the year ended December 31, 2025, and there can be no assurance that final results for this period will not differ from these estimates. During the course of the preparation of Veracyte’s consolidated financial statements and related notes as of and for the year ended December 31, 2025, the company's independent registered public accountants may identify items that could cause final reported results to be materially different from the preliminary financial estimates presented herein. Further, Veracyte is unable to provide an estimate of net income margin, the most closely comparable GAAP measure to adjusted EBITDA margin, for the full year ended December 31, 2025 or related reconciliation tables without unreasonable effort, due to the unavailability at this time of reliable estimates for net income and certain components that are necessary for such reconciliation for the period presented. Such components may include, but are not limited to, stock-based compensation expenses, acquisition-related expenses, and other adjustments. For more information on non-GAAP financial measures, please refer to the section titled “Note Regarding Use of Non-GAAP Financial Measures” at the end of this press release.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Veracyte plans to report full audited Q4 and 2025 financial results during its upcoming earnings call to be held in February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including, but not limited to our statements related to our plans, objectives, and expectations (financial and otherwise), including with respect to our financial and operating results for the full year and quarter ended December 31, 2025; and our intentions with respect to our tests and products, including upcoming product launches.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the impact of foreign currency fluctuations, volatile interest rates, inflation, the impact of legislation and policies enacted by the current U.S. administration; turmoil in the global banking and finance system; the ongoing conflict in the Middle East; and the performance and utility of our tests in the clinical environment. Additional factors that may impact these forward-looking statements can be found under the caption “Risk Factors” in our Annual Report on Form 10-K filed on February 28, 2025,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financial measures prepared in accordance with generally accepted accounting principles (GAAP), this press release contains and references certain non‐GAAP results including adjusted EBITDA margin.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present similar non-GAAP financial measures. However, the non-GAAP financial measures we present may be different from those used by other companies, including similarly titled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 as a percentage of revenue. 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together with its supplemental non‐GAAP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Shayla Gorman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619-393-1545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Karen Possemato</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media@veracyte.com</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Source: Veracyte, Inc.</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2561</Words>
  <Characters>14593</Characters>
  <CharactersWithSpaces>17062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