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February 25, 2019</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Veracyte,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0"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89"/>
              </w:rPr>
              <w:t>Delaware</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92"/>
              </w:rPr>
              <w:t>(I.R.S. Employer</w:t>
            </w:r>
          </w:p>
        </w:tc>
      </w:tr>
      <w:tr>
        <w:trPr>
          <w:trHeight w:val="230"/>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472"/>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0"/>
              </w:rPr>
              <w:t>6000 Shoreline Court, Suite 300</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94080</w:t>
            </w:r>
          </w:p>
        </w:tc>
      </w:tr>
      <w:tr>
        <w:trPr>
          <w:trHeight w:val="230"/>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1"/>
              </w:rPr>
              <w:t>South San Francisco, California (Address of Principal Executive Offices)</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4"/>
              </w:rPr>
              <w:t>(Zip Code)</w:t>
            </w:r>
          </w:p>
        </w:tc>
      </w:tr>
      <w:tr>
        <w:trPr>
          <w:trHeight w:val="270"/>
        </w:trPr>
        <w:tc>
          <w:tcPr>
            <w:tcW w:w="7400" w:type="dxa"/>
            <w:vAlign w:val="bottom"/>
          </w:tcPr>
          <w:p>
            <w:pPr>
              <w:jc w:val="center"/>
              <w:ind w:left="3490"/>
              <w:spacing w:after="0"/>
              <w:rPr>
                <w:sz w:val="20"/>
                <w:szCs w:val="20"/>
                <w:color w:val="auto"/>
              </w:rPr>
            </w:pPr>
            <w:r>
              <w:rPr>
                <w:rFonts w:ascii="Arial" w:cs="Arial" w:eastAsia="Arial" w:hAnsi="Arial"/>
                <w:sz w:val="18"/>
                <w:szCs w:val="18"/>
                <w:color w:val="auto"/>
                <w:w w:val="90"/>
              </w:rPr>
              <w:t>Veracyte, Inc. 2013 Stock Incentive Plan</w:t>
            </w:r>
          </w:p>
        </w:tc>
        <w:tc>
          <w:tcPr>
            <w:tcW w:w="1780" w:type="dxa"/>
            <w:vAlign w:val="bottom"/>
          </w:tcPr>
          <w:p>
            <w:pPr>
              <w:spacing w:after="0"/>
              <w:rPr>
                <w:sz w:val="23"/>
                <w:szCs w:val="23"/>
                <w:color w:val="auto"/>
              </w:rPr>
            </w:pPr>
          </w:p>
        </w:tc>
      </w:tr>
      <w:tr>
        <w:trPr>
          <w:trHeight w:val="270"/>
        </w:trPr>
        <w:tc>
          <w:tcPr>
            <w:tcW w:w="7400" w:type="dxa"/>
            <w:vAlign w:val="bottom"/>
          </w:tcPr>
          <w:p>
            <w:pPr>
              <w:jc w:val="center"/>
              <w:ind w:left="3490"/>
              <w:spacing w:after="0"/>
              <w:rPr>
                <w:sz w:val="20"/>
                <w:szCs w:val="20"/>
                <w:color w:val="auto"/>
              </w:rPr>
            </w:pPr>
            <w:r>
              <w:rPr>
                <w:rFonts w:ascii="Arial" w:cs="Arial" w:eastAsia="Arial" w:hAnsi="Arial"/>
                <w:sz w:val="18"/>
                <w:szCs w:val="18"/>
                <w:color w:val="auto"/>
                <w:w w:val="94"/>
              </w:rPr>
              <w:t>(Full title of the plan)</w:t>
            </w:r>
          </w:p>
        </w:tc>
        <w:tc>
          <w:tcPr>
            <w:tcW w:w="1780" w:type="dxa"/>
            <w:vAlign w:val="bottom"/>
          </w:tcPr>
          <w:p>
            <w:pPr>
              <w:spacing w:after="0"/>
              <w:rPr>
                <w:sz w:val="23"/>
                <w:szCs w:val="23"/>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49" w:lineRule="exact"/>
        <w:rPr>
          <w:sz w:val="24"/>
          <w:szCs w:val="24"/>
          <w:color w:val="auto"/>
        </w:rPr>
      </w:pPr>
    </w:p>
    <w:tbl>
      <w:tblPr>
        <w:tblLayout w:type="fixed"/>
        <w:tblInd w:w="1540" w:type="dxa"/>
        <w:tblCellMar>
          <w:top w:w="0" w:type="dxa"/>
          <w:left w:w="0" w:type="dxa"/>
          <w:bottom w:w="0" w:type="dxa"/>
          <w:right w:w="0" w:type="dxa"/>
        </w:tblCellMar>
      </w:tblPr>
      <w:tr>
        <w:trPr>
          <w:trHeight w:val="216"/>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89"/>
              </w:rPr>
              <w:t>Robert A. Freedman, Esq.</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1"/>
              </w:rPr>
              <w:t>Keith S. Kennedy</w:t>
            </w:r>
          </w:p>
        </w:tc>
      </w:tr>
      <w:tr>
        <w:trPr>
          <w:trHeight w:val="216"/>
        </w:trPr>
        <w:tc>
          <w:tcPr>
            <w:tcW w:w="4060" w:type="dxa"/>
            <w:vAlign w:val="bottom"/>
          </w:tcPr>
          <w:p>
            <w:pPr>
              <w:jc w:val="center"/>
              <w:ind w:right="1510"/>
              <w:spacing w:after="0"/>
              <w:rPr>
                <w:sz w:val="20"/>
                <w:szCs w:val="20"/>
                <w:color w:val="auto"/>
              </w:rPr>
            </w:pPr>
            <w:r>
              <w:rPr>
                <w:rFonts w:ascii="Arial" w:cs="Arial" w:eastAsia="Arial" w:hAnsi="Arial"/>
                <w:sz w:val="18"/>
                <w:szCs w:val="18"/>
                <w:color w:val="auto"/>
                <w:w w:val="89"/>
              </w:rPr>
              <w:t>Ran Ben-Tzur, Esq.</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93"/>
              </w:rPr>
              <w:t>Fenwick &amp; West LLP</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Veracyte, Inc.</w:t>
            </w:r>
          </w:p>
        </w:tc>
      </w:tr>
      <w:tr>
        <w:trPr>
          <w:trHeight w:val="216"/>
        </w:trPr>
        <w:tc>
          <w:tcPr>
            <w:tcW w:w="4060" w:type="dxa"/>
            <w:vAlign w:val="bottom"/>
          </w:tcPr>
          <w:p>
            <w:pPr>
              <w:jc w:val="center"/>
              <w:ind w:right="1510"/>
              <w:spacing w:after="0"/>
              <w:rPr>
                <w:sz w:val="20"/>
                <w:szCs w:val="20"/>
                <w:color w:val="auto"/>
              </w:rPr>
            </w:pPr>
            <w:r>
              <w:rPr>
                <w:rFonts w:ascii="Arial" w:cs="Arial" w:eastAsia="Arial" w:hAnsi="Arial"/>
                <w:sz w:val="18"/>
                <w:szCs w:val="18"/>
                <w:color w:val="auto"/>
                <w:w w:val="92"/>
              </w:rPr>
              <w:t>Silicon Valley Center</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92"/>
              </w:rPr>
              <w:t>801 California Street</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94"/>
              </w:rPr>
              <w:t>Mountain View, California 94041</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(650) 243-6300</w:t>
            </w:r>
          </w:p>
        </w:tc>
      </w:tr>
    </w:tbl>
    <w:p>
      <w:pPr>
        <w:spacing w:after="0" w:line="229"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3"/>
                <w:szCs w:val="23"/>
                <w:color w:val="auto"/>
              </w:rPr>
            </w:pPr>
          </w:p>
        </w:tc>
        <w:tc>
          <w:tcPr>
            <w:tcW w:w="324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(Do not check if a smaller reporting company)</w:t>
            </w:r>
          </w:p>
        </w:tc>
        <w:tc>
          <w:tcPr>
            <w:tcW w:w="324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40" w:type="dxa"/>
            <w:vAlign w:val="bottom"/>
          </w:tcPr>
          <w:p>
            <w:pPr>
              <w:ind w:left="8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114935</wp:posOffset>
            </wp:positionV>
            <wp:extent cx="6560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132080</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97"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Proposed</w:t>
            </w:r>
          </w:p>
        </w:tc>
        <w:tc>
          <w:tcPr>
            <w:tcW w:w="1440" w:type="dxa"/>
            <w:vAlign w:val="bottom"/>
          </w:tcPr>
          <w:p>
            <w:pPr>
              <w:spacing w:after="0"/>
              <w:rPr>
                <w:sz w:val="14"/>
                <w:szCs w:val="14"/>
                <w:color w:val="auto"/>
              </w:rPr>
            </w:pPr>
          </w:p>
        </w:tc>
      </w:tr>
      <w:tr>
        <w:trPr>
          <w:trHeight w:val="149"/>
        </w:trPr>
        <w:tc>
          <w:tcPr>
            <w:tcW w:w="3280" w:type="dxa"/>
            <w:vAlign w:val="bottom"/>
          </w:tcPr>
          <w:p>
            <w:pPr>
              <w:jc w:val="center"/>
              <w:spacing w:after="0" w:line="149" w:lineRule="exact"/>
              <w:rPr>
                <w:sz w:val="20"/>
                <w:szCs w:val="20"/>
                <w:color w:val="auto"/>
              </w:rPr>
            </w:pPr>
            <w:r>
              <w:rPr>
                <w:rFonts w:ascii="Arial" w:cs="Arial" w:eastAsia="Arial" w:hAnsi="Arial"/>
                <w:sz w:val="14"/>
                <w:szCs w:val="14"/>
                <w:color w:val="auto"/>
                <w:w w:val="96"/>
              </w:rPr>
              <w:t>Title of Securities</w:t>
            </w:r>
          </w:p>
        </w:tc>
        <w:tc>
          <w:tcPr>
            <w:tcW w:w="174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6"/>
              </w:rPr>
              <w:t>Amount To</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5"/>
              </w:rPr>
              <w:t>Proposed Maximum Offering</w:t>
            </w: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Maximum Aggregate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r>
      <w:tr>
        <w:trPr>
          <w:trHeight w:val="188"/>
        </w:trPr>
        <w:tc>
          <w:tcPr>
            <w:tcW w:w="3280" w:type="dxa"/>
            <w:vAlign w:val="bottom"/>
          </w:tcPr>
          <w:p>
            <w:pPr>
              <w:jc w:val="center"/>
              <w:spacing w:after="0"/>
              <w:rPr>
                <w:sz w:val="20"/>
                <w:szCs w:val="20"/>
                <w:color w:val="auto"/>
              </w:rPr>
            </w:pPr>
            <w:r>
              <w:rPr>
                <w:rFonts w:ascii="Arial" w:cs="Arial" w:eastAsia="Arial" w:hAnsi="Arial"/>
                <w:sz w:val="14"/>
                <w:szCs w:val="14"/>
                <w:color w:val="auto"/>
                <w:w w:val="91"/>
              </w:rPr>
              <w:t>To Be Registered</w:t>
            </w:r>
          </w:p>
        </w:tc>
        <w:tc>
          <w:tcPr>
            <w:tcW w:w="1740" w:type="dxa"/>
            <w:vAlign w:val="bottom"/>
          </w:tcPr>
          <w:p>
            <w:pPr>
              <w:jc w:val="center"/>
              <w:ind w:left="128"/>
              <w:spacing w:after="0"/>
              <w:rPr>
                <w:sz w:val="20"/>
                <w:szCs w:val="20"/>
                <w:color w:val="auto"/>
              </w:rPr>
            </w:pPr>
            <w:r>
              <w:rPr>
                <w:rFonts w:ascii="Arial" w:cs="Arial" w:eastAsia="Arial" w:hAnsi="Arial"/>
                <w:sz w:val="14"/>
                <w:szCs w:val="14"/>
                <w:color w:val="auto"/>
                <w:w w:val="92"/>
              </w:rPr>
              <w:t>Be Registered (1)</w:t>
            </w:r>
          </w:p>
        </w:tc>
        <w:tc>
          <w:tcPr>
            <w:tcW w:w="2040" w:type="dxa"/>
            <w:vAlign w:val="bottom"/>
          </w:tcPr>
          <w:p>
            <w:pPr>
              <w:jc w:val="center"/>
              <w:spacing w:after="0"/>
              <w:rPr>
                <w:sz w:val="20"/>
                <w:szCs w:val="20"/>
                <w:color w:val="auto"/>
              </w:rPr>
            </w:pPr>
            <w:r>
              <w:rPr>
                <w:rFonts w:ascii="Arial" w:cs="Arial" w:eastAsia="Arial" w:hAnsi="Arial"/>
                <w:sz w:val="14"/>
                <w:szCs w:val="14"/>
                <w:color w:val="auto"/>
                <w:w w:val="89"/>
              </w:rPr>
              <w:t>Price Per Share</w:t>
            </w: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Offering Price</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Registration Fee</w:t>
            </w:r>
          </w:p>
        </w:tc>
      </w:tr>
      <w:tr>
        <w:trPr>
          <w:trHeight w:val="24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740" w:type="dxa"/>
            <w:vAlign w:val="bottom"/>
            <w:tcBorders>
              <w:top w:val="single" w:sz="8" w:color="auto"/>
            </w:tcBorders>
          </w:tcPr>
          <w:p>
            <w:pPr>
              <w:jc w:val="center"/>
              <w:ind w:left="128"/>
              <w:spacing w:after="0"/>
              <w:rPr>
                <w:sz w:val="20"/>
                <w:szCs w:val="20"/>
                <w:color w:val="auto"/>
              </w:rPr>
            </w:pPr>
            <w:r>
              <w:rPr>
                <w:rFonts w:ascii="Arial" w:cs="Arial" w:eastAsia="Arial" w:hAnsi="Arial"/>
                <w:sz w:val="14"/>
                <w:szCs w:val="14"/>
                <w:color w:val="auto"/>
                <w:w w:val="91"/>
              </w:rPr>
              <w:t>1,634,528 shares (2)</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$18.41(3)</w:t>
            </w:r>
          </w:p>
        </w:tc>
        <w:tc>
          <w:tcPr>
            <w:tcW w:w="16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2"/>
              </w:rPr>
              <w:t>$30,091,661</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$3,648</w:t>
            </w:r>
          </w:p>
        </w:tc>
      </w:tr>
    </w:tbl>
    <w:p>
      <w:pPr>
        <w:sectPr>
          <w:pgSz w:w="11900" w:h="16838" w:orient="portrait"/>
          <w:cols w:equalWidth="0" w:num="1">
            <w:col w:w="11420"/>
          </w:cols>
          <w:pgMar w:left="240" w:top="692" w:right="239" w:bottom="1440" w:gutter="0" w:footer="0" w:header="0"/>
        </w:sectPr>
      </w:pPr>
    </w:p>
    <w:bookmarkStart w:id="1" w:name="page2"/>
    <w:bookmarkEnd w:id="1"/>
    <w:p>
      <w:pPr>
        <w:ind w:left="458" w:right="160" w:hanging="458"/>
        <w:spacing w:after="0" w:line="238"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of the Securities Act of 1933, as amended (the “Securities Act”), this registration statement also covers any additional securities that may be offered or become issuable under the 2013 Stock Incentive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20" w:lineRule="exact"/>
        <w:rPr>
          <w:rFonts w:ascii="Arial" w:cs="Arial" w:eastAsia="Arial" w:hAnsi="Arial"/>
          <w:sz w:val="14"/>
          <w:szCs w:val="14"/>
          <w:color w:val="auto"/>
        </w:rPr>
      </w:pPr>
    </w:p>
    <w:p>
      <w:pPr>
        <w:ind w:left="458" w:right="400" w:hanging="458"/>
        <w:spacing w:after="0" w:line="253"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additional shares of the Registrant’s common stock reserved for issuance under the Registrant’s 2013 Stock Incentive Plan, as amended (the “2013 Plan”), pursuant to the provisions of the 2013 Plan that provide for an automatic annual increase in the number of shares reserved for issuance under the 2013 Plan.</w:t>
      </w:r>
    </w:p>
    <w:p>
      <w:pPr>
        <w:spacing w:after="0" w:line="11" w:lineRule="exact"/>
        <w:rPr>
          <w:rFonts w:ascii="Arial" w:cs="Arial" w:eastAsia="Arial" w:hAnsi="Arial"/>
          <w:sz w:val="14"/>
          <w:szCs w:val="14"/>
          <w:color w:val="auto"/>
        </w:rPr>
      </w:pPr>
    </w:p>
    <w:p>
      <w:pPr>
        <w:ind w:left="458" w:hanging="458"/>
        <w:spacing w:after="0" w:line="253"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purposes of calculating the registration fee, based on the average of the high and low prices of the Registrant’s Common Stock as reported on The Nasdaq Global Market on February 15, 2019.</w:t>
      </w:r>
    </w:p>
    <w:p>
      <w:pPr>
        <w:spacing w:after="0" w:line="57" w:lineRule="exact"/>
        <w:rPr>
          <w:sz w:val="20"/>
          <w:szCs w:val="20"/>
          <w:color w:val="auto"/>
        </w:rPr>
      </w:pPr>
    </w:p>
    <w:p>
      <w:pPr>
        <w:ind w:left="4758"/>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1298"/>
          </w:cols>
          <w:pgMar w:left="302" w:top="742"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Pursuant to General Instruction E of Form S-8, Veracyte, Inc. (“Registrant”) is filing this Registration Statement on Form S-8 with the U.S. Securities and Exchange Commission (the “Commission”) to register 1,634,528 additional shares of the Registrant’s Common Stock for issuance under the Registrant’s 2013 Stock Incentive Plan, as amended (the “2013 Plan”), pursuant to the provisions of the 2013 Plan that provide for an automatic annual increase in the number of shares reserved for issuance under the 2013 Plan. The Registrant’s Registration Statements on Form S-8 filed with the Commission on October 30, 2013 (File No. 333-191992), March 30, 2015 (File No. 333-203097), March 14, 2016 (File No. 333-210185), March 2, 2017 (File No. 333-216388), and February 27, 2018 (File No. 333-223292)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 In accordance with the instructional note to Part I of Form S-8 as promulgated by the Commission, the information specified by Part I of Form S-8 has been omitted from this Registration Statement.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3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2018.</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as amended (the “Exchange Act”), including any amendment or report filed for the purpose of updating such description.</w:t>
      </w:r>
    </w:p>
    <w:p>
      <w:pPr>
        <w:spacing w:after="0" w:line="14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420"/>
          </w:cols>
          <w:pgMar w:left="240" w:top="1013" w:right="2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4"/>
        </w:trPr>
        <w:tc>
          <w:tcPr>
            <w:tcW w:w="1220" w:type="dxa"/>
            <w:vAlign w:val="bottom"/>
            <w:gridSpan w:val="2"/>
          </w:tcPr>
          <w:p>
            <w:pPr>
              <w:ind w:left="520"/>
              <w:spacing w:after="0"/>
              <w:rPr>
                <w:sz w:val="20"/>
                <w:szCs w:val="20"/>
                <w:color w:val="auto"/>
              </w:rPr>
            </w:pPr>
            <w:r>
              <w:rPr>
                <w:rFonts w:ascii="Arial" w:cs="Arial" w:eastAsia="Arial" w:hAnsi="Arial"/>
                <w:sz w:val="18"/>
                <w:szCs w:val="18"/>
                <w:b w:val="1"/>
                <w:bCs w:val="1"/>
                <w:color w:val="auto"/>
              </w:rPr>
              <w:t>Item 8.</w:t>
            </w:r>
          </w:p>
        </w:tc>
        <w:tc>
          <w:tcPr>
            <w:tcW w:w="496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auto"/>
              </w:rPr>
              <w:t>The following exhibits are filed herewith:</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w w:val="91"/>
              </w:rPr>
              <w:t>Incorporated by Reference</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vMerge w:val="restart"/>
          </w:tcPr>
          <w:p>
            <w:pPr>
              <w:ind w:left="140"/>
              <w:spacing w:after="0"/>
              <w:rPr>
                <w:sz w:val="20"/>
                <w:szCs w:val="20"/>
                <w:color w:val="auto"/>
              </w:rPr>
            </w:pPr>
            <w:r>
              <w:rPr>
                <w:rFonts w:ascii="Arial" w:cs="Arial" w:eastAsia="Arial" w:hAnsi="Arial"/>
                <w:sz w:val="18"/>
                <w:szCs w:val="18"/>
                <w:color w:val="auto"/>
              </w:rPr>
              <w:t>Exhibit</w:t>
            </w:r>
          </w:p>
        </w:tc>
        <w:tc>
          <w:tcPr>
            <w:tcW w:w="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280"/>
              <w:spacing w:after="0"/>
              <w:rPr>
                <w:sz w:val="20"/>
                <w:szCs w:val="20"/>
                <w:color w:val="auto"/>
              </w:rPr>
            </w:pPr>
            <w:r>
              <w:rPr>
                <w:rFonts w:ascii="Arial" w:cs="Arial" w:eastAsia="Arial" w:hAnsi="Arial"/>
                <w:sz w:val="18"/>
                <w:szCs w:val="18"/>
                <w:color w:val="auto"/>
              </w:rPr>
              <w:t>No.</w:t>
            </w:r>
          </w:p>
        </w:tc>
        <w:tc>
          <w:tcPr>
            <w:tcW w:w="380" w:type="dxa"/>
            <w:vAlign w:val="bottom"/>
          </w:tcPr>
          <w:p>
            <w:pPr>
              <w:spacing w:after="0"/>
              <w:rPr>
                <w:sz w:val="20"/>
                <w:szCs w:val="20"/>
                <w:color w:val="auto"/>
              </w:rPr>
            </w:pPr>
          </w:p>
        </w:tc>
        <w:tc>
          <w:tcPr>
            <w:tcW w:w="4960" w:type="dxa"/>
            <w:vAlign w:val="bottom"/>
            <w:gridSpan w:val="10"/>
          </w:tcPr>
          <w:p>
            <w:pPr>
              <w:ind w:left="1860"/>
              <w:spacing w:after="0"/>
              <w:rPr>
                <w:sz w:val="20"/>
                <w:szCs w:val="20"/>
                <w:color w:val="auto"/>
              </w:rPr>
            </w:pPr>
            <w:r>
              <w:rPr>
                <w:rFonts w:ascii="Arial" w:cs="Arial" w:eastAsia="Arial" w:hAnsi="Arial"/>
                <w:sz w:val="18"/>
                <w:szCs w:val="18"/>
                <w:color w:val="auto"/>
              </w:rPr>
              <w:t>Description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280" w:type="dxa"/>
            <w:vAlign w:val="bottom"/>
          </w:tcPr>
          <w:p>
            <w:pPr>
              <w:ind w:left="360"/>
              <w:spacing w:after="0"/>
              <w:rPr>
                <w:sz w:val="20"/>
                <w:szCs w:val="20"/>
                <w:color w:val="auto"/>
              </w:rPr>
            </w:pPr>
            <w:r>
              <w:rPr>
                <w:rFonts w:ascii="Arial" w:cs="Arial" w:eastAsia="Arial" w:hAnsi="Arial"/>
                <w:sz w:val="18"/>
                <w:szCs w:val="18"/>
                <w:color w:val="auto"/>
              </w:rPr>
              <w:t>File No.</w:t>
            </w:r>
          </w:p>
        </w:tc>
        <w:tc>
          <w:tcPr>
            <w:tcW w:w="1000" w:type="dxa"/>
            <w:vAlign w:val="bottom"/>
          </w:tcPr>
          <w:p>
            <w:pPr>
              <w:ind w:left="180"/>
              <w:spacing w:after="0"/>
              <w:rPr>
                <w:sz w:val="20"/>
                <w:szCs w:val="20"/>
                <w:color w:val="auto"/>
              </w:rPr>
            </w:pPr>
            <w:r>
              <w:rPr>
                <w:rFonts w:ascii="Arial" w:cs="Arial" w:eastAsia="Arial" w:hAnsi="Arial"/>
                <w:sz w:val="18"/>
                <w:szCs w:val="18"/>
                <w:color w:val="auto"/>
              </w:rPr>
              <w:t>Exhibit</w:t>
            </w:r>
          </w:p>
        </w:tc>
        <w:tc>
          <w:tcPr>
            <w:tcW w:w="1100" w:type="dxa"/>
            <w:vAlign w:val="bottom"/>
          </w:tcPr>
          <w:p>
            <w:pPr>
              <w:ind w:left="60"/>
              <w:spacing w:after="0"/>
              <w:rPr>
                <w:sz w:val="20"/>
                <w:szCs w:val="20"/>
                <w:color w:val="auto"/>
              </w:rPr>
            </w:pPr>
            <w:r>
              <w:rPr>
                <w:rFonts w:ascii="Arial" w:cs="Arial" w:eastAsia="Arial" w:hAnsi="Arial"/>
                <w:sz w:val="18"/>
                <w:szCs w:val="18"/>
                <w:color w:val="auto"/>
              </w:rPr>
              <w:t>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5340" w:type="dxa"/>
            <w:vAlign w:val="bottom"/>
            <w:gridSpan w:val="11"/>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Restated Certificate of Incorporation of the Registrant</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001-36156</w:t>
            </w:r>
          </w:p>
        </w:tc>
        <w:tc>
          <w:tcPr>
            <w:tcW w:w="100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7"/>
              </w:rPr>
              <w:t>3.1</w:t>
            </w:r>
          </w:p>
        </w:tc>
        <w:tc>
          <w:tcPr>
            <w:tcW w:w="11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9"/>
              </w:rPr>
              <w:t>11/8/2013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3880" w:type="dxa"/>
            <w:vAlign w:val="bottom"/>
            <w:tcBorders>
              <w:top w:val="single" w:sz="8" w:color="0000FF"/>
            </w:tcBorders>
            <w:gridSpan w:val="5"/>
          </w:tcPr>
          <w:p>
            <w:pPr>
              <w:spacing w:after="0"/>
              <w:rPr>
                <w:rFonts w:ascii="Arial" w:cs="Arial" w:eastAsia="Arial" w:hAnsi="Arial"/>
                <w:sz w:val="18"/>
                <w:szCs w:val="18"/>
                <w:color w:val="0000FF"/>
              </w:rPr>
            </w:pPr>
            <w:hyperlink r:id="rId11">
              <w:r>
                <w:rPr>
                  <w:rFonts w:ascii="Arial" w:cs="Arial" w:eastAsia="Arial" w:hAnsi="Arial"/>
                  <w:sz w:val="18"/>
                  <w:szCs w:val="18"/>
                  <w:color w:val="0000FF"/>
                </w:rPr>
                <w:t>Restated Bylaws of the Registrant</w:t>
              </w:r>
            </w:hyperlink>
          </w:p>
        </w:tc>
        <w:tc>
          <w:tcPr>
            <w:tcW w:w="1460" w:type="dxa"/>
            <w:vAlign w:val="bottom"/>
            <w:gridSpan w:val="6"/>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11/8/2013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2560" w:type="dxa"/>
            <w:vAlign w:val="bottom"/>
            <w:tcBorders>
              <w:bottom w:val="single" w:sz="8" w:color="0000FF"/>
            </w:tcBorders>
            <w:gridSpan w:val="4"/>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Form of Common Stock Certificate</w:t>
              </w:r>
            </w:hyperlink>
          </w:p>
        </w:tc>
        <w:tc>
          <w:tcPr>
            <w:tcW w:w="2780" w:type="dxa"/>
            <w:vAlign w:val="bottom"/>
            <w:gridSpan w:val="7"/>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333-191282</w:t>
            </w: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4.1</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10/15/2013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5.1</w:t>
            </w:r>
          </w:p>
        </w:tc>
        <w:tc>
          <w:tcPr>
            <w:tcW w:w="5340" w:type="dxa"/>
            <w:vAlign w:val="bottom"/>
            <w:gridSpan w:val="1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Opinion of Fenwick &amp; West, LLP.</w:t>
              </w:r>
            </w:hyperlink>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5340" w:type="dxa"/>
            <w:vAlign w:val="bottom"/>
            <w:gridSpan w:val="1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Consent of Independent Registered Public Accounting Firm.</w:t>
              </w:r>
            </w:hyperlink>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23.2</w:t>
            </w:r>
          </w:p>
        </w:tc>
        <w:tc>
          <w:tcPr>
            <w:tcW w:w="42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Consent of Fenwick &amp; West LLP (included in Exhibit 5.1).</w:t>
              </w:r>
            </w:hyperlink>
          </w:p>
        </w:tc>
        <w:tc>
          <w:tcPr>
            <w:tcW w:w="100" w:type="dxa"/>
            <w:vAlign w:val="bottom"/>
            <w:tcBorders>
              <w:top w:val="single" w:sz="8" w:color="0000FF"/>
            </w:tcBorders>
          </w:tcPr>
          <w:p>
            <w:pPr>
              <w:spacing w:after="0"/>
              <w:rPr>
                <w:sz w:val="21"/>
                <w:szCs w:val="21"/>
                <w:color w:val="auto"/>
              </w:rPr>
            </w:pPr>
          </w:p>
        </w:tc>
        <w:tc>
          <w:tcPr>
            <w:tcW w:w="98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24.1</w:t>
            </w:r>
          </w:p>
        </w:tc>
        <w:tc>
          <w:tcPr>
            <w:tcW w:w="4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(contained on signature page hereto).</w:t>
              </w:r>
            </w:hyperlink>
          </w:p>
        </w:tc>
        <w:tc>
          <w:tcPr>
            <w:tcW w:w="128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99.1</w:t>
            </w:r>
          </w:p>
        </w:tc>
        <w:tc>
          <w:tcPr>
            <w:tcW w:w="5260" w:type="dxa"/>
            <w:vAlign w:val="bottom"/>
            <w:tcBorders>
              <w:bottom w:val="single" w:sz="8" w:color="0000FF"/>
            </w:tcBorders>
            <w:gridSpan w:val="10"/>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2013 Stock Incentive Plan, as amended, and forms of stock option award</w:t>
              </w:r>
            </w:hyperlink>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2/27/2018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14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13">
              <w:r>
                <w:rPr>
                  <w:rFonts w:ascii="Arial" w:cs="Arial" w:eastAsia="Arial" w:hAnsi="Arial"/>
                  <w:sz w:val="18"/>
                  <w:szCs w:val="18"/>
                  <w:color w:val="0000FF"/>
                  <w:w w:val="88"/>
                </w:rPr>
                <w:t>agreement, stock option exercise agreement, restricted stock agreement</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340" w:type="dxa"/>
            <w:vAlign w:val="bottom"/>
            <w:gridSpan w:val="11"/>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and restricted stock unit agreement.</w:t>
              </w:r>
            </w:hyperlink>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73" w:lineRule="auto"/>
        <w:tabs>
          <w:tab w:leader="none" w:pos="7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firstLine="440"/>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firstLine="440"/>
        <w:spacing w:after="0" w:line="264" w:lineRule="auto"/>
        <w:tabs>
          <w:tab w:leader="none" w:pos="7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440"/>
        <w:spacing w:after="0" w:line="277"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firstLine="440"/>
        <w:spacing w:after="0" w:line="277"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w:t>
      </w:r>
    </w:p>
    <w:p>
      <w:pPr>
        <w:sectPr>
          <w:pgSz w:w="11900" w:h="16838" w:orient="portrait"/>
          <w:cols w:equalWidth="0" w:num="1">
            <w:col w:w="11420"/>
          </w:cols>
          <w:pgMar w:left="240" w:top="958"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both"/>
        <w:ind w:firstLine="440"/>
        <w:spacing w:after="0" w:line="291" w:lineRule="auto"/>
        <w:tabs>
          <w:tab w:leader="none" w:pos="70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80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25th day of February, 2019.</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60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27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Bonnie H. Anderson and Keith Kennedy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6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w w:val="99"/>
              </w:rPr>
              <w:t>Chairman and Chief Executive Officer (Principal Executive Officer)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Bonnie H. Anderson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/s/ KEITH KENNEDY</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w w:val="99"/>
              </w:rPr>
              <w:t>Chief Financial Officer (Principal Financial and Accounting Officer)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Keith Kennedy</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Lead Independent 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John L. Bishop</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ROBERT S. EPSTEIN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Robert S. Epstein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KEVIN K. GORDON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Kevin K. Gordon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5"/>
              </w:rPr>
              <w:t>Evan Jones</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TINA S. NOVA, PH.D.</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Tina S. Nova, Ph.D.</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JESSE I. TREU, PH.D.</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2019</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7"/>
              </w:rPr>
              <w:t>Jesse I. Treu, Ph.D.</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1795780</wp:posOffset>
            </wp:positionH>
            <wp:positionV relativeFrom="page">
              <wp:posOffset>243205</wp:posOffset>
            </wp:positionV>
            <wp:extent cx="3978910" cy="93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97891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5.1</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California 94080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your request, as your counsel, we have examined the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to be filed by Veracyte,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on or about February 25, 2019 in connection with the registration under the 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of the issuance of an aggregate of 1,634,528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$0.001 par value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subject to issuance by the Company upon the exercise or settlement of awards granted or to be granted under the Company’s 2013 Stock Incentive Plan, as amended (the “</w:t>
      </w:r>
      <w:r>
        <w:rPr>
          <w:rFonts w:ascii="Arial" w:cs="Arial" w:eastAsia="Arial" w:hAnsi="Arial"/>
          <w:sz w:val="20"/>
          <w:szCs w:val="20"/>
          <w:b w:val="1"/>
          <w:bCs w:val="1"/>
          <w:i w:val="1"/>
          <w:iCs w:val="1"/>
          <w:color w:val="auto"/>
        </w:rPr>
        <w:t>2013 Plan</w:t>
      </w:r>
      <w:r>
        <w:rPr>
          <w:rFonts w:ascii="Arial" w:cs="Arial" w:eastAsia="Arial" w:hAnsi="Arial"/>
          <w:sz w:val="20"/>
          <w:szCs w:val="20"/>
          <w:color w:val="auto"/>
        </w:rPr>
        <w: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4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20"/>
          <w:szCs w:val="20"/>
          <w:b w:val="1"/>
          <w:bCs w:val="1"/>
          <w:i w:val="1"/>
          <w:iCs w:val="1"/>
          <w:color w:val="auto"/>
        </w:rPr>
        <w:t>Charter Documents</w:t>
      </w:r>
      <w:r>
        <w:rPr>
          <w:rFonts w:ascii="Arial" w:cs="Arial" w:eastAsia="Arial" w:hAnsi="Arial"/>
          <w:sz w:val="20"/>
          <w:szCs w:val="20"/>
          <w:color w:val="auto"/>
        </w:rPr>
        <w:t>”), the 2013 Plan, the Registration Statement and the exhibits thereto; certain corporate proceedings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the Company’s stockholders relating to adoption or approval of the Charter Documents, the 2013 Plan, the reservation of the Shares for sale and issuance, the filing of the Registration Statement and the registration of the issuance of the Shares under the Securities Act and documents (including a certificate from the Company’s transfer agent) regarding the Company’s outstanding and reserved capital stock and other securities and such other documents as we have deemed advisable, and we have examined such questions of law as we have considered necessary.</w:t>
      </w:r>
    </w:p>
    <w:p>
      <w:pPr>
        <w:spacing w:after="0" w:line="21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if and when issued, will be executed by the Company by officers of the Company duly authorized to do so. In rendering our opinion,</w:t>
      </w:r>
    </w:p>
    <w:p>
      <w:pPr>
        <w:sectPr>
          <w:pgSz w:w="11900" w:h="16838" w:orient="portrait"/>
          <w:cols w:equalWidth="0" w:num="1">
            <w:col w:w="11420"/>
          </w:cols>
          <w:pgMar w:left="240" w:top="1440" w:right="2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19"/>
          <w:szCs w:val="19"/>
          <w:color w:val="auto"/>
        </w:rPr>
        <w:t>we have also relied upon a Certificate of Good Standing dated February 22, 2019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Based upon, and subject to, the foregoing, it is our opinion that when the 1,634,528 Shares of Common Stock that may be issued and sold by the Company upon the exercise or settlement of awards granted or to be granted under the 2013 Plan, have been issued and sold by the Company against the Company’s receipt of payment therefor (in an amount and type of consideration not less than the par value per Share) in accordance with the terms (including without limitation payment and authorization provisions) of the 2013 Plan and have been duly registered on the books of the transfer agent and registrar for the Shares in the name or on behalf of the holders thereof, such Shares will be validly issued, fully paid and non-assessable.</w:t>
      </w:r>
    </w:p>
    <w:p>
      <w:pPr>
        <w:spacing w:after="0" w:line="206" w:lineRule="exact"/>
        <w:rPr>
          <w:sz w:val="20"/>
          <w:szCs w:val="20"/>
          <w:color w:val="auto"/>
        </w:rPr>
      </w:pPr>
    </w:p>
    <w:p>
      <w:pPr>
        <w:jc w:val="both"/>
        <w:ind w:firstLine="662"/>
        <w:spacing w:after="0" w:line="305"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6"/>
          <w:szCs w:val="16"/>
          <w:color w:val="auto"/>
        </w:rPr>
        <w:t>.</w:t>
      </w:r>
      <w:r>
        <w:rPr>
          <w:rFonts w:ascii="Arial" w:cs="Arial" w:eastAsia="Arial" w:hAnsi="Arial"/>
          <w:sz w:val="18"/>
          <w:szCs w:val="18"/>
          <w:color w:val="auto"/>
        </w:rPr>
        <w:t xml:space="preserve"> 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367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2013 Stock Incentive Plan of Veracyte, Inc. of our reports dated February 25, 2019, with respect to the financial statements of Veracyte, Inc. and the effectiveness of internal control over financial reporting of Veracyte, Inc. included in its Annual Report (Form 10-K) for the year ended December 31, 2018,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eg"/><Relationship Id="rId16" Type="http://schemas.openxmlformats.org/officeDocument/2006/relationships/image" Target="media/image5.png"/><Relationship Id="rId10" Type="http://schemas.openxmlformats.org/officeDocument/2006/relationships/hyperlink" Target="http://www.sec.gov/Archives/edgar/data/1384101/000110465913082910/a13-23874_1ex3d1.htm" TargetMode="External"/><Relationship Id="rId11" Type="http://schemas.openxmlformats.org/officeDocument/2006/relationships/hyperlink" Target="http://www.sec.gov/Archives/edgar/data/1384101/000110465913082910/a13-23874_1ex3d2.htm" TargetMode="External"/><Relationship Id="rId12" Type="http://schemas.openxmlformats.org/officeDocument/2006/relationships/hyperlink" Target="http://www.sec.gov/Archives/edgar/data/1384101/000104746913009631/a2216954zex-4_1.htm" TargetMode="External"/><Relationship Id="rId13" Type="http://schemas.openxmlformats.org/officeDocument/2006/relationships/hyperlink" Target="http://www.sec.gov/Archives/edgar/data/1384101/000138410118000006/vcyt-12312017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2019-12-21T03:14:38Z</dcterms:created>
  <dcterms:modified xsi:type="dcterms:W3CDTF">2019-12-21T03:14:38Z</dcterms:modified>
</cp:coreProperties>
</file>