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556948.xml.htm"/>
      <w:bookmarkStart w:id="1" w:name="kswkform4_178155694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Holstein Jens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6000 SHORELINE COURT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VERACYTE, INC.</w:t>
              </w:r>
            </w:hyperlink>
            <w:r>
              <w:rPr/>
              <w:t xml:space="preserve"> [ </w:t>
            </w:r>
            <w:r>
              <w:rPr>
                <w:rFonts w:ascii="Times;serif" w:hAnsi="Times;serif"/>
                <w:color w:val="0000FF"/>
                <w:sz w:val="24"/>
                <w:shd w:fill="FFFFFF" w:val="clear"/>
              </w:rPr>
              <w:t>VCYT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5,272</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32,471</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awarded on June 11, 2026 vest in full on the first anniversary of the date of the grant or immediately prior to the Company's next annual meeting of stockholders, if earlier. In addition, the restricted stock units vest in full in the event of a change in control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Wygant,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9880" TargetMode="External"/><Relationship Id="rId5" Type="http://schemas.openxmlformats.org/officeDocument/2006/relationships/hyperlink" Target="http://www.sec.gov/cgi-bin/browse-edgar?action=getcompany&amp;CIK=00013841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615</Words>
  <Characters>3300</Characters>
  <CharactersWithSpaces>3855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