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333-277529</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February 29, 2024)</w:t>
      </w:r>
    </w:p>
    <w:p>
      <w:pPr>
        <w:spacing w:after="0" w:line="200" w:lineRule="exact"/>
        <w:rPr>
          <w:sz w:val="24"/>
          <w:szCs w:val="24"/>
          <w:color w:val="auto"/>
        </w:rPr>
      </w:pPr>
    </w:p>
    <w:p>
      <w:pPr>
        <w:spacing w:after="0" w:line="3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1,016,965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430530</wp:posOffset>
            </wp:positionV>
            <wp:extent cx="395160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5160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515620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The selling stockholders of Veracyte, Inc. identified in this prospectus supplement (the “Selling Stockholders”) may offer and resell up to 1,016,965 shares of our common stock, par value $0.001 per share, under this prospectus supplement. The Selling Stockholders acquired these shares from us pursuant to an Agreement and Plan of Merger, dated as of January 5, 2024 (the “Merger Agreement”), by and among us, C2i Genomics, Inc., a Delaware corporation (“C2i Genomics”), Canary Merger Sub I, Inc., a Delaware corporation, Veracyte Diagnostics, LLC, a Delaware limited liability company, and Fortis Advisors LLC, as the Securityholders’ Agent. We are not selling any shares of our common stock pursuant to this prospectus supplement and we will not receive any proceeds from the sale of these shares by the Selling Stockholders.</w:t>
      </w:r>
    </w:p>
    <w:p>
      <w:pPr>
        <w:spacing w:after="0" w:line="187" w:lineRule="exact"/>
        <w:rPr>
          <w:sz w:val="24"/>
          <w:szCs w:val="24"/>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Selling Stockholders (which term as used herein includes their respective transferees, pledgees, distributees, donees or other successors) identified in this prospectus supplement may offer the shares of our common stock from time to time through public or private transactions. The shares of our common stock offered by the Selling Stockholders may be sold at market prices prevailing at the time of sale, at prices related to such market prices, at a fixed price or prices subject to change, or at negotiated prices. See the section titled “Plan of Distribution.”</w:t>
      </w:r>
    </w:p>
    <w:p>
      <w:pPr>
        <w:spacing w:after="0" w:line="180"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 On March 21, 2024, the last reported sale price of our shares of common stock on The Nasdaq Global Market was $21.57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448310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S-3 of this prospectus supplement.</w:t>
      </w:r>
    </w:p>
    <w:p>
      <w:pPr>
        <w:spacing w:after="0" w:line="225"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456565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March 22, 2024.</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7"/>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34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BY REFERENCE</w:t>
            </w:r>
          </w:p>
        </w:tc>
        <w:tc>
          <w:tcPr>
            <w:tcW w:w="41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344"/>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3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7"/>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TO BE REGISTERED</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2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34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54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12"/>
          </w:tcPr>
          <w:p>
            <w:pPr>
              <w:spacing w:after="0"/>
              <w:rPr>
                <w:sz w:val="17"/>
                <w:szCs w:val="17"/>
                <w:color w:val="auto"/>
              </w:rPr>
            </w:pPr>
          </w:p>
        </w:tc>
        <w:tc>
          <w:tcPr>
            <w:tcW w:w="508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0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20" w:type="dxa"/>
            <w:vAlign w:val="bottom"/>
            <w:gridSpan w:val="19"/>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800" w:type="dxa"/>
            <w:vAlign w:val="bottom"/>
            <w:gridSpan w:val="1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BY REFERENCE</w:t>
            </w:r>
          </w:p>
        </w:tc>
        <w:tc>
          <w:tcPr>
            <w:tcW w:w="41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On February 29, 2024, we filed with the Securities and Exchange Commission (the “SEC”), a registration statement on Form S-3 (File No. 333-277529) utilizing a shelf registration process relating to the securities described in this prospectus supplement, which registration statement became automatically effective upon filing.</w:t>
      </w:r>
    </w:p>
    <w:p>
      <w:pPr>
        <w:spacing w:after="0" w:line="176"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jc w:val="both"/>
        <w:ind w:left="300" w:right="260"/>
        <w:spacing w:after="0" w:line="266"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76"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Stockholders are offering to sell these securities in any jurisdiction where such offer and sale is not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7"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8" w:lineRule="exact"/>
        <w:rPr>
          <w:sz w:val="20"/>
          <w:szCs w:val="20"/>
          <w:color w:val="auto"/>
        </w:rPr>
      </w:pPr>
    </w:p>
    <w:p>
      <w:pPr>
        <w:ind w:left="300" w:right="62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62"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41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2841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9"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common stock. You should carefully read this entire prospectus supplement and the information incorporated by reference in this prospectus supplement, including “Risk Factors” and the financial data and related notes and other information incorporated by reference, before making an investment decision.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This prospectus supplement relates to the resale of 1,016,965 shares of our common stock held by the Selling Stockholders identified under the section titled “Selling Stockholders.” The shares of our common stock that may be offered by the Selling Stockholders using this prospectus supplement represent shares of our common stock that we issued to the Selling Stockholders in connection with our entry into the Merger Agreement. We will not receive any of the proceeds from the sale of these shares of our common stock by the Selling Stockholders.</w:t>
      </w:r>
    </w:p>
    <w:p>
      <w:pPr>
        <w:spacing w:after="0" w:line="2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780"/>
          </w:cols>
          <w:pgMar w:left="320" w:top="455" w:right="7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 decision to invest in our common stock, in addition to the other information contained in this prospectus supplement, in the accompanying prospectus, or incorporated into this prospectus supplement or the accompanying prospectus by reference, you should carefully consider the risks, uncertainties and assumptions discussed under Part I, Item 1A, “Risk Factors,” in our Annual Report on Form 10-K for the fiscal year ended December 31, 2023, which is incorporated herein by reference, and may be amended, supplemented or superseded from time to time by other reports we file with the SEC in the future and which are incorporated herein by reference, together with other information in this prospectus supplement, the documents incorporated by reference, and any free writing prospectus that we may authorize for use in connection with a specific offering. See the section titled “Where You Can Find Additional Information” and “Incorporation of Information by Reference.”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in this prospectus supplement and the accompanying prospectus contain forward-looking statements, which are subject to safe harbor protection under of the Private Securities Litigation Reform Act of 1995. All statements contained in or incorporated by reference in this prospectus supplement and accompanying prospectus other than statements of historical fact, including statements regarding our future financial condition and operating results, business strategy and plans, and objectives for future operations, are forward-looking statements. The words “believe,” “may,” “will,” “estimate,” “continue,” “anticipate,” “intend,” “expect,” “seek,” “plan,” and similar expressions are intended to identify forward-looking statements. We have based these forward-looking statements largely on our current expectations, beliefs, and projections about future events, conditions, and trends that we believe may affect our financial condition, operating results, business strategy, short-term and long-term business operations and objectives, and financial needs. These forward-looking statements are subject to a number of risks, uncertainties, assumptions, and changes in circumstances that are difficult to predict and many of which are outside of our control, including those arising from the impact of recent macroeconomic events and inflation, as well as those described in the “Risk Factors” section incorporated by reference herein, which we encourage you to read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9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In light of these risks, uncertainties, assumptions, and potential changes in circumstances, the future events, conditions, and trends discussed in this prospectus supplement and accompanying prospectus may not occur and actual results could differ materially and adversely from those anticipated or implied by the forward-looking statements. Accordingly, you should not rely upon any forward-looking statements. Although we believe that the expectations reflected in the forward-looking statements are reasonable, we cannot guarantee future results, levels of activities, performance, or achievements. We are under no duty to update any of these forward-looking statements after the date of this report or to conform these statements to actual results or revised expectations, except as required by applicable law. If we do update any forward-looking statements, no inference should be drawn that we will make additional updates with respect to those or other forward-looking statements. You are advised to review any additional disclosures we make in the documents we subsequently file with the SEC that are incorporated by reference in this prospectus supplement and accompanying prospectus. See “Where You Can Find Additional Information” and “Incorporation of Information by Reference.”</w:t>
      </w:r>
    </w:p>
    <w:p>
      <w:pPr>
        <w:spacing w:after="0" w:line="188"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reference in this prospectus supplement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Stockholders identified in this prospectus supplement. We will not receive any proceeds from the sale of shares of common stock by the Selling Stockholders.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the resale of up to 1,016,965 shares of our common stock held by the Selling Stockholders listed in the table below. The shares being offered were issued to the Selling Stockholders pursuant to exemptions from registration provided under Section 4(a)(2) of the Securities Act of 1933, as amended (the “Securities Act”), Rule 506 of Regulation D promulgated by the SEC under the Securities Act, or Regulation S promulgated under the Securities Act, in connection with our entry into the Merger Agreement. The Selling Stockholders may, from time to time, offer and sell pursuant to this prospectus supplement any or all of the shares of common stock being registered. When we refer to the “selling stockholders” in this prospectus supplement and accompanying prospectus, we mean the selling stockholders listed in the table below, together with their respective transferees, pledgees, distributees, donees or other successors. Pursuant to the Merger Agreement, we agreed to file a prospectus supplement with the SEC for the purposes of registering for resale the shares of our common stock issued to the Selling Stockholders.</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table below sets forth certain information known to us, based upon written representations from the Selling Stockholders, with respect to the beneficial ownership of our shares of common stock held by the Selling Stockholders as of March 6, 2024, the latest practicable date after the date on which our acquisition of C2i Genomics was completed. 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the section titled “Plan of Distribution.” For purposes of the table below, we assume that the Selling Stockholders will sell all their shares of common stock covered by this prospectus supplement.</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Rule 13d-3 under the Securities Exchange Act of 1934, as amended (the “Exchange Act”). Except as indicated by the footnotes below, we believe, based on the information furnished to us, that the Selling Stockholders have sole voting and investment power with respect to all shares of common stock that it beneficially owns, subject to applicable community property laws. Unless otherwise described below, to our knowledge, the Selling Stockholders have not held any position or office or had any other material relationship with us or our affiliates during the three years prior to the date of this prospectus supplement. In addition, except as otherwise described below, based on the information provided to us by the Selling Stockholders, the Selling Stockholders are not broker-dealers or affiliates of broker-dealers.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Applicable percentage ownership is based on 73,305,236 shares of common stock outstanding as of January 31, 2024. The Selling Stockholders do not hold any stock options or other convertible securities that are currently exercisable or releasable or that will become exercisable or releasable within 60 days of January 31, 2024.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94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7480" w:type="dxa"/>
            <w:vAlign w:val="bottom"/>
          </w:tcPr>
          <w:p>
            <w:pPr>
              <w:spacing w:after="0"/>
              <w:rPr>
                <w:sz w:val="12"/>
                <w:szCs w:val="12"/>
                <w:color w:val="auto"/>
              </w:rPr>
            </w:pPr>
          </w:p>
        </w:tc>
        <w:tc>
          <w:tcPr>
            <w:tcW w:w="14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60"/>
        </w:trPr>
        <w:tc>
          <w:tcPr>
            <w:tcW w:w="7480" w:type="dxa"/>
            <w:vAlign w:val="bottom"/>
          </w:tcPr>
          <w:p>
            <w:pPr>
              <w:spacing w:after="0"/>
              <w:rPr>
                <w:sz w:val="13"/>
                <w:szCs w:val="13"/>
                <w:color w:val="auto"/>
              </w:rPr>
            </w:pPr>
          </w:p>
        </w:tc>
        <w:tc>
          <w:tcPr>
            <w:tcW w:w="148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9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Owned After</w:t>
            </w:r>
          </w:p>
        </w:tc>
      </w:tr>
      <w:tr>
        <w:trPr>
          <w:trHeight w:val="162"/>
        </w:trPr>
        <w:tc>
          <w:tcPr>
            <w:tcW w:w="7480" w:type="dxa"/>
            <w:vAlign w:val="bottom"/>
          </w:tcPr>
          <w:p>
            <w:pPr>
              <w:spacing w:after="0"/>
              <w:rPr>
                <w:sz w:val="14"/>
                <w:szCs w:val="14"/>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this Offering</w:t>
            </w:r>
          </w:p>
        </w:tc>
      </w:tr>
      <w:tr>
        <w:trPr>
          <w:trHeight w:val="142"/>
        </w:trPr>
        <w:tc>
          <w:tcPr>
            <w:tcW w:w="7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9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2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2"/>
                <w:szCs w:val="12"/>
                <w:color w:val="auto"/>
              </w:rPr>
            </w:pPr>
          </w:p>
        </w:tc>
      </w:tr>
      <w:tr>
        <w:trPr>
          <w:trHeight w:val="210"/>
        </w:trPr>
        <w:tc>
          <w:tcPr>
            <w:tcW w:w="7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Casdin Capital, LLC</w:t>
            </w:r>
            <w:r>
              <w:rPr>
                <w:rFonts w:ascii="Times New Roman" w:cs="Times New Roman" w:eastAsia="Times New Roman" w:hAnsi="Times New Roman"/>
                <w:sz w:val="24"/>
                <w:szCs w:val="24"/>
                <w:color w:val="auto"/>
                <w:vertAlign w:val="superscript"/>
              </w:rPr>
              <w:t>(2)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857,904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857,904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IBI Trust Management (F/B/O Tech.Bio Fund I LP)</w:t>
            </w:r>
            <w:r>
              <w:rPr>
                <w:rFonts w:ascii="Times New Roman" w:cs="Times New Roman" w:eastAsia="Times New Roman" w:hAnsi="Times New Roman"/>
                <w:sz w:val="25"/>
                <w:szCs w:val="25"/>
                <w:color w:val="auto"/>
                <w:vertAlign w:val="superscript"/>
              </w:rPr>
              <w:t>(3)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159,061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159,061</w:t>
            </w: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 of common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1,016,965</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1,016,965</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r>
    </w:tbl>
    <w:p>
      <w:pPr>
        <w:spacing w:after="0" w:line="225"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31" w:lineRule="exact"/>
        <w:rPr>
          <w:sz w:val="20"/>
          <w:szCs w:val="20"/>
          <w:color w:val="auto"/>
        </w:rPr>
      </w:pPr>
    </w:p>
    <w:p>
      <w:pPr>
        <w:ind w:left="540" w:right="100" w:hanging="424"/>
        <w:spacing w:after="0" w:line="266"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Selling Stockholders dispose of all of the shares of common stock covered by this prospectus supplement and do not acquire beneficial ownership of any additional shares. The registration of these shares does not necessarily mean that the Selling Stockholders will sell all or any portion of the shares covered by this prospectus supplement.</w:t>
      </w:r>
    </w:p>
    <w:p>
      <w:pPr>
        <w:spacing w:after="0" w:line="81"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581,596 shares of common stock held by Casdin Partners Master Fund, L.P. and (ii) 276,308 shares of common stock held by Casdin Private Growth Equity Fund, L.P. The shares held by Casdin Partners Master Fund, L.P. may be deemed to be indirectly beneficially owned by Casdin Capital, LLC, the investment adviser to Casdin Partners Master Fund, L.P., Casdin Partners GP, LLC, the general partner of Casdin Partners Master Fund L.P., and Eli Casdin, the managing member of Casdin Capital, LLC and Casdin Partners GP, LLC. The shares held by Casdin Private Growth Equity Fund, L.P. may be deemed to be indirectly beneficially owned by Casdin Capital, LLC, the investment adviser to Casdin Private Growth Equity Fund, L.P. and Eli Casdin, the managing member of Casdin Capital, LLC and Casdin Private Growth Equity GP, LLC. The business address of Casdin Partners Master Fund, L.P. and Casdin Private Growth Equity Fund, L.P. is 1350 Avenue of the Americas, Suite 2600, New York, New York 10019.</w:t>
      </w:r>
    </w:p>
    <w:p>
      <w:pPr>
        <w:spacing w:after="0" w:line="97"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IBI Trust Management holds these shares of common stock in trust for the benefit of Tech.Bio Fund I LP and disclaims beneficial ownership of these shares. The business address for Tech.Bio Fund I LP is 75 Hertzel St., Ramat Gan, Israel.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any donees, pledgees, transferees or other successors in interest selling shares received after the date of this prospectus supplement from the Selling Stockholders as a gift, pledge, partnership distribution or other transfer, may, from time to time, sell, transfer, or otherwise dispose of any or all of their shares on any stock exchange, market or trading facility on which the shares are traded or in private transactions. The Selling Stockholders will act independently of us in making decisions with respect to the timing, manner, and size of any such sale, transfer or other disposition. These dispositions may be at market prices prevailing at the time of sale, at prices related to such market prices, at a fixed price or prices subject to change, or at negotiated prices.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Selling Stockholders may, subject to our Insider Trading Policy (in the case of Selling Stockholders that are Veracyte employees), enter into option, derivative or hedging transactions with respect to the shares of common stock, and any related offers or sales of shares may be made pursuant to this prospectus supplement. For example, the Selling Stockholders may:</w:t>
      </w:r>
    </w:p>
    <w:p>
      <w:pPr>
        <w:spacing w:after="0" w:line="81" w:lineRule="exact"/>
        <w:rPr>
          <w:sz w:val="20"/>
          <w:szCs w:val="20"/>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by broker-dealers in the course of hedging the positions they assume with the Selling Stockholders;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short itself and deliver the shares registered hereby to settle such short sales or to close out stock loans incurred in connection with its short positions;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call options, put options or other derivative instruments (including exchange-traded options or privately negotiated options) with respect to the shares, or which they settle through delivery of the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transactions or other types of transactions that require the Selling Stockholders to deliver shares to a broker, dealer or other financial institution, who may then resell or transfer the shares under this prospectus supplement;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the shares to a broker, dealer or other financial institution, which may sell the lent shares.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option, derivative and hedging transactions may require the delivery to a broker, dealer or other financial institution of shares offered hereby, and such broker, dealer or other financial institution may resell such shares pursuant to this prospectus supplement.</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under the Securities Act, if available, rather than under this prospectus supplement. The Selling Stockholders are not obligated to, and there is no assurance that the Selling Stockholders will, sell all or any of the shares we are registering. The Selling Stockholders may transfer, devise or gift such shares by other means not described in this prospectus supplement.</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its agents from time to time, to reject, in whole or in part, any proposed purchase of common stock to be made directly or through agents. We will not receive any of the proceeds from this offering. We are required to pay certain fees and expenses incurred by us incident to the registration of the shares.</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Any profits on the resale of shares by a broker-dealer acting as principal might be deemed to be underwriting discounts or commissions under the Securities Act. Discounts, concessions, commissions and similar selling expenses, if any, attributable to the sale of shares will be borne by the Selling Stockholders. The Selling Stockholders may agree to indemnify any agent, dealer or broker-dealer that participates in transactions involving sales of the shares if liabilities are imposed on that person under the Securities Act.</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Selling Stockholders,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If any Selling Stockholder is an “underwriter” within the meaning of Section 2(11) of the Securities Act, it will be subject to the prospectus delivery requirements of the Securities Act. There is no underwriter or coordinating broker acting in connection with the proposed sale of the resale shares by the Selling Stockholders and the Selling Stockholders may not participate in an underwritten offering without our prior written consent.</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Selling Stockholders, subject to our Insider Trading Policy (in the case of Selling Stockholders that are Veracyte employees), may from time to time pledge or grant a security interest in some or all of the shares owned by them and, if any Selling Stockholder defaults in the performance of any of its secured obligations, the pledgees or secured parties may offer and sell the shares from time to time under this prospectus supplement, or under an amendment to this prospectus supplement or other applicable provision of the Securities Act amending the list of selling stockholders to include the pledgee, transferee or other successors-in-interest as selling stockholders under this prospectus supplement. The Selling Stockholders also may transfer the shares of common stock in other circumstances, in which case the transferees, pledgees or other successors-in-interest will be the selling beneficial owners for purposes of this prospectus supplement.</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To the extent required, the shares to be sold, the names of the selling stockholders, the respective purchase prices and public offering prices, the names of any agents, dealer, or underwriter and any applicable commissions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discounts with respect to a particular offer will be set forth in an accompanying prospectus supplement or, if appropriate, a post-effective amendment to the registration statement that includes this prospectus supplement.</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may apply to sales of shares in the market and to the activities of the Selling Stockholders and their respective affiliates. In addition, we will make copies of this prospectus supplement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 supplement.</w:t>
      </w:r>
    </w:p>
    <w:p>
      <w:pPr>
        <w:spacing w:after="0" w:line="162"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We may restrict or suspend offers and sales or other dispositions of the shares under this prospectus supplement under certain circumstances. In the event of such restriction or suspension, the Selling Stockholders will not be able to offer or sell or otherwise dispose of the shares of common stock under this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associated with this offering to be paid by us are estimated to be approximately $40,000, including SEC filing fees.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Fenwick &amp; West LLP, San Francisco, California will issue an opinion about certain legal matters with respect to the securities.</w:t>
      </w: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offered hereby. This prospectus supplement, which constitutes a part of the registration statement, does not contain all of the information set forth in the registration statement, the exhibits filed therewith or the documents incorporated by reference therein. For further information about us and the shares of common stock offered hereby, reference is made to the registration statement, the exhibits filed therewith and the documents incorporated by reference therein. Statements contained in this prospectus supplement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such each such report is electronically filed with, or furnished to, the SEC.</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on our website at www.veracyte.com. However, the information on our website is not a part of this prospectus supplement and is not incorporated by reference into this prospectus supplement. We have included our website address in this prospectus supplement solely as an inactive textual reference.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9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28">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filed with the SEC on February 29,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9">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February 13, 2024</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that any portions thereof which are furnished and not filed shall not be deemed incorporated);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9" w:lineRule="auto"/>
        <w:tabs>
          <w:tab w:leader="none" w:pos="1080" w:val="left"/>
        </w:tabs>
        <w:numPr>
          <w:ilvl w:val="0"/>
          <w:numId w:val="6"/>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our common stock contained in our registration statement on </w:t>
      </w:r>
      <w:hyperlink r:id="rId32">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with the SEC on October 28, 2013 under Section 12 of the Exchange Act, including any amendment or report filed for the purposes of updating such description, including </w:t>
      </w:r>
      <w:hyperlink r:id="rId33">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Annual Report on Form 10-K for the year ended</w:t>
      </w:r>
      <w:r>
        <w:rPr>
          <w:rFonts w:ascii="Times New Roman" w:cs="Times New Roman" w:eastAsia="Times New Roman" w:hAnsi="Times New Roman"/>
          <w:sz w:val="17"/>
          <w:szCs w:val="17"/>
          <w:color w:val="0000EE"/>
        </w:rPr>
        <w:t xml:space="preserve"> </w:t>
      </w:r>
      <w:hyperlink r:id="rId28">
        <w:r>
          <w:rPr>
            <w:rFonts w:ascii="Times New Roman" w:cs="Times New Roman" w:eastAsia="Times New Roman" w:hAnsi="Times New Roman"/>
            <w:sz w:val="17"/>
            <w:szCs w:val="17"/>
            <w:u w:val="single" w:color="auto"/>
            <w:color w:val="0000EE"/>
          </w:rPr>
          <w:t>December 31,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filed with the SEC on February 29, 2024.</w:t>
      </w:r>
    </w:p>
    <w:p>
      <w:pPr>
        <w:spacing w:after="0" w:line="158" w:lineRule="exact"/>
        <w:rPr>
          <w:rFonts w:ascii="Times New Roman" w:cs="Times New Roman" w:eastAsia="Times New Roman" w:hAnsi="Times New Roman"/>
          <w:sz w:val="17"/>
          <w:szCs w:val="17"/>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83" w:lineRule="exact"/>
        <w:rPr>
          <w:rFonts w:ascii="Times New Roman" w:cs="Times New Roman" w:eastAsia="Times New Roman" w:hAnsi="Times New Roman"/>
          <w:sz w:val="17"/>
          <w:szCs w:val="17"/>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 See the section of this prospectus supplement entitled “Where You Can Find More Information” for information concerning how to obtain copies of materials that we file with the SEC.</w:t>
      </w:r>
    </w:p>
    <w:p>
      <w:pPr>
        <w:spacing w:after="0" w:line="116"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173990</wp:posOffset>
            </wp:positionV>
            <wp:extent cx="1765935" cy="126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76593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 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13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14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81"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xml:space="preserve"> ”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15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23.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3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29, 2024</w:t>
      </w:r>
    </w:p>
    <w:p>
      <w:pPr>
        <w:sectPr>
          <w:pgSz w:w="11900" w:h="16838" w:orient="portrait"/>
          <w:cols w:equalWidth="0" w:num="1">
            <w:col w:w="11120"/>
          </w:cols>
          <w:pgMar w:left="320" w:top="455"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5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TO BE REGISTERED</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2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4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9"/>
          </w:tcPr>
          <w:p>
            <w:pPr>
              <w:spacing w:after="0"/>
              <w:rPr>
                <w:sz w:val="17"/>
                <w:szCs w:val="17"/>
                <w:color w:val="auto"/>
              </w:rPr>
            </w:pPr>
          </w:p>
        </w:tc>
        <w:tc>
          <w:tcPr>
            <w:tcW w:w="51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800" w:type="dxa"/>
            <w:vAlign w:val="bottom"/>
            <w:gridSpan w:val="1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BY REFERENCE</w:t>
            </w:r>
          </w:p>
        </w:tc>
        <w:tc>
          <w:tcPr>
            <w:tcW w:w="42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47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0"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color w:val="auto"/>
        </w:rPr>
        <w:t>Neither we, nor the selling securityholders or any agent, underwriter or dealer have authorized anyone to give you any information or to make any representation other than the information and representations contained in or incorporated by reference into this prospectus or any applicable prospectus supplement.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71"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and the accompanying prospectus supplement to “Veracyte,” the “company,” “we,” “us” and “our” refer to Veracyte, Inc.</w:t>
      </w:r>
    </w:p>
    <w:p>
      <w:pPr>
        <w:spacing w:after="0" w:line="162"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36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180"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bladder cancer (Decipher Bladder); and interstitial lung diseases (Envisia). Our Percepta Nasal Swab test is being run in our Clinical Laboratory Improvement Amendments of 1988, or CLIA, certified lab in support of clinical studies and our test for lymphoma is in development as a companion diagnostic.</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Decipher Prostate and Percepta Nasal Swab tests as in vitro diagnostic, or IVD, tests. We believe our broad menu of advanced diagnostic tests, combined with our ability to deliver them globally, differentiates us in the diagnostics industry.</w:t>
      </w:r>
    </w:p>
    <w:p>
      <w:pPr>
        <w:spacing w:after="0" w:line="187"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In February 2024, we acquired C2i Genomics, Inc., a minimal residual disease detection company, which will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 Item 1A, “Risk Factors,” in our Annual Report on Form 10-K for the fiscal year ended December 31, 2023, which is incorporated herein by reference, and may be amended, supplemented or superseded from time to time by other reports we file with the SEC in the future and which are incorporated herein by reference. See “Where You Can Find More Information” and “Incorporation of Information by Reference.”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and any prospectus supplement, including the documents incorporated by reference herein and therein, contain forward-looking statements, which are subject to safe harbor protection under of the Private Securities Litigation Reform Act of 1995. All statements contained in or incorporated by reference in this prospectus and any prospectus supplement other than statements of historical fact, including statements regarding our future financial condition and operating results, business strategy and plans, and objectives for future operations, are forward-looking statements. The words “believe,” “may,” “will,” “estimate,” “continue,” “anticipate,” “intend,” “expect,” “seek,” “plan,” and similar expressions are intended to identify forward-looking statements. We have based these forward-looking statements largely on our current expectations, beliefs, and projections about future events, conditions, and trends that we believe may affect our financial condition, operating results, business strategy, short-term and long-term business operations and objectives, and financial needs. These forward-looking statements are subject to a number of risks, uncertainties, assumptions, and changes in circumstances that are difficult to predict and many of which are outside of our control, including those arising from the impact of recent macroeconomic events and inflation, as well as those described in the “Risk Factors” section incorporated by reference herein, which we encourage you to read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light of these risks, uncertainties, assumptions, and potential changes in circumstances, the future events, conditions, and trends discussed in this prospectus and any prospectus supplement may not occur and actual results could differ materially and adversely from those anticipated or implied by the forward-looking statements. Accordingly, you should not rely upon any forward-looking statements. Although we believe that the expectations reflected in the forward-looking statements are reasonable, we cannot guarantee future results, levels of activities, performance, or achievements. We are under no duty to update any of these forward-looking statements after the date of this report or to conform these statements to actual results or revised expectations, except as required by applicable law. If we do update any forward-looking statements, no inference should be drawn that we will make additional updates with respect to those or other forward-looking statements. You are advised to review any additional disclosures we make in the documents we subsequently file with the SEC that are incorporated by reference in this prospectus and any prospectus supplement. See “Where You Can Find Additional Information” and “Incorporation of Information by Reference.”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We cannot predict whether the net proceeds invested will yield a favorable return. Our management will have broad discretion in the application of the net proceeds we receive from the sale of the securities offered hereby, and investors will be relying on the judgment of our management regarding the application of the net proceeds.</w:t>
      </w:r>
    </w:p>
    <w:p>
      <w:pPr>
        <w:spacing w:after="0" w:line="19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not receive any of the proceeds from any sale of our common stock by selling securityholders.</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320" w:top="455" w:right="7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common stock, par value $0.001 per share. The following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have 125,000,000 shares of authorized common stock. As of December 31, 2023, there were 73,264,738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restated certificate of incorporation and amended and restated bylaws include provisions that:</w:t>
      </w:r>
    </w:p>
    <w:p>
      <w:pPr>
        <w:spacing w:after="0" w:line="133" w:lineRule="exact"/>
        <w:rPr>
          <w:sz w:val="20"/>
          <w:szCs w:val="20"/>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 shares of undesignated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Class I, Class II and Class III, with each class serving staggered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the provisions of Section 203 of the General Corporation Law of the State of Delaware regulating corporate takeovers.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of the corporation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Broadridge Corporate Issuer Solutions, Inc.</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5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preferred stock, par value $0.001 per share. The following is only a summary and is qualified in its entirety by reference to the description of our preferred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w:t>
      </w:r>
    </w:p>
    <w:p>
      <w:pPr>
        <w:spacing w:after="0" w:line="18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2023,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each series and the number of shares that will constitute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the series and the terms and conditions of the voting rights;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and the terms and conditions on which, the shares of the series may be redeemed, if the shares are redeemable;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sinking or purchase fund for the purchase or redemption of shares of the series, if such a fund is provided;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preferential amount payable upon shares of the series in the event of the liquidation, dissolution or winding up of, or upon the distribution of any of our assets;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6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is payable;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on the debt securities of that series will accrue, and the dates when interest is payable and the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our other debt;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those debt securities will be issuable, if other than denominations of $1,000 or any integral multiple of that number;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that series are to be issued in whole or in part in the form of one or more global securities and the depositary for those global securities;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225"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incurrence by us of indebtedness. We will describe in the applicable prospectus supplement any material covenants in respect of a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the ability of any holder to convert or exchange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73" w:lineRule="exact"/>
        <w:rPr>
          <w:sz w:val="20"/>
          <w:szCs w:val="20"/>
          <w:color w:val="auto"/>
        </w:rPr>
      </w:pPr>
    </w:p>
    <w:p>
      <w:pPr>
        <w:jc w:val="both"/>
        <w:ind w:left="120" w:right="680"/>
        <w:spacing w:after="0" w:line="312" w:lineRule="auto"/>
        <w:rPr>
          <w:sz w:val="20"/>
          <w:szCs w:val="20"/>
          <w:color w:val="auto"/>
        </w:rPr>
      </w:pPr>
      <w:r>
        <w:rPr>
          <w:rFonts w:ascii="Times New Roman" w:cs="Times New Roman" w:eastAsia="Times New Roman" w:hAnsi="Times New Roman"/>
          <w:sz w:val="17"/>
          <w:szCs w:val="17"/>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will be “events of default” under the indenture with respect to any series of debt securities: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 and continuance of such default for a period of 30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62"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for the reasonable expenses and liabilities that may be incurred by bringing the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due, whether at maturity, upon redemption or otherwise, the principal of, and any premium and interest on, the debt securities and any mandatory sinking fund payments.</w:t>
      </w:r>
    </w:p>
    <w:p>
      <w:pPr>
        <w:spacing w:after="0" w:line="16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70" w:lineRule="exact"/>
        <w:rPr>
          <w:sz w:val="20"/>
          <w:szCs w:val="20"/>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76"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 among other things:</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entity of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debt securities, or to surrender any rights or power conferred upon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or secure any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70"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and any premium or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premium and any interest on, or principal of, any such debt security held by a nonconsenting holder; or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67" w:lineRule="exact"/>
        <w:rPr>
          <w:sz w:val="20"/>
          <w:szCs w:val="20"/>
          <w:color w:val="auto"/>
        </w:rPr>
      </w:pPr>
    </w:p>
    <w:p>
      <w:pPr>
        <w:ind w:left="5540" w:right="5280" w:hanging="4884"/>
        <w:spacing w:after="0" w:line="367" w:lineRule="auto"/>
        <w:tabs>
          <w:tab w:leader="none" w:pos="10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depositary for the registered global security to its nominee; 16</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1" w:lineRule="exact"/>
        <w:rPr>
          <w:sz w:val="20"/>
          <w:szCs w:val="20"/>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130"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6"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8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8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particular issue of warrants will describe the terms of the warrants, including, as applicable, the following:</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number of shares of common stock, preferred stock or debt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if any, with which the warrants are issued and the number of the warrants issued with each offered security;</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common stock, preferred stock 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common stock, preferred stock or debt securities purchasable upon exercise of the warrants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that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4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subscription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subscription rights will be separately transferable;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subscription right to exercise the subscription rights will commence and the date on which the subscription right will expire;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distribution, exchange and exercise of the subscription rights.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or the selling securityholders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0"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We or selling securityholders will provide in the applicable prospectus supplement information regarding any underwriting discounts or other compensation that we or selling securityholders pay to underwriters or agents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Fenwick &amp; West LLP, San Francisco, California will issue an opinion about certain legal matters with respect to the securities. Counsel representing any underwriters, dealers or agents will be named in the applicable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such each such report is electronically filed with, or furnished to, the SEC.</w:t>
      </w:r>
    </w:p>
    <w:p>
      <w:pPr>
        <w:spacing w:after="0" w:line="183"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Information about us is also available on our website at www.veracyte.com. However, the information on our website is not a part of this prospectus and is not incorporated by reference into this prospectus. We have included our website address in this prospectus solely as an inactive textual reference.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3"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28">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filed with the SEC on February 29, 2024;</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9">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and </w:t>
      </w:r>
      <w:hyperlink r:id="rId30">
        <w:r>
          <w:rPr>
            <w:rFonts w:ascii="Times New Roman" w:cs="Times New Roman" w:eastAsia="Times New Roman" w:hAnsi="Times New Roman"/>
            <w:sz w:val="18"/>
            <w:szCs w:val="18"/>
            <w:u w:val="single" w:color="auto"/>
            <w:color w:val="0000EE"/>
          </w:rPr>
          <w:t>February 13, 2024</w:t>
        </w:r>
      </w:hyperlink>
      <w:r>
        <w:rPr>
          <w:rFonts w:ascii="Times New Roman" w:cs="Times New Roman" w:eastAsia="Times New Roman" w:hAnsi="Times New Roman"/>
          <w:sz w:val="18"/>
          <w:szCs w:val="18"/>
          <w:color w:val="auto"/>
        </w:rPr>
        <w:t>, (except that any portions thereof which are furnished and not filed shall not be deemed incorporated);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28, 2013 under </w:t>
      </w:r>
      <w:hyperlink r:id="rId33">
        <w:r>
          <w:rPr>
            <w:rFonts w:ascii="Times New Roman" w:cs="Times New Roman" w:eastAsia="Times New Roman" w:hAnsi="Times New Roman"/>
            <w:sz w:val="18"/>
            <w:szCs w:val="18"/>
            <w:color w:val="auto"/>
          </w:rPr>
          <w:t xml:space="preserve">Section 12 of the Exchange Act, including any amendment or report filed for the purposes of updating such description, including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10-K for the year ended</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December 31, 2023</w:t>
        </w:r>
      </w:hyperlink>
      <w:hyperlink r:id="rId33">
        <w:r>
          <w:rPr>
            <w:rFonts w:ascii="Times New Roman" w:cs="Times New Roman" w:eastAsia="Times New Roman" w:hAnsi="Times New Roman"/>
            <w:sz w:val="18"/>
            <w:szCs w:val="18"/>
            <w:color w:val="000000"/>
          </w:rPr>
          <w:t>, filed with the SEC on February 29, 2024.</w:t>
        </w:r>
      </w:hyperlink>
    </w:p>
    <w:p>
      <w:pPr>
        <w:spacing w:after="0" w:line="176" w:lineRule="exact"/>
        <w:rPr>
          <w:rFonts w:ascii="Times New Roman" w:cs="Times New Roman" w:eastAsia="Times New Roman" w:hAnsi="Times New Roman"/>
          <w:sz w:val="18"/>
          <w:szCs w:val="18"/>
          <w:color w:val="0000EE"/>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76" w:lineRule="exact"/>
        <w:rPr>
          <w:rFonts w:ascii="Times New Roman" w:cs="Times New Roman" w:eastAsia="Times New Roman" w:hAnsi="Times New Roman"/>
          <w:sz w:val="18"/>
          <w:szCs w:val="18"/>
          <w:color w:val="0000EE"/>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 See the section of this prospectus entitled “Where You Can Find More Information” for information concerning how to obtain copies of materials that we file with the SEC.</w:t>
      </w:r>
    </w:p>
    <w:p>
      <w:pPr>
        <w:spacing w:after="0" w:line="11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9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Maximum</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Proposed</w:t>
            </w:r>
          </w:p>
        </w:tc>
        <w:tc>
          <w:tcPr>
            <w:tcW w:w="138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8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Share</w:t>
            </w:r>
            <w:r>
              <w:rPr>
                <w:rFonts w:ascii="Times New Roman" w:cs="Times New Roman" w:eastAsia="Times New Roman" w:hAnsi="Times New Roman"/>
                <w:sz w:val="18"/>
                <w:szCs w:val="18"/>
                <w:color w:val="auto"/>
                <w:w w:val="91"/>
                <w:vertAlign w:val="superscript"/>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ind w:left="460"/>
              <w:spacing w:after="0" w:line="205" w:lineRule="exact"/>
              <w:rPr>
                <w:sz w:val="20"/>
                <w:szCs w:val="20"/>
                <w:color w:val="auto"/>
              </w:rPr>
            </w:pPr>
            <w:r>
              <w:rPr>
                <w:rFonts w:ascii="Times New Roman" w:cs="Times New Roman" w:eastAsia="Times New Roman" w:hAnsi="Times New Roman"/>
                <w:sz w:val="18"/>
                <w:szCs w:val="18"/>
                <w:color w:val="auto"/>
              </w:rPr>
              <w:t>Fees to be Paid</w:t>
            </w: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Common</w:t>
            </w:r>
          </w:p>
        </w:tc>
        <w:tc>
          <w:tcPr>
            <w:tcW w:w="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$0.001</w:t>
            </w: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1,016,965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$21,676,608.98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$3,199.47</w:t>
            </w: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8"/>
                <w:szCs w:val="18"/>
                <w:color w:val="auto"/>
                <w:w w:val="99"/>
              </w:rPr>
              <w:t>Total Offering Amount</w:t>
            </w:r>
          </w:p>
        </w:tc>
        <w:tc>
          <w:tcPr>
            <w:tcW w:w="8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$21,676,608.98</w:t>
            </w: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4"/>
          </w:tcPr>
          <w:p>
            <w:pPr>
              <w:jc w:val="center"/>
              <w:ind w:right="548"/>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Net Fee Due</w:t>
            </w:r>
          </w:p>
        </w:tc>
        <w:tc>
          <w:tcPr>
            <w:tcW w:w="8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$3,199.47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57"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offered by the selling stockholder identified in this prospectus supplement. Includes an indeterminable number of additional shares of common stock that, pursuant to Rule 416 under the Securities Act of 1933, as amended, or the Securities Act, may be issued to prevent dilution from stock splits, stock dividends or similar transactions that could affect the shares to be offered by the selling stockholder.</w:t>
      </w:r>
    </w:p>
    <w:p>
      <w:pPr>
        <w:spacing w:after="0" w:line="1"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under the Securities Act, based upon the average of the high and low prices of the registrant’s common stock as reported on the Nasdaq Global Market on March 18, 2024, which was $21.32.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28" Type="http://schemas.openxmlformats.org/officeDocument/2006/relationships/hyperlink" Target="http://www.sec.gov/ix?doc=/Archives/edgar/data/1384101/000138410124000017/vcyt-20231231.htm" TargetMode="External"/><Relationship Id="rId29" Type="http://schemas.openxmlformats.org/officeDocument/2006/relationships/hyperlink" Target="http://www.sec.gov/ix?doc=/Archives/edgar/data/0001384101/000138410124000004/vcyt-20240205.htm" TargetMode="External"/><Relationship Id="rId30" Type="http://schemas.openxmlformats.org/officeDocument/2006/relationships/hyperlink" Target="http://www.sec.gov/ix?doc=/Archives/edgar/data/0001384101/000138410124000007/vcyt-20240207.htm" TargetMode="External"/><Relationship Id="rId31" Type="http://schemas.openxmlformats.org/officeDocument/2006/relationships/hyperlink" Target="http://www.sec.gov/ix?doc=/Archives/edgar/data/0001384101/000119312524053689/d799495d8k.htm" TargetMode="External"/><Relationship Id="rId32" Type="http://schemas.openxmlformats.org/officeDocument/2006/relationships/hyperlink" Target="http://www.sec.gov/Archives/edgar/data/1384101/000110465913078343/a13-16266_158a12b.htm" TargetMode="External"/><Relationship Id="rId33" Type="http://schemas.openxmlformats.org/officeDocument/2006/relationships/hyperlink" Target="http://www.sec.gov/Archives/edgar/data/1384101/000138410124000017/vcyt-12312023x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2024-03-22T15:58:35Z</dcterms:created>
  <dcterms:modified xsi:type="dcterms:W3CDTF">2024-03-22T15:58:35Z</dcterms:modified>
</cp:coreProperties>
</file>