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34" w:lineRule="auto"/>
        <w:rPr>
          <w:rFonts w:ascii="Arial" w:cs="Arial" w:eastAsia="Arial" w:hAnsi="Arial"/>
          <w:sz w:val="21"/>
          <w:szCs w:val="21"/>
          <w:u w:val="single" w:color="auto"/>
          <w:color w:val="0000EE"/>
        </w:rPr>
      </w:pPr>
      <w:hyperlink w:anchor="page141">
        <w:r>
          <w:rPr>
            <w:rFonts w:ascii="Arial" w:cs="Arial" w:eastAsia="Arial" w:hAnsi="Arial"/>
            <w:sz w:val="21"/>
            <w:szCs w:val="21"/>
            <w:u w:val="single" w:color="auto"/>
            <w:color w:val="0000EE"/>
          </w:rPr>
          <w:t>VERACYTE, INC. Index to Audited Financial Statements Years Ended December 31, 2011 and 2012</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69">
        <w:r>
          <w:rPr>
            <w:rFonts w:ascii="Arial" w:cs="Arial" w:eastAsia="Arial" w:hAnsi="Arial"/>
            <w:sz w:val="21"/>
            <w:szCs w:val="21"/>
            <w:u w:val="single" w:color="auto"/>
            <w:color w:val="0000EE"/>
          </w:rPr>
          <w:t>VERACYTE, INC. Index to Unaudited Interim Condensed Financial Statements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October 25, 2013.</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333-191282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128905</wp:posOffset>
            </wp:positionV>
            <wp:extent cx="1539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jc w:val="center"/>
        <w:spacing w:after="0" w:line="233" w:lineRule="auto"/>
        <w:rPr>
          <w:sz w:val="20"/>
          <w:szCs w:val="20"/>
          <w:color w:val="auto"/>
        </w:rPr>
      </w:pPr>
      <w:r>
        <w:rPr>
          <w:rFonts w:ascii="Arial" w:cs="Arial" w:eastAsia="Arial" w:hAnsi="Arial"/>
          <w:sz w:val="13"/>
          <w:szCs w:val="13"/>
          <w:b w:val="1"/>
          <w:bCs w:val="1"/>
          <w:color w:val="auto"/>
        </w:rPr>
        <w:t>REGISTRATION STATEMENT</w:t>
      </w:r>
    </w:p>
    <w:p>
      <w:pPr>
        <w:jc w:val="center"/>
        <w:spacing w:after="0" w:line="231"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128905</wp:posOffset>
            </wp:positionV>
            <wp:extent cx="1539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VERACYTE,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128905</wp:posOffset>
            </wp:positionV>
            <wp:extent cx="1539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3180" w:type="dxa"/>
        <w:tblCellMar>
          <w:top w:w="0" w:type="dxa"/>
          <w:left w:w="0" w:type="dxa"/>
          <w:bottom w:w="0" w:type="dxa"/>
          <w:right w:w="0" w:type="dxa"/>
        </w:tblCellMar>
      </w:tblPr>
      <w:tr>
        <w:trPr>
          <w:trHeight w:val="149"/>
        </w:trPr>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Delaware</w:t>
            </w:r>
          </w:p>
        </w:tc>
        <w:tc>
          <w:tcPr>
            <w:tcW w:w="2100" w:type="dxa"/>
            <w:vAlign w:val="bottom"/>
          </w:tcPr>
          <w:p>
            <w:pPr>
              <w:jc w:val="center"/>
              <w:ind w:right="254"/>
              <w:spacing w:after="0"/>
              <w:rPr>
                <w:sz w:val="20"/>
                <w:szCs w:val="20"/>
                <w:color w:val="auto"/>
              </w:rPr>
            </w:pPr>
            <w:r>
              <w:rPr>
                <w:rFonts w:ascii="Arial" w:cs="Arial" w:eastAsia="Arial" w:hAnsi="Arial"/>
                <w:sz w:val="13"/>
                <w:szCs w:val="13"/>
                <w:b w:val="1"/>
                <w:bCs w:val="1"/>
                <w:color w:val="auto"/>
                <w:w w:val="89"/>
              </w:rPr>
              <w:t>8071</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20-5455398</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3"/>
              </w:rPr>
              <w:t>(State or other jurisdiction of</w:t>
            </w:r>
          </w:p>
        </w:tc>
        <w:tc>
          <w:tcPr>
            <w:tcW w:w="2100" w:type="dxa"/>
            <w:vAlign w:val="bottom"/>
          </w:tcPr>
          <w:p>
            <w:pPr>
              <w:jc w:val="center"/>
              <w:ind w:right="254"/>
              <w:spacing w:after="0" w:line="144" w:lineRule="exact"/>
              <w:rPr>
                <w:sz w:val="20"/>
                <w:szCs w:val="20"/>
                <w:color w:val="auto"/>
              </w:rPr>
            </w:pPr>
            <w:r>
              <w:rPr>
                <w:rFonts w:ascii="Arial" w:cs="Arial" w:eastAsia="Arial" w:hAnsi="Arial"/>
                <w:sz w:val="13"/>
                <w:szCs w:val="13"/>
                <w:color w:val="auto"/>
                <w:w w:val="92"/>
              </w:rPr>
              <w:t>(Primary Standard Industrial</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color w:val="auto"/>
                <w:w w:val="94"/>
              </w:rPr>
              <w:t>(I.R.S. Employer</w:t>
            </w:r>
          </w:p>
        </w:tc>
      </w:tr>
      <w:tr>
        <w:trPr>
          <w:trHeight w:val="144"/>
        </w:trPr>
        <w:tc>
          <w:tcPr>
            <w:tcW w:w="164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2"/>
              </w:rPr>
              <w:t>incorporation or</w:t>
            </w:r>
          </w:p>
        </w:tc>
        <w:tc>
          <w:tcPr>
            <w:tcW w:w="2100" w:type="dxa"/>
            <w:vAlign w:val="bottom"/>
          </w:tcPr>
          <w:p>
            <w:pPr>
              <w:jc w:val="center"/>
              <w:ind w:right="254"/>
              <w:spacing w:after="0" w:line="144" w:lineRule="exact"/>
              <w:rPr>
                <w:sz w:val="20"/>
                <w:szCs w:val="20"/>
                <w:color w:val="auto"/>
              </w:rPr>
            </w:pPr>
            <w:r>
              <w:rPr>
                <w:rFonts w:ascii="Arial" w:cs="Arial" w:eastAsia="Arial" w:hAnsi="Arial"/>
                <w:sz w:val="13"/>
                <w:szCs w:val="13"/>
                <w:color w:val="auto"/>
                <w:w w:val="93"/>
              </w:rPr>
              <w:t>Classification Code Number)</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color w:val="auto"/>
                <w:w w:val="96"/>
              </w:rPr>
              <w:t>Identification No.)</w:t>
            </w:r>
          </w:p>
        </w:tc>
      </w:tr>
      <w:tr>
        <w:trPr>
          <w:trHeight w:val="165"/>
        </w:trPr>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organization)</w:t>
            </w:r>
          </w:p>
        </w:tc>
        <w:tc>
          <w:tcPr>
            <w:tcW w:w="2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8"/>
        </w:trPr>
        <w:tc>
          <w:tcPr>
            <w:tcW w:w="1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7000 Shoreline Court, Suite 250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128905</wp:posOffset>
            </wp:positionV>
            <wp:extent cx="1539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Bonnie H. Anderson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jc w:val="center"/>
        <w:spacing w:after="0" w:line="231" w:lineRule="auto"/>
        <w:rPr>
          <w:sz w:val="20"/>
          <w:szCs w:val="20"/>
          <w:color w:val="auto"/>
        </w:rPr>
      </w:pPr>
      <w:r>
        <w:rPr>
          <w:rFonts w:ascii="Arial" w:cs="Arial" w:eastAsia="Arial" w:hAnsi="Arial"/>
          <w:sz w:val="13"/>
          <w:szCs w:val="13"/>
          <w:b w:val="1"/>
          <w:bCs w:val="1"/>
          <w:color w:val="auto"/>
        </w:rPr>
        <w:t>7000 Shoreline Court, Suite 250</w:t>
      </w:r>
    </w:p>
    <w:p>
      <w:pPr>
        <w:jc w:val="center"/>
        <w:spacing w:after="0" w:line="232" w:lineRule="auto"/>
        <w:rPr>
          <w:sz w:val="20"/>
          <w:szCs w:val="20"/>
          <w:color w:val="auto"/>
        </w:rPr>
      </w:pPr>
      <w:r>
        <w:rPr>
          <w:rFonts w:ascii="Arial" w:cs="Arial" w:eastAsia="Arial" w:hAnsi="Arial"/>
          <w:sz w:val="13"/>
          <w:szCs w:val="13"/>
          <w:b w:val="1"/>
          <w:bCs w:val="1"/>
          <w:color w:val="auto"/>
        </w:rPr>
        <w:t>South San Francisco, California 94080</w:t>
      </w:r>
    </w:p>
    <w:p>
      <w:pPr>
        <w:jc w:val="center"/>
        <w:spacing w:after="0" w:line="231" w:lineRule="auto"/>
        <w:rPr>
          <w:sz w:val="20"/>
          <w:szCs w:val="20"/>
          <w:color w:val="auto"/>
        </w:rPr>
      </w:pPr>
      <w:r>
        <w:rPr>
          <w:rFonts w:ascii="Arial" w:cs="Arial" w:eastAsia="Arial" w:hAnsi="Arial"/>
          <w:sz w:val="13"/>
          <w:szCs w:val="13"/>
          <w:b w:val="1"/>
          <w:bCs w:val="1"/>
          <w:color w:val="auto"/>
        </w:rPr>
        <w:t>(650) 243-6300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128905</wp:posOffset>
            </wp:positionV>
            <wp:extent cx="1539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2180" w:type="dxa"/>
        <w:tblCellMar>
          <w:top w:w="0" w:type="dxa"/>
          <w:left w:w="0" w:type="dxa"/>
          <w:bottom w:w="0" w:type="dxa"/>
          <w:right w:w="0" w:type="dxa"/>
        </w:tblCellMar>
      </w:tblPr>
      <w:tr>
        <w:trPr>
          <w:trHeight w:val="165"/>
        </w:trPr>
        <w:tc>
          <w:tcPr>
            <w:tcW w:w="23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3"/>
                <w:szCs w:val="13"/>
                <w:i w:val="1"/>
                <w:iCs w:val="1"/>
                <w:color w:val="auto"/>
                <w:w w:val="92"/>
              </w:rPr>
              <w:t>Copies to:</w:t>
            </w:r>
          </w:p>
        </w:tc>
        <w:tc>
          <w:tcPr>
            <w:tcW w:w="2180" w:type="dxa"/>
            <w:vAlign w:val="bottom"/>
          </w:tcPr>
          <w:p>
            <w:pPr>
              <w:spacing w:after="0"/>
              <w:rPr>
                <w:sz w:val="14"/>
                <w:szCs w:val="14"/>
                <w:color w:val="auto"/>
              </w:rPr>
            </w:pPr>
          </w:p>
        </w:tc>
      </w:tr>
      <w:tr>
        <w:trPr>
          <w:trHeight w:val="356"/>
        </w:trPr>
        <w:tc>
          <w:tcPr>
            <w:tcW w:w="2320" w:type="dxa"/>
            <w:vAlign w:val="bottom"/>
          </w:tcPr>
          <w:p>
            <w:pPr>
              <w:jc w:val="center"/>
              <w:ind w:right="94"/>
              <w:spacing w:after="0"/>
              <w:rPr>
                <w:sz w:val="20"/>
                <w:szCs w:val="20"/>
                <w:color w:val="auto"/>
              </w:rPr>
            </w:pPr>
            <w:r>
              <w:rPr>
                <w:rFonts w:ascii="Arial" w:cs="Arial" w:eastAsia="Arial" w:hAnsi="Arial"/>
                <w:sz w:val="13"/>
                <w:szCs w:val="13"/>
                <w:b w:val="1"/>
                <w:bCs w:val="1"/>
                <w:color w:val="auto"/>
                <w:w w:val="91"/>
              </w:rPr>
              <w:t>Stanton D. Wong</w:t>
            </w: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3"/>
              </w:rPr>
              <w:t>Shelly D. Guyer</w:t>
            </w:r>
          </w:p>
        </w:tc>
        <w:tc>
          <w:tcPr>
            <w:tcW w:w="2180" w:type="dxa"/>
            <w:vAlign w:val="bottom"/>
          </w:tcPr>
          <w:p>
            <w:pPr>
              <w:jc w:val="center"/>
              <w:ind w:left="254"/>
              <w:spacing w:after="0"/>
              <w:rPr>
                <w:sz w:val="20"/>
                <w:szCs w:val="20"/>
                <w:color w:val="auto"/>
              </w:rPr>
            </w:pPr>
            <w:r>
              <w:rPr>
                <w:rFonts w:ascii="Arial" w:cs="Arial" w:eastAsia="Arial" w:hAnsi="Arial"/>
                <w:sz w:val="13"/>
                <w:szCs w:val="13"/>
                <w:b w:val="1"/>
                <w:bCs w:val="1"/>
                <w:color w:val="auto"/>
                <w:w w:val="96"/>
              </w:rPr>
              <w:t>William H. Hinman</w:t>
            </w:r>
          </w:p>
        </w:tc>
      </w:tr>
      <w:tr>
        <w:trPr>
          <w:trHeight w:val="144"/>
        </w:trPr>
        <w:tc>
          <w:tcPr>
            <w:tcW w:w="232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4"/>
              </w:rPr>
              <w:t>Gabriella A. Lombardi</w:t>
            </w:r>
          </w:p>
        </w:tc>
        <w:tc>
          <w:tcPr>
            <w:tcW w:w="2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Chief Financial Officer</w:t>
            </w:r>
          </w:p>
        </w:tc>
        <w:tc>
          <w:tcPr>
            <w:tcW w:w="2180" w:type="dxa"/>
            <w:vAlign w:val="bottom"/>
          </w:tcPr>
          <w:p>
            <w:pPr>
              <w:jc w:val="center"/>
              <w:ind w:left="234"/>
              <w:spacing w:after="0" w:line="144" w:lineRule="exact"/>
              <w:rPr>
                <w:sz w:val="20"/>
                <w:szCs w:val="20"/>
                <w:color w:val="auto"/>
              </w:rPr>
            </w:pPr>
            <w:r>
              <w:rPr>
                <w:rFonts w:ascii="Arial" w:cs="Arial" w:eastAsia="Arial" w:hAnsi="Arial"/>
                <w:sz w:val="13"/>
                <w:szCs w:val="13"/>
                <w:b w:val="1"/>
                <w:bCs w:val="1"/>
                <w:color w:val="auto"/>
                <w:w w:val="94"/>
              </w:rPr>
              <w:t>Simpson Thacher &amp; Bartlett LLP</w:t>
            </w:r>
          </w:p>
        </w:tc>
      </w:tr>
      <w:tr>
        <w:trPr>
          <w:trHeight w:val="144"/>
        </w:trPr>
        <w:tc>
          <w:tcPr>
            <w:tcW w:w="232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5"/>
              </w:rPr>
              <w:t>Heidi E. Mayon</w:t>
            </w:r>
          </w:p>
        </w:tc>
        <w:tc>
          <w:tcPr>
            <w:tcW w:w="2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Veracyte, Inc.</w:t>
            </w:r>
          </w:p>
        </w:tc>
        <w:tc>
          <w:tcPr>
            <w:tcW w:w="2180" w:type="dxa"/>
            <w:vAlign w:val="bottom"/>
          </w:tcPr>
          <w:p>
            <w:pPr>
              <w:jc w:val="center"/>
              <w:ind w:left="254"/>
              <w:spacing w:after="0" w:line="144" w:lineRule="exact"/>
              <w:rPr>
                <w:sz w:val="20"/>
                <w:szCs w:val="20"/>
                <w:color w:val="auto"/>
              </w:rPr>
            </w:pPr>
            <w:r>
              <w:rPr>
                <w:rFonts w:ascii="Arial" w:cs="Arial" w:eastAsia="Arial" w:hAnsi="Arial"/>
                <w:sz w:val="13"/>
                <w:szCs w:val="13"/>
                <w:b w:val="1"/>
                <w:bCs w:val="1"/>
                <w:color w:val="auto"/>
                <w:w w:val="91"/>
              </w:rPr>
              <w:t>2475 Hanover Street</w:t>
            </w:r>
          </w:p>
        </w:tc>
      </w:tr>
      <w:tr>
        <w:trPr>
          <w:trHeight w:val="144"/>
        </w:trPr>
        <w:tc>
          <w:tcPr>
            <w:tcW w:w="232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4"/>
              </w:rPr>
              <w:t>Pillsbury Winthrop Shaw</w:t>
            </w:r>
          </w:p>
        </w:tc>
        <w:tc>
          <w:tcPr>
            <w:tcW w:w="2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7000 Shoreline Court, Suite 250</w:t>
            </w:r>
          </w:p>
        </w:tc>
        <w:tc>
          <w:tcPr>
            <w:tcW w:w="2180" w:type="dxa"/>
            <w:vAlign w:val="bottom"/>
          </w:tcPr>
          <w:p>
            <w:pPr>
              <w:jc w:val="center"/>
              <w:ind w:left="234"/>
              <w:spacing w:after="0" w:line="144" w:lineRule="exact"/>
              <w:rPr>
                <w:sz w:val="20"/>
                <w:szCs w:val="20"/>
                <w:color w:val="auto"/>
              </w:rPr>
            </w:pPr>
            <w:r>
              <w:rPr>
                <w:rFonts w:ascii="Arial" w:cs="Arial" w:eastAsia="Arial" w:hAnsi="Arial"/>
                <w:sz w:val="13"/>
                <w:szCs w:val="13"/>
                <w:b w:val="1"/>
                <w:bCs w:val="1"/>
                <w:color w:val="auto"/>
                <w:w w:val="93"/>
              </w:rPr>
              <w:t>Palo Alto, California 94304</w:t>
            </w:r>
          </w:p>
        </w:tc>
      </w:tr>
      <w:tr>
        <w:trPr>
          <w:trHeight w:val="144"/>
        </w:trPr>
        <w:tc>
          <w:tcPr>
            <w:tcW w:w="2320" w:type="dxa"/>
            <w:vAlign w:val="bottom"/>
          </w:tcPr>
          <w:p>
            <w:pPr>
              <w:jc w:val="center"/>
              <w:ind w:right="74"/>
              <w:spacing w:after="0" w:line="144" w:lineRule="exact"/>
              <w:rPr>
                <w:sz w:val="20"/>
                <w:szCs w:val="20"/>
                <w:color w:val="auto"/>
              </w:rPr>
            </w:pPr>
            <w:r>
              <w:rPr>
                <w:rFonts w:ascii="Arial" w:cs="Arial" w:eastAsia="Arial" w:hAnsi="Arial"/>
                <w:sz w:val="13"/>
                <w:szCs w:val="13"/>
                <w:b w:val="1"/>
                <w:bCs w:val="1"/>
                <w:color w:val="auto"/>
                <w:w w:val="97"/>
              </w:rPr>
              <w:t>Pittman LLP</w:t>
            </w:r>
          </w:p>
        </w:tc>
        <w:tc>
          <w:tcPr>
            <w:tcW w:w="2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South San Francisco, California 94080</w:t>
            </w:r>
          </w:p>
        </w:tc>
        <w:tc>
          <w:tcPr>
            <w:tcW w:w="2180" w:type="dxa"/>
            <w:vAlign w:val="bottom"/>
          </w:tcPr>
          <w:p>
            <w:pPr>
              <w:spacing w:after="0"/>
              <w:rPr>
                <w:sz w:val="12"/>
                <w:szCs w:val="12"/>
                <w:color w:val="auto"/>
              </w:rPr>
            </w:pPr>
          </w:p>
        </w:tc>
      </w:tr>
      <w:tr>
        <w:trPr>
          <w:trHeight w:val="144"/>
        </w:trPr>
        <w:tc>
          <w:tcPr>
            <w:tcW w:w="232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2"/>
              </w:rPr>
              <w:t>Four Embarcadero Center, 22nd Floor</w:t>
            </w:r>
          </w:p>
        </w:tc>
        <w:tc>
          <w:tcPr>
            <w:tcW w:w="24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9"/>
        </w:trPr>
        <w:tc>
          <w:tcPr>
            <w:tcW w:w="2320" w:type="dxa"/>
            <w:vAlign w:val="bottom"/>
          </w:tcPr>
          <w:p>
            <w:pPr>
              <w:jc w:val="center"/>
              <w:ind w:right="74"/>
              <w:spacing w:after="0"/>
              <w:rPr>
                <w:sz w:val="20"/>
                <w:szCs w:val="20"/>
                <w:color w:val="auto"/>
              </w:rPr>
            </w:pPr>
            <w:r>
              <w:rPr>
                <w:rFonts w:ascii="Arial" w:cs="Arial" w:eastAsia="Arial" w:hAnsi="Arial"/>
                <w:sz w:val="13"/>
                <w:szCs w:val="13"/>
                <w:b w:val="1"/>
                <w:bCs w:val="1"/>
                <w:color w:val="auto"/>
                <w:w w:val="90"/>
              </w:rPr>
              <w:t>San Francisco, California 94111</w:t>
            </w:r>
          </w:p>
        </w:tc>
        <w:tc>
          <w:tcPr>
            <w:tcW w:w="24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98"/>
        </w:trPr>
        <w:tc>
          <w:tcPr>
            <w:tcW w:w="2320" w:type="dxa"/>
            <w:vAlign w:val="bottom"/>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20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37"/>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49"/>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54" w:orient="portrait"/>
          <w:cols w:equalWidth="0" w:num="1">
            <w:col w:w="11420"/>
          </w:cols>
          <w:pgMar w:left="240" w:top="669" w:right="239" w:bottom="0" w:gutter="0" w:footer="0" w:header="0"/>
        </w:sectPr>
      </w:pPr>
    </w:p>
    <w:p>
      <w:pPr>
        <w:spacing w:after="0" w:line="179"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8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4" w:lineRule="exact"/>
        <w:rPr>
          <w:sz w:val="24"/>
          <w:szCs w:val="24"/>
          <w:color w:val="auto"/>
        </w:rPr>
      </w:pPr>
    </w:p>
    <w:p>
      <w:pPr>
        <w:jc w:val="center"/>
        <w:ind w:right="860"/>
        <w:spacing w:after="0"/>
        <w:rPr>
          <w:sz w:val="20"/>
          <w:szCs w:val="20"/>
          <w:color w:val="auto"/>
        </w:rPr>
      </w:pPr>
      <w:r>
        <w:rPr>
          <w:rFonts w:ascii="Arial" w:cs="Arial" w:eastAsia="Arial" w:hAnsi="Arial"/>
          <w:sz w:val="13"/>
          <w:szCs w:val="13"/>
          <w:color w:val="auto"/>
        </w:rPr>
        <w:t>(Do not check if a</w:t>
      </w:r>
    </w:p>
    <w:p>
      <w:pPr>
        <w:jc w:val="center"/>
        <w:ind w:right="860"/>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ectPr>
          <w:pgSz w:w="11900" w:h="16854" w:orient="portrait"/>
          <w:cols w:equalWidth="0" w:num="4">
            <w:col w:w="3220" w:space="720"/>
            <w:col w:w="1060" w:space="720"/>
            <w:col w:w="2300" w:space="720"/>
            <w:col w:w="2680"/>
          </w:cols>
          <w:pgMar w:left="240" w:top="669" w:right="239" w:bottom="0" w:gutter="0" w:footer="0" w:header="0"/>
          <w:type w:val="continuous"/>
        </w:sectPr>
      </w:pPr>
    </w:p>
    <w:bookmarkStart w:id="1" w:name="page2"/>
    <w:bookmarkEnd w:id="1"/>
    <w:p>
      <w:pPr>
        <w:ind w:left="6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3010535</wp:posOffset>
            </wp:positionH>
            <wp:positionV relativeFrom="page">
              <wp:posOffset>88900</wp:posOffset>
            </wp:positionV>
            <wp:extent cx="1539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9875" cy="8255"/>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w:t>
      </w:r>
    </w:p>
    <w:p>
      <w:pPr>
        <w:spacing w:after="0" w:line="32" w:lineRule="exact"/>
        <w:rPr>
          <w:sz w:val="20"/>
          <w:szCs w:val="20"/>
          <w:color w:val="auto"/>
        </w:rPr>
      </w:pPr>
    </w:p>
    <w:p>
      <w:pPr>
        <w:spacing w:after="0" w:line="262" w:lineRule="auto"/>
        <w:rPr>
          <w:sz w:val="20"/>
          <w:szCs w:val="20"/>
          <w:color w:val="auto"/>
        </w:rPr>
      </w:pPr>
      <w:r>
        <w:rPr>
          <w:rFonts w:ascii="Arial" w:cs="Arial" w:eastAsia="Arial" w:hAnsi="Arial"/>
          <w:sz w:val="13"/>
          <w:szCs w:val="13"/>
          <w:b w:val="1"/>
          <w:bCs w:val="1"/>
          <w:color w:val="auto"/>
        </w:rPr>
        <w:t>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283845</wp:posOffset>
            </wp:positionV>
            <wp:extent cx="72504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456565</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FF4019"/>
        </w:rPr>
        <w:t>Issued October 25, 2013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1"/>
          <w:szCs w:val="31"/>
          <w:i w:val="1"/>
          <w:iCs w:val="1"/>
          <w:color w:val="auto"/>
        </w:rPr>
        <w:t>4,700,000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152400</wp:posOffset>
            </wp:positionV>
            <wp:extent cx="2780665" cy="1248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8066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Veracyte, Inc. is offering 4,700,000 shares of its common stock. This is our initial public offering and no public market currently exists for our shares. We anticipate that the initial public offering price of our common stock will be between $13.00 and $15.00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113030</wp:posOffset>
            </wp:positionV>
            <wp:extent cx="1539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applied to list our common stock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under applicable Securities and Exchange Commission rules and will be subject to reduced public company reporting requirements for this prospectus and future filings.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Investing in our common stock involves risks. Please see "Risk Factors" beginning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7"/>
          <w:szCs w:val="17"/>
          <w:i w:val="1"/>
          <w:iCs w:val="1"/>
          <w:color w:val="auto"/>
        </w:rPr>
        <w:t xml:space="preserve">PRICE </w:t>
      </w:r>
      <w:r>
        <w:rPr>
          <w:rFonts w:ascii="Arial" w:cs="Arial" w:eastAsia="Arial" w:hAnsi="Arial"/>
          <w:sz w:val="20"/>
          <w:szCs w:val="20"/>
          <w:i w:val="1"/>
          <w:iCs w:val="1"/>
          <w:color w:val="auto"/>
        </w:rPr>
        <w:t>$</w:t>
      </w:r>
      <w:r>
        <w:rPr>
          <w:sz w:val="20"/>
          <w:szCs w:val="20"/>
          <w:color w:val="auto"/>
        </w:rPr>
        <w:tab/>
      </w:r>
      <w:r>
        <w:rPr>
          <w:rFonts w:ascii="Arial" w:cs="Arial" w:eastAsia="Arial" w:hAnsi="Arial"/>
          <w:sz w:val="15"/>
          <w:szCs w:val="15"/>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539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2"/>
              </w:rPr>
              <w:t>Underwriting</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7"/>
              </w:rPr>
              <w:t>Price to</w:t>
            </w:r>
          </w:p>
        </w:tc>
        <w:tc>
          <w:tcPr>
            <w:tcW w:w="7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7"/>
              </w:rPr>
              <w:t>Discounts and</w:t>
            </w: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i w:val="1"/>
                <w:iCs w:val="1"/>
                <w:color w:val="auto"/>
                <w:w w:val="88"/>
              </w:rPr>
              <w:t>Proceeds to</w:t>
            </w:r>
          </w:p>
        </w:tc>
        <w:tc>
          <w:tcPr>
            <w:tcW w:w="0" w:type="dxa"/>
            <w:vAlign w:val="bottom"/>
          </w:tcPr>
          <w:p>
            <w:pPr>
              <w:spacing w:after="0"/>
              <w:rPr>
                <w:sz w:val="1"/>
                <w:szCs w:val="1"/>
                <w:color w:val="auto"/>
              </w:rPr>
            </w:pPr>
          </w:p>
        </w:tc>
      </w:tr>
      <w:tr>
        <w:trPr>
          <w:trHeight w:val="170"/>
        </w:trPr>
        <w:tc>
          <w:tcPr>
            <w:tcW w:w="9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Per Share</w:t>
            </w:r>
          </w:p>
        </w:tc>
        <w:tc>
          <w:tcPr>
            <w:tcW w:w="4480" w:type="dxa"/>
            <w:vAlign w:val="bottom"/>
            <w:vMerge w:val="restart"/>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7"/>
              </w:rPr>
              <w:t>Public</w:t>
            </w:r>
          </w:p>
        </w:tc>
        <w:tc>
          <w:tcPr>
            <w:tcW w:w="700" w:type="dxa"/>
            <w:vAlign w:val="bottom"/>
          </w:tcPr>
          <w:p>
            <w:pPr>
              <w:spacing w:after="0"/>
              <w:rPr>
                <w:sz w:val="14"/>
                <w:szCs w:val="14"/>
                <w:color w:val="auto"/>
              </w:rPr>
            </w:pPr>
          </w:p>
        </w:tc>
        <w:tc>
          <w:tcPr>
            <w:tcW w:w="900" w:type="dxa"/>
            <w:vAlign w:val="bottom"/>
            <w:tcBorders>
              <w:bottom w:val="single" w:sz="8" w:color="auto"/>
            </w:tcBorders>
          </w:tcPr>
          <w:p>
            <w:pPr>
              <w:ind w:left="20"/>
              <w:spacing w:after="0" w:line="171" w:lineRule="exact"/>
              <w:rPr>
                <w:sz w:val="20"/>
                <w:szCs w:val="20"/>
                <w:color w:val="auto"/>
              </w:rPr>
            </w:pPr>
            <w:r>
              <w:rPr>
                <w:rFonts w:ascii="Arial" w:cs="Arial" w:eastAsia="Arial" w:hAnsi="Arial"/>
                <w:sz w:val="12"/>
                <w:szCs w:val="12"/>
                <w:b w:val="1"/>
                <w:bCs w:val="1"/>
                <w:i w:val="1"/>
                <w:iCs w:val="1"/>
                <w:color w:val="auto"/>
                <w:w w:val="91"/>
              </w:rPr>
              <w:t>Commissions</w:t>
            </w:r>
            <w:r>
              <w:rPr>
                <w:rFonts w:ascii="Arial" w:cs="Arial" w:eastAsia="Arial" w:hAnsi="Arial"/>
                <w:sz w:val="19"/>
                <w:szCs w:val="19"/>
                <w:b w:val="1"/>
                <w:bCs w:val="1"/>
                <w:i w:val="1"/>
                <w:iCs w:val="1"/>
                <w:color w:val="auto"/>
                <w:w w:val="91"/>
                <w:vertAlign w:val="superscript"/>
              </w:rPr>
              <w:t>(1)</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i w:val="1"/>
                <w:iCs w:val="1"/>
                <w:color w:val="auto"/>
              </w:rPr>
              <w:t>Company</w:t>
            </w: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44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ind w:left="20"/>
              <w:spacing w:after="0" w:line="194" w:lineRule="exact"/>
              <w:rPr>
                <w:sz w:val="20"/>
                <w:szCs w:val="20"/>
                <w:color w:val="auto"/>
              </w:rPr>
            </w:pPr>
            <w:r>
              <w:rPr>
                <w:rFonts w:ascii="Arial" w:cs="Arial" w:eastAsia="Arial" w:hAnsi="Arial"/>
                <w:sz w:val="17"/>
                <w:szCs w:val="17"/>
                <w:i w:val="1"/>
                <w:iCs w:val="1"/>
                <w:color w:val="auto"/>
              </w:rPr>
              <w:t>$</w:t>
            </w:r>
          </w:p>
        </w:tc>
        <w:tc>
          <w:tcPr>
            <w:tcW w:w="1320" w:type="dxa"/>
            <w:vAlign w:val="bottom"/>
            <w:gridSpan w:val="2"/>
          </w:tcPr>
          <w:p>
            <w:pPr>
              <w:jc w:val="right"/>
              <w:ind w:right="634"/>
              <w:spacing w:after="0" w:line="194"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7"/>
                <w:szCs w:val="17"/>
                <w:i w:val="1"/>
                <w:iCs w:val="1"/>
                <w:color w:val="auto"/>
              </w:rPr>
              <w:t>Total</w:t>
            </w:r>
          </w:p>
        </w:tc>
        <w:tc>
          <w:tcPr>
            <w:tcW w:w="448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Pr>
          <w:p>
            <w:pPr>
              <w:spacing w:after="0"/>
              <w:rPr>
                <w:sz w:val="18"/>
                <w:szCs w:val="18"/>
                <w:color w:val="auto"/>
              </w:rPr>
            </w:pPr>
          </w:p>
        </w:tc>
        <w:tc>
          <w:tcPr>
            <w:tcW w:w="1600" w:type="dxa"/>
            <w:vAlign w:val="bottom"/>
            <w:gridSpan w:val="2"/>
          </w:tcPr>
          <w:p>
            <w:pPr>
              <w:ind w:left="720"/>
              <w:spacing w:after="0"/>
              <w:rPr>
                <w:sz w:val="20"/>
                <w:szCs w:val="20"/>
                <w:color w:val="auto"/>
              </w:rPr>
            </w:pPr>
            <w:r>
              <w:rPr>
                <w:rFonts w:ascii="Arial" w:cs="Arial" w:eastAsia="Arial" w:hAnsi="Arial"/>
                <w:sz w:val="17"/>
                <w:szCs w:val="17"/>
                <w:i w:val="1"/>
                <w:iCs w:val="1"/>
                <w:color w:val="auto"/>
              </w:rPr>
              <w:t>$</w:t>
            </w:r>
          </w:p>
        </w:tc>
        <w:tc>
          <w:tcPr>
            <w:tcW w:w="1320" w:type="dxa"/>
            <w:vAlign w:val="bottom"/>
            <w:gridSpan w:val="2"/>
          </w:tcPr>
          <w:p>
            <w:pPr>
              <w:jc w:val="right"/>
              <w:ind w:right="634"/>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107"/>
        </w:trPr>
        <w:tc>
          <w:tcPr>
            <w:tcW w:w="94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680" w:hanging="533"/>
        <w:spacing w:after="0"/>
        <w:tabs>
          <w:tab w:leader="none" w:pos="1680" w:val="left"/>
        </w:tabs>
        <w:numPr>
          <w:ilvl w:val="0"/>
          <w:numId w:val="1"/>
        </w:numPr>
        <w:rPr>
          <w:rFonts w:ascii="Arial" w:cs="Arial" w:eastAsia="Arial" w:hAnsi="Arial"/>
          <w:sz w:val="17"/>
          <w:szCs w:val="17"/>
          <w:i w:val="1"/>
          <w:iCs w:val="1"/>
          <w:color w:val="auto"/>
        </w:rPr>
      </w:pPr>
      <w:r>
        <w:rPr>
          <w:rFonts w:ascii="Arial" w:cs="Arial" w:eastAsia="Arial" w:hAnsi="Arial"/>
          <w:sz w:val="13"/>
          <w:szCs w:val="13"/>
          <w:i w:val="1"/>
          <w:iCs w:val="1"/>
          <w:color w:val="auto"/>
        </w:rPr>
        <w:t>We have agreed to reimburse the underwriters for certain expenses in connection with this offering. See "Underwriters".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have granted the underwriters the right to purchase up to an additional 705,000 shares of common stock to cover over-allotments.</w:t>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Arial" w:cs="Arial" w:eastAsia="Arial" w:hAnsi="Arial"/>
                <w:sz w:val="17"/>
                <w:szCs w:val="17"/>
                <w:i w:val="1"/>
                <w:iCs w:val="1"/>
                <w:color w:val="auto"/>
                <w:w w:val="94"/>
              </w:rPr>
              <w:t>The underwriters expect to deliver the shares of common stock to purchasers on</w:t>
            </w:r>
          </w:p>
        </w:tc>
        <w:tc>
          <w:tcPr>
            <w:tcW w:w="1160" w:type="dxa"/>
            <w:vAlign w:val="bottom"/>
          </w:tcPr>
          <w:p>
            <w:pPr>
              <w:jc w:val="right"/>
              <w:ind w:right="315"/>
              <w:spacing w:after="0"/>
              <w:rPr>
                <w:sz w:val="20"/>
                <w:szCs w:val="20"/>
                <w:color w:val="auto"/>
              </w:rPr>
            </w:pPr>
            <w:r>
              <w:rPr>
                <w:rFonts w:ascii="Arial" w:cs="Arial" w:eastAsia="Arial" w:hAnsi="Arial"/>
                <w:sz w:val="17"/>
                <w:szCs w:val="17"/>
                <w:i w:val="1"/>
                <w:iCs w:val="1"/>
                <w:color w:val="auto"/>
              </w:rPr>
              <w:t>, 2013.</w:t>
            </w:r>
          </w:p>
        </w:tc>
      </w:tr>
      <w:tr>
        <w:trPr>
          <w:trHeight w:val="212"/>
        </w:trPr>
        <w:tc>
          <w:tcPr>
            <w:tcW w:w="45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64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1"/>
          <w:szCs w:val="21"/>
          <w:i w:val="1"/>
          <w:iCs w:val="1"/>
          <w:color w:val="auto"/>
        </w:rPr>
        <w:t>LEERINK SWANN</w:t>
      </w:r>
    </w:p>
    <w:p>
      <w:pPr>
        <w:spacing w:after="0" w:line="221"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i w:val="1"/>
          <w:iCs w:val="1"/>
          <w:color w:val="auto"/>
        </w:rPr>
        <w:t>WILLIAM BLAIR</w:t>
      </w:r>
      <w:r>
        <w:rPr>
          <w:sz w:val="20"/>
          <w:szCs w:val="20"/>
          <w:color w:val="auto"/>
        </w:rPr>
        <w:tab/>
      </w:r>
      <w:r>
        <w:rPr>
          <w:rFonts w:ascii="Arial" w:cs="Arial" w:eastAsia="Arial" w:hAnsi="Arial"/>
          <w:sz w:val="15"/>
          <w:szCs w:val="15"/>
          <w:i w:val="1"/>
          <w:iCs w:val="1"/>
          <w:color w:val="auto"/>
        </w:rPr>
        <w:t>COWEN AND COMPANY</w:t>
      </w:r>
    </w:p>
    <w:p>
      <w:pPr>
        <w:sectPr>
          <w:pgSz w:w="11900" w:h="16838" w:orient="portrait"/>
          <w:cols w:equalWidth="0" w:num="1">
            <w:col w:w="11420"/>
          </w:cols>
          <w:pgMar w:left="240" w:top="131" w:right="239" w:bottom="1065" w:gutter="0" w:footer="0" w:header="0"/>
        </w:sect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065"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6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gridSpan w:val="6"/>
          </w:tcPr>
          <w:p>
            <w:pPr>
              <w:ind w:left="20"/>
              <w:spacing w:after="0"/>
              <w:rPr>
                <w:sz w:val="20"/>
                <w:szCs w:val="20"/>
                <w:color w:val="auto"/>
              </w:rPr>
            </w:pPr>
            <w:r>
              <w:rPr>
                <w:rFonts w:ascii="Arial" w:cs="Arial" w:eastAsia="Arial" w:hAnsi="Arial"/>
                <w:sz w:val="17"/>
                <w:szCs w:val="17"/>
                <w:b w:val="1"/>
                <w:bCs w:val="1"/>
                <w:color w:val="auto"/>
              </w:rPr>
              <w:t>TABLE OF CONTENTS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440" w:type="dxa"/>
            <w:vAlign w:val="bottom"/>
            <w:gridSpan w:val="11"/>
            <w:vMerge w:val="restart"/>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Prospectus Summary</w:t>
              </w:r>
            </w:hyperlink>
          </w:p>
        </w:tc>
        <w:tc>
          <w:tcPr>
            <w:tcW w:w="7300" w:type="dxa"/>
            <w:vAlign w:val="bottom"/>
            <w:gridSpan w:val="15"/>
            <w:vMerge w:val="restart"/>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64"/>
        </w:trPr>
        <w:tc>
          <w:tcPr>
            <w:tcW w:w="1440" w:type="dxa"/>
            <w:vAlign w:val="bottom"/>
            <w:gridSpan w:val="11"/>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360" w:type="dxa"/>
            <w:vAlign w:val="bottom"/>
            <w:tcBorders>
              <w:top w:val="single" w:sz="8" w:color="auto"/>
            </w:tcBorders>
            <w:gridSpan w:val="5"/>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1"/>
          </w:tcPr>
          <w:p>
            <w:pPr>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Risk Factors</w:t>
              </w:r>
            </w:hyperlink>
          </w:p>
        </w:tc>
        <w:tc>
          <w:tcPr>
            <w:tcW w:w="7300" w:type="dxa"/>
            <w:vAlign w:val="bottom"/>
            <w:gridSpan w:val="15"/>
          </w:tcPr>
          <w:p>
            <w:pPr>
              <w:spacing w:after="0"/>
              <w:rPr>
                <w:sz w:val="16"/>
                <w:szCs w:val="16"/>
                <w:color w:val="auto"/>
              </w:rPr>
            </w:pPr>
          </w:p>
        </w:tc>
        <w:tc>
          <w:tcPr>
            <w:tcW w:w="380" w:type="dxa"/>
            <w:vAlign w:val="bottom"/>
            <w:gridSpan w:val="6"/>
          </w:tcPr>
          <w:p>
            <w:pPr>
              <w:jc w:val="right"/>
              <w:spacing w:after="0" w:line="189" w:lineRule="exact"/>
              <w:rPr>
                <w:rFonts w:ascii="Arial" w:cs="Arial" w:eastAsia="Arial" w:hAnsi="Arial"/>
                <w:sz w:val="17"/>
                <w:szCs w:val="17"/>
                <w:color w:val="0000EE"/>
              </w:rPr>
            </w:pPr>
            <w:hyperlink w:anchor="page17">
              <w:r>
                <w:rPr>
                  <w:rFonts w:ascii="Arial" w:cs="Arial" w:eastAsia="Arial" w:hAnsi="Arial"/>
                  <w:sz w:val="17"/>
                  <w:szCs w:val="17"/>
                  <w:color w:val="0000EE"/>
                </w:rPr>
                <w:t>12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Information Regarding Forward-Looking Statements</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35</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85"/>
              </w:rPr>
            </w:pPr>
            <w:hyperlink w:anchor="page41">
              <w:r>
                <w:rPr>
                  <w:rFonts w:ascii="Arial" w:cs="Arial" w:eastAsia="Arial" w:hAnsi="Arial"/>
                  <w:sz w:val="17"/>
                  <w:szCs w:val="17"/>
                  <w:color w:val="0000EE"/>
                  <w:w w:val="85"/>
                </w:rPr>
                <w:t>Use of Proceeds</w:t>
              </w:r>
            </w:hyperlink>
          </w:p>
        </w:tc>
        <w:tc>
          <w:tcPr>
            <w:tcW w:w="2500" w:type="dxa"/>
            <w:vAlign w:val="bottom"/>
            <w:tcBorders>
              <w:top w:val="single" w:sz="8" w:color="0000EE"/>
            </w:tcBorders>
            <w:gridSpan w:val="10"/>
          </w:tcPr>
          <w:p>
            <w:pPr>
              <w:spacing w:after="0"/>
              <w:rPr>
                <w:sz w:val="16"/>
                <w:szCs w:val="16"/>
                <w:color w:val="auto"/>
              </w:rPr>
            </w:pPr>
          </w:p>
        </w:tc>
        <w:tc>
          <w:tcPr>
            <w:tcW w:w="5140" w:type="dxa"/>
            <w:vAlign w:val="bottom"/>
            <w:gridSpan w:val="6"/>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Dividend Policy</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2"/>
              </w:rPr>
            </w:pPr>
            <w:hyperlink w:anchor="page43">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640" w:type="dxa"/>
            <w:vAlign w:val="bottom"/>
            <w:gridSpan w:val="16"/>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5">
              <w:r>
                <w:rPr>
                  <w:rFonts w:ascii="Arial" w:cs="Arial" w:eastAsia="Arial" w:hAnsi="Arial"/>
                  <w:sz w:val="17"/>
                  <w:szCs w:val="17"/>
                  <w:color w:val="0000EE"/>
                  <w:w w:val="95"/>
                </w:rPr>
                <w:t>Dilution</w:t>
              </w:r>
            </w:hyperlink>
          </w:p>
        </w:tc>
        <w:tc>
          <w:tcPr>
            <w:tcW w:w="8180" w:type="dxa"/>
            <w:vAlign w:val="bottom"/>
            <w:gridSpan w:val="24"/>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000EE"/>
            </w:tcBorders>
            <w:gridSpan w:val="13"/>
          </w:tcPr>
          <w:p>
            <w:pPr>
              <w:spacing w:after="0" w:line="189" w:lineRule="exact"/>
              <w:rPr>
                <w:rFonts w:ascii="Arial" w:cs="Arial" w:eastAsia="Arial" w:hAnsi="Arial"/>
                <w:sz w:val="17"/>
                <w:szCs w:val="17"/>
                <w:color w:val="0000EE"/>
                <w:w w:val="89"/>
              </w:rPr>
            </w:pPr>
            <w:hyperlink w:anchor="page47">
              <w:r>
                <w:rPr>
                  <w:rFonts w:ascii="Arial" w:cs="Arial" w:eastAsia="Arial" w:hAnsi="Arial"/>
                  <w:sz w:val="17"/>
                  <w:szCs w:val="17"/>
                  <w:color w:val="0000EE"/>
                  <w:w w:val="89"/>
                </w:rPr>
                <w:t>Selected Financial Data</w:t>
              </w:r>
            </w:hyperlink>
          </w:p>
        </w:tc>
        <w:tc>
          <w:tcPr>
            <w:tcW w:w="7120" w:type="dxa"/>
            <w:vAlign w:val="bottom"/>
            <w:gridSpan w:val="13"/>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42</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5"/>
          </w:tcPr>
          <w:p>
            <w:pPr>
              <w:spacing w:after="0" w:line="189" w:lineRule="exact"/>
              <w:rPr>
                <w:rFonts w:ascii="Arial" w:cs="Arial" w:eastAsia="Arial" w:hAnsi="Arial"/>
                <w:sz w:val="17"/>
                <w:szCs w:val="17"/>
                <w:color w:val="0000EE"/>
                <w:w w:val="90"/>
              </w:rPr>
            </w:pPr>
            <w:hyperlink w:anchor="page48">
              <w:r>
                <w:rPr>
                  <w:rFonts w:ascii="Arial" w:cs="Arial" w:eastAsia="Arial" w:hAnsi="Arial"/>
                  <w:sz w:val="17"/>
                  <w:szCs w:val="17"/>
                  <w:color w:val="0000EE"/>
                  <w:w w:val="90"/>
                </w:rPr>
                <w:t>Management's Discussion and Analysis of Financial Condition and Results of Operations</w:t>
              </w:r>
            </w:hyperlink>
          </w:p>
        </w:tc>
        <w:tc>
          <w:tcPr>
            <w:tcW w:w="264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43</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70">
              <w:r>
                <w:rPr>
                  <w:rFonts w:ascii="Arial" w:cs="Arial" w:eastAsia="Arial" w:hAnsi="Arial"/>
                  <w:sz w:val="17"/>
                  <w:szCs w:val="17"/>
                  <w:color w:val="0000EE"/>
                  <w:w w:val="84"/>
                </w:rPr>
                <w:t>Business</w:t>
              </w:r>
            </w:hyperlink>
          </w:p>
        </w:tc>
        <w:tc>
          <w:tcPr>
            <w:tcW w:w="8140" w:type="dxa"/>
            <w:vAlign w:val="bottom"/>
            <w:gridSpan w:val="23"/>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70">
              <w:r>
                <w:rPr>
                  <w:rFonts w:ascii="Arial" w:cs="Arial" w:eastAsia="Arial" w:hAnsi="Arial"/>
                  <w:sz w:val="17"/>
                  <w:szCs w:val="17"/>
                  <w:color w:val="0000EE"/>
                  <w:w w:val="84"/>
                </w:rPr>
                <w:t>65</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01">
              <w:r>
                <w:rPr>
                  <w:rFonts w:ascii="Arial" w:cs="Arial" w:eastAsia="Arial" w:hAnsi="Arial"/>
                  <w:sz w:val="17"/>
                  <w:szCs w:val="17"/>
                  <w:color w:val="0000EE"/>
                </w:rPr>
                <w:t>Management</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01">
              <w:r>
                <w:rPr>
                  <w:rFonts w:ascii="Arial" w:cs="Arial" w:eastAsia="Arial" w:hAnsi="Arial"/>
                  <w:sz w:val="17"/>
                  <w:szCs w:val="17"/>
                  <w:color w:val="0000EE"/>
                </w:rPr>
                <w:t>96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Executive Compensation</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08">
              <w:r>
                <w:rPr>
                  <w:rFonts w:ascii="Arial" w:cs="Arial" w:eastAsia="Arial" w:hAnsi="Arial"/>
                  <w:sz w:val="17"/>
                  <w:szCs w:val="17"/>
                  <w:color w:val="0000EE"/>
                </w:rPr>
                <w:t>103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Certain Relationships and Related Party Transactions</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114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gridSpan w:val="12"/>
          </w:tcPr>
          <w:p>
            <w:pPr>
              <w:spacing w:after="0" w:line="189" w:lineRule="exact"/>
              <w:rPr>
                <w:rFonts w:ascii="Arial" w:cs="Arial" w:eastAsia="Arial" w:hAnsi="Arial"/>
                <w:sz w:val="17"/>
                <w:szCs w:val="17"/>
                <w:color w:val="0000EE"/>
                <w:w w:val="90"/>
              </w:rPr>
            </w:pPr>
            <w:hyperlink w:anchor="page121">
              <w:r>
                <w:rPr>
                  <w:rFonts w:ascii="Arial" w:cs="Arial" w:eastAsia="Arial" w:hAnsi="Arial"/>
                  <w:sz w:val="17"/>
                  <w:szCs w:val="17"/>
                  <w:color w:val="0000EE"/>
                  <w:w w:val="90"/>
                </w:rPr>
                <w:t>Principal Stockholders</w:t>
              </w:r>
            </w:hyperlink>
          </w:p>
        </w:tc>
        <w:tc>
          <w:tcPr>
            <w:tcW w:w="2080" w:type="dxa"/>
            <w:vAlign w:val="bottom"/>
            <w:gridSpan w:val="9"/>
          </w:tcPr>
          <w:p>
            <w:pPr>
              <w:spacing w:after="0"/>
              <w:rPr>
                <w:sz w:val="16"/>
                <w:szCs w:val="16"/>
                <w:color w:val="auto"/>
              </w:rPr>
            </w:pPr>
          </w:p>
        </w:tc>
        <w:tc>
          <w:tcPr>
            <w:tcW w:w="5120" w:type="dxa"/>
            <w:vAlign w:val="bottom"/>
            <w:gridSpan w:val="5"/>
          </w:tcPr>
          <w:p>
            <w:pPr>
              <w:spacing w:after="0"/>
              <w:rPr>
                <w:sz w:val="16"/>
                <w:szCs w:val="16"/>
                <w:color w:val="auto"/>
              </w:rPr>
            </w:pPr>
          </w:p>
        </w:tc>
        <w:tc>
          <w:tcPr>
            <w:tcW w:w="380" w:type="dxa"/>
            <w:vAlign w:val="bottom"/>
            <w:gridSpan w:val="6"/>
          </w:tcPr>
          <w:p>
            <w:pPr>
              <w:jc w:val="right"/>
              <w:spacing w:after="0" w:line="189" w:lineRule="exact"/>
              <w:rPr>
                <w:rFonts w:ascii="Arial" w:cs="Arial" w:eastAsia="Arial" w:hAnsi="Arial"/>
                <w:sz w:val="17"/>
                <w:szCs w:val="17"/>
                <w:color w:val="0000EE"/>
              </w:rPr>
            </w:pPr>
            <w:hyperlink w:anchor="page121">
              <w:r>
                <w:rPr>
                  <w:rFonts w:ascii="Arial" w:cs="Arial" w:eastAsia="Arial" w:hAnsi="Arial"/>
                  <w:sz w:val="17"/>
                  <w:szCs w:val="17"/>
                  <w:color w:val="0000EE"/>
                </w:rPr>
                <w:t>116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gridSpan w:val="15"/>
          </w:tcPr>
          <w:p>
            <w:pPr>
              <w:spacing w:after="0" w:line="189" w:lineRule="exact"/>
              <w:rPr>
                <w:rFonts w:ascii="Arial" w:cs="Arial" w:eastAsia="Arial" w:hAnsi="Arial"/>
                <w:sz w:val="17"/>
                <w:szCs w:val="17"/>
                <w:color w:val="0000EE"/>
                <w:w w:val="91"/>
              </w:rPr>
            </w:pPr>
            <w:hyperlink w:anchor="page124">
              <w:r>
                <w:rPr>
                  <w:rFonts w:ascii="Arial" w:cs="Arial" w:eastAsia="Arial" w:hAnsi="Arial"/>
                  <w:sz w:val="17"/>
                  <w:szCs w:val="17"/>
                  <w:color w:val="0000EE"/>
                  <w:w w:val="91"/>
                </w:rPr>
                <w:t>Description of Capital Stock</w:t>
              </w:r>
            </w:hyperlink>
          </w:p>
        </w:tc>
        <w:tc>
          <w:tcPr>
            <w:tcW w:w="6800" w:type="dxa"/>
            <w:vAlign w:val="bottom"/>
            <w:gridSpan w:val="11"/>
          </w:tcPr>
          <w:p>
            <w:pPr>
              <w:spacing w:after="0"/>
              <w:rPr>
                <w:sz w:val="16"/>
                <w:szCs w:val="16"/>
                <w:color w:val="auto"/>
              </w:rPr>
            </w:pPr>
          </w:p>
        </w:tc>
        <w:tc>
          <w:tcPr>
            <w:tcW w:w="380" w:type="dxa"/>
            <w:vAlign w:val="bottom"/>
            <w:gridSpan w:val="6"/>
          </w:tcPr>
          <w:p>
            <w:pPr>
              <w:jc w:val="right"/>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119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128">
              <w:r>
                <w:rPr>
                  <w:rFonts w:ascii="Arial" w:cs="Arial" w:eastAsia="Arial" w:hAnsi="Arial"/>
                  <w:sz w:val="17"/>
                  <w:szCs w:val="17"/>
                  <w:color w:val="0000EE"/>
                  <w:w w:val="90"/>
                </w:rPr>
                <w:t>Shares Eligible for Future Sale</w:t>
              </w:r>
            </w:hyperlink>
          </w:p>
        </w:tc>
        <w:tc>
          <w:tcPr>
            <w:tcW w:w="6640" w:type="dxa"/>
            <w:vAlign w:val="bottom"/>
            <w:gridSpan w:val="10"/>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0"/>
              </w:rPr>
            </w:pPr>
            <w:hyperlink w:anchor="page128">
              <w:r>
                <w:rPr>
                  <w:rFonts w:ascii="Arial" w:cs="Arial" w:eastAsia="Arial" w:hAnsi="Arial"/>
                  <w:sz w:val="17"/>
                  <w:szCs w:val="17"/>
                  <w:color w:val="0000EE"/>
                  <w:w w:val="70"/>
                </w:rPr>
                <w:t>123</w:t>
              </w:r>
            </w:hyperlink>
          </w:p>
        </w:tc>
        <w:tc>
          <w:tcPr>
            <w:tcW w:w="0" w:type="dxa"/>
            <w:vAlign w:val="bottom"/>
          </w:tcPr>
          <w:p>
            <w:pPr>
              <w:spacing w:after="0"/>
              <w:rPr>
                <w:sz w:val="1"/>
                <w:szCs w:val="1"/>
                <w:color w:val="auto"/>
              </w:rPr>
            </w:pPr>
          </w:p>
        </w:tc>
      </w:tr>
      <w:tr>
        <w:trPr>
          <w:trHeight w:val="190"/>
        </w:trPr>
        <w:tc>
          <w:tcPr>
            <w:tcW w:w="4340" w:type="dxa"/>
            <w:vAlign w:val="bottom"/>
            <w:tcBorders>
              <w:bottom w:val="single" w:sz="8" w:color="0000EE"/>
            </w:tcBorders>
            <w:gridSpan w:val="23"/>
          </w:tcPr>
          <w:p>
            <w:pPr>
              <w:spacing w:after="0" w:line="189" w:lineRule="exact"/>
              <w:rPr>
                <w:rFonts w:ascii="Arial" w:cs="Arial" w:eastAsia="Arial" w:hAnsi="Arial"/>
                <w:sz w:val="17"/>
                <w:szCs w:val="17"/>
                <w:color w:val="0000EE"/>
                <w:w w:val="90"/>
              </w:rPr>
            </w:pPr>
            <w:hyperlink w:anchor="page130">
              <w:r>
                <w:rPr>
                  <w:rFonts w:ascii="Arial" w:cs="Arial" w:eastAsia="Arial" w:hAnsi="Arial"/>
                  <w:sz w:val="17"/>
                  <w:szCs w:val="17"/>
                  <w:color w:val="0000EE"/>
                  <w:w w:val="90"/>
                </w:rPr>
                <w:t>Material United States Tax Considerations to Non-U.S. Holders</w:t>
              </w:r>
            </w:hyperlink>
          </w:p>
        </w:tc>
        <w:tc>
          <w:tcPr>
            <w:tcW w:w="440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0"/>
              </w:rPr>
            </w:pPr>
            <w:hyperlink w:anchor="page130">
              <w:r>
                <w:rPr>
                  <w:rFonts w:ascii="Arial" w:cs="Arial" w:eastAsia="Arial" w:hAnsi="Arial"/>
                  <w:sz w:val="17"/>
                  <w:szCs w:val="17"/>
                  <w:color w:val="0000EE"/>
                  <w:w w:val="70"/>
                </w:rPr>
                <w:t>125</w:t>
              </w:r>
            </w:hyperlink>
          </w:p>
        </w:tc>
        <w:tc>
          <w:tcPr>
            <w:tcW w:w="0" w:type="dxa"/>
            <w:vAlign w:val="bottom"/>
          </w:tcPr>
          <w:p>
            <w:pPr>
              <w:spacing w:after="0"/>
              <w:rPr>
                <w:sz w:val="1"/>
                <w:szCs w:val="1"/>
                <w:color w:val="auto"/>
              </w:rPr>
            </w:pPr>
          </w:p>
        </w:tc>
      </w:tr>
      <w:tr>
        <w:trPr>
          <w:trHeight w:val="190"/>
        </w:trPr>
        <w:tc>
          <w:tcPr>
            <w:tcW w:w="900" w:type="dxa"/>
            <w:vAlign w:val="bottom"/>
            <w:tcBorders>
              <w:bottom w:val="single" w:sz="8" w:color="0000EE"/>
            </w:tcBorders>
            <w:gridSpan w:val="7"/>
          </w:tcPr>
          <w:p>
            <w:pPr>
              <w:spacing w:after="0" w:line="189" w:lineRule="exact"/>
              <w:rPr>
                <w:rFonts w:ascii="Arial" w:cs="Arial" w:eastAsia="Arial" w:hAnsi="Arial"/>
                <w:sz w:val="17"/>
                <w:szCs w:val="17"/>
                <w:color w:val="0000EE"/>
                <w:w w:val="91"/>
              </w:rPr>
            </w:pPr>
            <w:hyperlink w:anchor="page134">
              <w:r>
                <w:rPr>
                  <w:rFonts w:ascii="Arial" w:cs="Arial" w:eastAsia="Arial" w:hAnsi="Arial"/>
                  <w:sz w:val="17"/>
                  <w:szCs w:val="17"/>
                  <w:color w:val="0000EE"/>
                  <w:w w:val="91"/>
                </w:rPr>
                <w:t>Underwriters</w:t>
              </w:r>
            </w:hyperlink>
          </w:p>
        </w:tc>
        <w:tc>
          <w:tcPr>
            <w:tcW w:w="784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0"/>
              </w:rPr>
            </w:pPr>
            <w:hyperlink w:anchor="page134">
              <w:r>
                <w:rPr>
                  <w:rFonts w:ascii="Arial" w:cs="Arial" w:eastAsia="Arial" w:hAnsi="Arial"/>
                  <w:sz w:val="17"/>
                  <w:szCs w:val="17"/>
                  <w:color w:val="0000EE"/>
                  <w:w w:val="70"/>
                </w:rPr>
                <w:t>129</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Legal Matters</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134</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39">
              <w:r>
                <w:rPr>
                  <w:rFonts w:ascii="Arial" w:cs="Arial" w:eastAsia="Arial" w:hAnsi="Arial"/>
                  <w:sz w:val="17"/>
                  <w:szCs w:val="17"/>
                  <w:color w:val="0000EE"/>
                  <w:w w:val="86"/>
                </w:rPr>
                <w:t>Experts</w:t>
              </w:r>
            </w:hyperlink>
          </w:p>
        </w:tc>
        <w:tc>
          <w:tcPr>
            <w:tcW w:w="420" w:type="dxa"/>
            <w:vAlign w:val="bottom"/>
            <w:tcBorders>
              <w:top w:val="single" w:sz="8" w:color="0000EE"/>
            </w:tcBorders>
            <w:gridSpan w:val="7"/>
          </w:tcPr>
          <w:p>
            <w:pPr>
              <w:spacing w:after="0"/>
              <w:rPr>
                <w:sz w:val="16"/>
                <w:szCs w:val="16"/>
                <w:color w:val="auto"/>
              </w:rPr>
            </w:pPr>
          </w:p>
        </w:tc>
        <w:tc>
          <w:tcPr>
            <w:tcW w:w="7800" w:type="dxa"/>
            <w:vAlign w:val="bottom"/>
            <w:gridSpan w:val="18"/>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top w:val="single" w:sz="8" w:color="0000EE"/>
              <w:bottom w:val="single" w:sz="8" w:color="0000EE"/>
            </w:tcBorders>
            <w:gridSpan w:val="4"/>
          </w:tcPr>
          <w:p>
            <w:pPr>
              <w:jc w:val="right"/>
              <w:spacing w:after="0" w:line="189" w:lineRule="exact"/>
              <w:rPr>
                <w:rFonts w:ascii="Arial" w:cs="Arial" w:eastAsia="Arial" w:hAnsi="Arial"/>
                <w:sz w:val="17"/>
                <w:szCs w:val="17"/>
                <w:color w:val="0000EE"/>
                <w:w w:val="70"/>
              </w:rPr>
            </w:pPr>
            <w:hyperlink w:anchor="page139">
              <w:r>
                <w:rPr>
                  <w:rFonts w:ascii="Arial" w:cs="Arial" w:eastAsia="Arial" w:hAnsi="Arial"/>
                  <w:sz w:val="17"/>
                  <w:szCs w:val="17"/>
                  <w:color w:val="0000EE"/>
                  <w:w w:val="70"/>
                </w:rPr>
                <w:t>134</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Where You Can Find Additional Information</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134</w:t>
              </w:r>
            </w:hyperlink>
          </w:p>
        </w:tc>
        <w:tc>
          <w:tcPr>
            <w:tcW w:w="0" w:type="dxa"/>
            <w:vAlign w:val="bottom"/>
          </w:tcPr>
          <w:p>
            <w:pPr>
              <w:spacing w:after="0"/>
              <w:rPr>
                <w:sz w:val="1"/>
                <w:szCs w:val="1"/>
                <w:color w:val="auto"/>
              </w:rPr>
            </w:pPr>
          </w:p>
        </w:tc>
      </w:tr>
      <w:tr>
        <w:trPr>
          <w:trHeight w:val="190"/>
        </w:trPr>
        <w:tc>
          <w:tcPr>
            <w:tcW w:w="306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140">
              <w:r>
                <w:rPr>
                  <w:rFonts w:ascii="Arial" w:cs="Arial" w:eastAsia="Arial" w:hAnsi="Arial"/>
                  <w:sz w:val="17"/>
                  <w:szCs w:val="17"/>
                  <w:color w:val="0000EE"/>
                </w:rPr>
                <w:t>References</w:t>
              </w:r>
            </w:hyperlink>
          </w:p>
        </w:tc>
        <w:tc>
          <w:tcPr>
            <w:tcW w:w="5680" w:type="dxa"/>
            <w:vAlign w:val="bottom"/>
            <w:gridSpan w:val="8"/>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top w:val="single" w:sz="8" w:color="0000EE"/>
            </w:tcBorders>
            <w:gridSpan w:val="4"/>
          </w:tcPr>
          <w:p>
            <w:pPr>
              <w:jc w:val="right"/>
              <w:spacing w:after="0" w:line="189" w:lineRule="exact"/>
              <w:rPr>
                <w:rFonts w:ascii="Arial" w:cs="Arial" w:eastAsia="Arial" w:hAnsi="Arial"/>
                <w:sz w:val="17"/>
                <w:szCs w:val="17"/>
                <w:color w:val="0000EE"/>
                <w:w w:val="70"/>
              </w:rPr>
            </w:pPr>
            <w:hyperlink w:anchor="page140">
              <w:r>
                <w:rPr>
                  <w:rFonts w:ascii="Arial" w:cs="Arial" w:eastAsia="Arial" w:hAnsi="Arial"/>
                  <w:sz w:val="17"/>
                  <w:szCs w:val="17"/>
                  <w:color w:val="0000EE"/>
                  <w:w w:val="70"/>
                </w:rPr>
                <w:t>135</w:t>
              </w:r>
            </w:hyperlink>
          </w:p>
        </w:tc>
        <w:tc>
          <w:tcPr>
            <w:tcW w:w="0" w:type="dxa"/>
            <w:vAlign w:val="bottom"/>
          </w:tcPr>
          <w:p>
            <w:pPr>
              <w:spacing w:after="0"/>
              <w:rPr>
                <w:sz w:val="1"/>
                <w:szCs w:val="1"/>
                <w:color w:val="auto"/>
              </w:rPr>
            </w:pPr>
          </w:p>
        </w:tc>
      </w:tr>
      <w:tr>
        <w:trPr>
          <w:trHeight w:val="20"/>
        </w:trPr>
        <w:tc>
          <w:tcPr>
            <w:tcW w:w="740" w:type="dxa"/>
            <w:vAlign w:val="bottom"/>
            <w:gridSpan w:val="4"/>
            <w:shd w:val="clear" w:color="auto" w:fill="0000EE"/>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20" w:type="dxa"/>
            <w:vAlign w:val="bottom"/>
            <w:gridSpan w:val="17"/>
          </w:tcPr>
          <w:p>
            <w:pPr>
              <w:spacing w:after="0" w:line="189" w:lineRule="exact"/>
              <w:rPr>
                <w:rFonts w:ascii="Arial" w:cs="Arial" w:eastAsia="Arial" w:hAnsi="Arial"/>
                <w:sz w:val="17"/>
                <w:szCs w:val="17"/>
                <w:color w:val="0000EE"/>
                <w:w w:val="90"/>
              </w:rPr>
            </w:pPr>
            <w:hyperlink w:anchor="page141">
              <w:r>
                <w:rPr>
                  <w:rFonts w:ascii="Arial" w:cs="Arial" w:eastAsia="Arial" w:hAnsi="Arial"/>
                  <w:sz w:val="17"/>
                  <w:szCs w:val="17"/>
                  <w:color w:val="0000EE"/>
                  <w:w w:val="90"/>
                </w:rPr>
                <w:t>Index to Audited Financial Statements</w:t>
              </w:r>
            </w:hyperlink>
          </w:p>
        </w:tc>
        <w:tc>
          <w:tcPr>
            <w:tcW w:w="6120" w:type="dxa"/>
            <w:vAlign w:val="bottom"/>
            <w:gridSpan w:val="9"/>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4"/>
          </w:tcPr>
          <w:p>
            <w:pPr>
              <w:jc w:val="right"/>
              <w:spacing w:after="0" w:line="189" w:lineRule="exact"/>
              <w:rPr>
                <w:rFonts w:ascii="Arial" w:cs="Arial" w:eastAsia="Arial" w:hAnsi="Arial"/>
                <w:sz w:val="17"/>
                <w:szCs w:val="17"/>
                <w:color w:val="0000EE"/>
                <w:w w:val="78"/>
              </w:rPr>
            </w:pPr>
            <w:hyperlink w:anchor="page141">
              <w:r>
                <w:rPr>
                  <w:rFonts w:ascii="Arial" w:cs="Arial" w:eastAsia="Arial" w:hAnsi="Arial"/>
                  <w:sz w:val="17"/>
                  <w:szCs w:val="17"/>
                  <w:color w:val="0000EE"/>
                  <w:w w:val="78"/>
                </w:rPr>
                <w:t>F-1</w:t>
              </w:r>
            </w:hyperlink>
          </w:p>
        </w:tc>
        <w:tc>
          <w:tcPr>
            <w:tcW w:w="0" w:type="dxa"/>
            <w:vAlign w:val="bottom"/>
          </w:tcPr>
          <w:p>
            <w:pPr>
              <w:spacing w:after="0"/>
              <w:rPr>
                <w:sz w:val="1"/>
                <w:szCs w:val="1"/>
                <w:color w:val="auto"/>
              </w:rPr>
            </w:pPr>
          </w:p>
        </w:tc>
      </w:tr>
      <w:tr>
        <w:trPr>
          <w:trHeight w:val="20"/>
        </w:trPr>
        <w:tc>
          <w:tcPr>
            <w:tcW w:w="2620" w:type="dxa"/>
            <w:vAlign w:val="bottom"/>
            <w:gridSpan w:val="17"/>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Index to Unaudited Interim Condensed Financial Statements</w:t>
              </w:r>
            </w:hyperlink>
          </w:p>
        </w:tc>
        <w:tc>
          <w:tcPr>
            <w:tcW w:w="380" w:type="dxa"/>
            <w:vAlign w:val="bottom"/>
            <w:gridSpan w:val="6"/>
          </w:tcPr>
          <w:p>
            <w:pPr>
              <w:jc w:val="right"/>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F-29</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500" w:type="dxa"/>
            <w:vAlign w:val="bottom"/>
            <w:tcBorders>
              <w:top w:val="single" w:sz="8" w:color="0000EE"/>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79"/>
        <w:spacing w:after="0" w:line="303" w:lineRule="auto"/>
        <w:rPr>
          <w:sz w:val="20"/>
          <w:szCs w:val="20"/>
          <w:color w:val="auto"/>
        </w:rPr>
      </w:pPr>
      <w:r>
        <w:rPr>
          <w:rFonts w:ascii="Arial" w:cs="Arial" w:eastAsia="Arial" w:hAnsi="Arial"/>
          <w:sz w:val="15"/>
          <w:szCs w:val="15"/>
          <w:color w:val="auto"/>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58" w:lineRule="exact"/>
        <w:rPr>
          <w:sz w:val="20"/>
          <w:szCs w:val="20"/>
          <w:color w:val="auto"/>
        </w:rPr>
      </w:pPr>
    </w:p>
    <w:p>
      <w:pPr>
        <w:jc w:val="both"/>
        <w:ind w:firstLine="420"/>
        <w:spacing w:after="0" w:line="272" w:lineRule="auto"/>
        <w:rPr>
          <w:sz w:val="20"/>
          <w:szCs w:val="20"/>
          <w:color w:val="auto"/>
        </w:rPr>
      </w:pPr>
      <w:r>
        <w:rPr>
          <w:rFonts w:ascii="Arial" w:cs="Arial" w:eastAsia="Arial" w:hAnsi="Arial"/>
          <w:sz w:val="17"/>
          <w:szCs w:val="17"/>
          <w:b w:val="1"/>
          <w:bCs w:val="1"/>
          <w:color w:val="auto"/>
        </w:rPr>
        <w:t>Until ,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773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59"/>
        <w:spacing w:after="0" w:line="287"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 information you should consider in making your investment decision. You should read the entire prospectus carefully before making an investment in our commo stock. You should carefully consider, among other things, our financial statements and the related notes and the sections entitled "Risk Factors" and "Management Discussion and Analysis of Financial Condition and Results of Operations" included elsewhere in this prospectus.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 that often require invasive procedures for an accurate diagnosis – diseases where many healthy patients undergo costly interventions that ultimately prove unnecessar We improve the accuracy of diagnosis at an earlier stage of patient care by deriving clinically actionable genomic information from cytology samples collected in outpatient setting. Our first commercial solution, the Afirma Thyroid FNA Analysis, includes as its centerpiece our Gene Expression Classifier, which we refer to the GEC. The GEC helps physicians reduce the number of unnecessary surgeries by employing a proprietary 142-gene signature to preoperatively determine wheth thyroid nodules previously classified by cytopathology as indeterminate can be reclassified as benign. We have demonstrated the clinical utility and cost effectivene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left="240"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 and performed more than 10,000 GECs to resolve indeterminate cytopathology results. We have obtained positive coverage decisions from Aetna, Humana, Medica and UnitedHealthcare. Collectively, these payers represent more than 100 million covered lives. Additionally, we have entered into a global co-promotion agreeme with Genzyme Corporation, a subsidiary of Sanofi. Our revenue has increased from $2.6 million in 2011 to $17.1 million for the trailing twelve months endin June 30, 2013.</w:t>
      </w:r>
    </w:p>
    <w:p>
      <w:pPr>
        <w:spacing w:after="0" w:line="187"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 analyze the genomic material in these samples have emerged as an important complement to surgical pathology by helping to predict outcomes and guide treatme decisions. Both approaches, however, typically require relatively large quantities of tissue that must be obtained through an invasive surgical procedur Cytopathology, which relies on small samples such as FNAs collected in an outpatient setting, is often the first step in the diagnostic process because it offers minimally invasive and cost-effective alternative to surgery. However, cytology samples tend to be small and non-uniform, which contributes to a relatively high ra of diagnostic ambiguity and results in many patients undergoing surgery to obtain an accurate diagnosis. Molecular diagnostics broadly used today are not designed reduce this ambiguity.</w:t>
      </w:r>
    </w:p>
    <w:p>
      <w:pPr>
        <w:spacing w:after="0" w:line="190" w:lineRule="exact"/>
        <w:rPr>
          <w:sz w:val="20"/>
          <w:szCs w:val="20"/>
          <w:color w:val="auto"/>
        </w:rPr>
      </w:pPr>
    </w:p>
    <w:p>
      <w:pPr>
        <w:jc w:val="both"/>
        <w:ind w:left="240" w:firstLine="523"/>
        <w:spacing w:after="0" w:line="281" w:lineRule="auto"/>
        <w:rPr>
          <w:sz w:val="20"/>
          <w:szCs w:val="20"/>
          <w:color w:val="auto"/>
        </w:rPr>
      </w:pPr>
      <w:r>
        <w:rPr>
          <w:rFonts w:ascii="Arial" w:cs="Arial" w:eastAsia="Arial" w:hAnsi="Arial"/>
          <w:sz w:val="16"/>
          <w:szCs w:val="16"/>
          <w:color w:val="auto"/>
        </w:rPr>
        <w:t>We are building our molecular cytology business by developing molecular diagnostics that yield clinically actionable genomic information from cytolog samples, as opposed to surgical tissue samples. Molecular cytology identifies genomic signatures from cytology samples to inform clinical decisions pre-operativel We believe molecular cytology has the potential to improve patient care while simultaneously lowering costs to the healthcare system in a broad range of are including thyroid, pulmonology, dermatology and reproductive endocrinology. We estimate that the use of molecular diagnostic solutions in thyroid and in thr potential expansion areas could represent an approximately $4.0 billion opportunity. This estimate is based on our internal market assessment, from which w estimated the number of patients with ambiguous diagnostic results that we believe could benefit from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73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using genomic tests, and the estimated price of such tests, which price takes into account the estimated cost savings to payers from avoidance of surgery.</w:t>
      </w:r>
    </w:p>
    <w:p>
      <w:pPr>
        <w:spacing w:after="0" w:line="236" w:lineRule="exact"/>
        <w:rPr>
          <w:sz w:val="20"/>
          <w:szCs w:val="20"/>
          <w:color w:val="auto"/>
        </w:rPr>
      </w:pPr>
    </w:p>
    <w:p>
      <w:pPr>
        <w:jc w:val="both"/>
        <w:ind w:left="240" w:firstLine="474"/>
        <w:spacing w:after="0" w:line="283" w:lineRule="auto"/>
        <w:rPr>
          <w:sz w:val="20"/>
          <w:szCs w:val="20"/>
          <w:color w:val="auto"/>
        </w:rPr>
      </w:pPr>
      <w:r>
        <w:rPr>
          <w:rFonts w:ascii="Arial" w:cs="Arial" w:eastAsia="Arial" w:hAnsi="Arial"/>
          <w:sz w:val="16"/>
          <w:szCs w:val="16"/>
          <w:color w:val="auto"/>
        </w:rPr>
        <w:t>Our strategy is to focus on diseases where a large number of patients undergo invasive and costly diagnostic procedures that could be avoided with a mo accurate diagnosis from a cytology sample taken pre-operatively. In prioritizing our opportunities, we develop a detailed understanding of the unmet clinical need an the shortcomings of the current standard of care. We define the precise clinical question in these diseases that, if informed by genomic information, would alter t standard of care in a way that improves patient outcomes while reducing costs in both the short- and long-term. Only then do we deploy our scientific expertise biomarker discovery and algorithm development to derive a genomic signature that provides meaningful diagnostic information.</w:t>
      </w:r>
    </w:p>
    <w:p>
      <w:pPr>
        <w:spacing w:after="0" w:line="174" w:lineRule="exact"/>
        <w:rPr>
          <w:sz w:val="20"/>
          <w:szCs w:val="20"/>
          <w:color w:val="auto"/>
        </w:rPr>
      </w:pPr>
    </w:p>
    <w:p>
      <w:pPr>
        <w:jc w:val="both"/>
        <w:ind w:left="240" w:firstLine="338"/>
        <w:spacing w:after="0" w:line="277" w:lineRule="auto"/>
        <w:rPr>
          <w:sz w:val="20"/>
          <w:szCs w:val="20"/>
          <w:color w:val="auto"/>
        </w:rPr>
      </w:pPr>
      <w:r>
        <w:rPr>
          <w:rFonts w:ascii="Arial" w:cs="Arial" w:eastAsia="Arial" w:hAnsi="Arial"/>
          <w:sz w:val="16"/>
          <w:szCs w:val="16"/>
          <w:color w:val="auto"/>
        </w:rPr>
        <w:t xml:space="preserve">We developed our first commercial offering, Afirma, to address a significant unmet need in thyroid nodule diagnosis. Thyroid nodules, or bumps under the skin the neck around the thyroid gland, are usually benign; however, patients with nodules are generally referred to an endocrinologist for evaluation. Endocrinologis typically collect cells from the nodule for cytopathology with an FNA and send these samples to a cytopathologist for analysis. According to an abstract presented the American Association of Endocrine Surgeons 2013 Annual Meeting, approximately 525,000 thyroid FNAs were performed in the United States in 2011. T American Thyroid Association, or ATA, guidelines indicate that 15% to 30% of FNAs yield indeterminate results, meaning they cannot be diagnosed as definitive benign or malignant by cytopathology alone. Because the risk of malignancy ranges from 20% to 30%, as referenced in the ATA guidelines, for an indetermina diagnosis, clinical practice guidelines have historically recommended patients with indeterminate cytopathology results undergo surgery to remove part or all of the thyroid to obtain an accurate pathology diagnosis. Accordingly, in 70% to 80% of these cases, the thyroid nodule proves to be benign for cancer. We estimate t average cost of this surgery to be $15,000, and surgery can result in complications and leave a patient in need of hormone replacement therapy for life. We belie Afirma, if fully adopted, could result in over $500 million in direct cost savings to the healthcare system over five years. This estimate is based on a health economi study published in the </w:t>
      </w:r>
      <w:r>
        <w:rPr>
          <w:rFonts w:ascii="Arial" w:cs="Arial" w:eastAsia="Arial" w:hAnsi="Arial"/>
          <w:sz w:val="16"/>
          <w:szCs w:val="16"/>
          <w:i w:val="1"/>
          <w:iCs w:val="1"/>
          <w:color w:val="auto"/>
        </w:rPr>
        <w:t>Journal of Endocrinology and Metabolism</w:t>
      </w:r>
      <w:r>
        <w:rPr>
          <w:rFonts w:ascii="Arial" w:cs="Arial" w:eastAsia="Arial" w:hAnsi="Arial"/>
          <w:sz w:val="16"/>
          <w:szCs w:val="16"/>
          <w:color w:val="auto"/>
        </w:rPr>
        <w:t xml:space="preserve"> in 2011.</w:t>
      </w:r>
    </w:p>
    <w:p>
      <w:pPr>
        <w:spacing w:after="0" w:line="181" w:lineRule="exact"/>
        <w:rPr>
          <w:sz w:val="20"/>
          <w:szCs w:val="20"/>
          <w:color w:val="auto"/>
        </w:rPr>
      </w:pPr>
    </w:p>
    <w:p>
      <w:pPr>
        <w:jc w:val="both"/>
        <w:ind w:left="240" w:firstLine="365"/>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According to a clinical validity study published in </w:t>
      </w:r>
      <w:r>
        <w:rPr>
          <w:rFonts w:ascii="Arial" w:cs="Arial" w:eastAsia="Arial" w:hAnsi="Arial"/>
          <w:sz w:val="16"/>
          <w:szCs w:val="16"/>
          <w:i w:val="1"/>
          <w:iCs w:val="1"/>
          <w:color w:val="auto"/>
        </w:rPr>
        <w:t>The New England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the GEC reduces the number of unnecessary diagnostic surgeries by analyzing the genomic signature of FNA samples judged to be indeterminate 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cytopathology and reclassifies 52% of those nodules to a benign diagnosis. The study authors concluded that the GEC could be useful to physicians in makin important patient care decisions, such as recommending watchful waiting in lieu of diagnostic surgery for patients who receive a GEC benign result followin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2012 covered 368 patients from 51 different endocrinologists. Ea of these patients had both a cytopathology indeterminate result and a GEC benign result. This study found that physicians recommended surgery in only 7.6% of the cases, compared with a historical surgery rate of 74% for patients with indeterminate cytopathology results alone, representing an approximate 90% reduction surgeries for the 52% of patients receiving a GEC benign result. In other words, approximately 90% of the 52% of patients receiving a GEC benign result make t decision to avoid a surgery. We believe the GEC is currently the only diagnostic test that meets the criteria of the National Comprehensive Cancer Network, or NCC for safely monitoring patients with indeterminate cytopathology results in lieu of surgery.</w:t>
      </w:r>
    </w:p>
    <w:p>
      <w:pPr>
        <w:spacing w:after="0" w:line="176" w:lineRule="exact"/>
        <w:rPr>
          <w:sz w:val="20"/>
          <w:szCs w:val="20"/>
          <w:color w:val="auto"/>
        </w:rPr>
      </w:pPr>
    </w:p>
    <w:p>
      <w:pPr>
        <w:jc w:val="both"/>
        <w:ind w:left="240" w:firstLine="398"/>
        <w:spacing w:after="0" w:line="263" w:lineRule="auto"/>
        <w:rPr>
          <w:sz w:val="20"/>
          <w:szCs w:val="20"/>
          <w:color w:val="auto"/>
        </w:rPr>
      </w:pPr>
      <w:r>
        <w:rPr>
          <w:rFonts w:ascii="Arial" w:cs="Arial" w:eastAsia="Arial" w:hAnsi="Arial"/>
          <w:sz w:val="17"/>
          <w:szCs w:val="17"/>
          <w:color w:val="auto"/>
        </w:rPr>
        <w:t>In addition to thyroid cancer, there are many other complex diseases in which cytology samples play a critical role in clinical decision making. As with thyro nodule diagnosis, inherent ambiguity in evaluation of cytopathology samples often results in unnecessary costs and procedures that would be avoidable if a molecul diagnostic test could refine diagnoses reached by cytopathology alone. We are currently developing the Afirma Malignant GEC test for rare forms of thyroid cancer metastases to the thyroid that is intended to better inform surgical strategy. We are also in late biomarker discovery in interstitial lung disease, a group of lung diseas affecting the tissue and space around the microscopic air sacs of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64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596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70" w:lineRule="auto"/>
        <w:rPr>
          <w:sz w:val="20"/>
          <w:szCs w:val="20"/>
          <w:color w:val="auto"/>
        </w:rPr>
      </w:pPr>
      <w:r>
        <w:rPr>
          <w:rFonts w:ascii="Arial" w:cs="Arial" w:eastAsia="Arial" w:hAnsi="Arial"/>
          <w:sz w:val="17"/>
          <w:szCs w:val="17"/>
          <w:color w:val="auto"/>
        </w:rPr>
        <w:t>lungs that are difficult to diagnose prior to surgery. Specifically, we intend to improve the accuracy of diagnosis of idiopathic pulmonary fibrosis, one of the mo progressive, often fatal, interstitial lung diseases, and to provide critical information to physicians and patients as they decide whether to pursue potentially lifesavin treatments or participate in clinical studies.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Highlights</w:t>
      </w:r>
    </w:p>
    <w:p>
      <w:pPr>
        <w:spacing w:after="0" w:line="254" w:lineRule="exact"/>
        <w:rPr>
          <w:sz w:val="20"/>
          <w:szCs w:val="20"/>
          <w:color w:val="auto"/>
        </w:rPr>
      </w:pPr>
    </w:p>
    <w:p>
      <w:pPr>
        <w:jc w:val="both"/>
        <w:ind w:left="1280" w:hanging="524"/>
        <w:spacing w:after="0" w:line="294"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Clinically validated solution with demonstrated utility and significant payer adoption. </w:t>
      </w:r>
      <w:r>
        <w:rPr>
          <w:rFonts w:ascii="Arial" w:cs="Arial" w:eastAsia="Arial" w:hAnsi="Arial"/>
          <w:sz w:val="16"/>
          <w:szCs w:val="16"/>
          <w:color w:val="auto"/>
        </w:rPr>
        <w:t>We have demonstrated the benefits of Afirma in multip</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studies that have been published in leading peer-reviewed publications. As a result of Afirma's demonstrated utility and our managed ca expertise, we have obtained positive coverage decisions from a range of payers, including Aetna, Humana, Medicare and UnitedHealthcare.</w:t>
      </w:r>
    </w:p>
    <w:p>
      <w:pPr>
        <w:spacing w:after="0" w:line="175" w:lineRule="exact"/>
        <w:rPr>
          <w:rFonts w:ascii="Arial" w:cs="Arial" w:eastAsia="Arial" w:hAnsi="Arial"/>
          <w:sz w:val="16"/>
          <w:szCs w:val="16"/>
          <w:color w:val="auto"/>
        </w:rPr>
      </w:pPr>
    </w:p>
    <w:p>
      <w:pPr>
        <w:ind w:left="1280" w:hanging="524"/>
        <w:spacing w:after="0" w:line="280"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Large, underserved specialty markets. </w:t>
      </w:r>
      <w:r>
        <w:rPr>
          <w:rFonts w:ascii="Arial" w:cs="Arial" w:eastAsia="Arial" w:hAnsi="Arial"/>
          <w:sz w:val="16"/>
          <w:szCs w:val="16"/>
          <w:color w:val="auto"/>
        </w:rPr>
        <w:t>Approximately 525,000 thyroid FNAs were performed in the United States in 2011, by an estimated 3,50</w:t>
      </w:r>
      <w:r>
        <w:rPr>
          <w:rFonts w:ascii="Arial" w:cs="Arial" w:eastAsia="Arial" w:hAnsi="Arial"/>
          <w:sz w:val="16"/>
          <w:szCs w:val="16"/>
          <w:i w:val="1"/>
          <w:iCs w:val="1"/>
          <w:color w:val="auto"/>
        </w:rPr>
        <w:t xml:space="preserve"> </w:t>
      </w:r>
      <w:r>
        <w:rPr>
          <w:rFonts w:ascii="Arial" w:cs="Arial" w:eastAsia="Arial" w:hAnsi="Arial"/>
          <w:sz w:val="16"/>
          <w:szCs w:val="16"/>
          <w:color w:val="auto"/>
        </w:rPr>
        <w:t>endocrinologists whom we believe specialize in thyroid disease. We estimate the thyroid nodule diagnostic market to be approximately $500 millio per year in the United States and approximately $300 million outside of the United States. Our domestic estimate is based on FNA volume and t estimated reimbursement per test for both cytology and the GEC. Our international estimate is based on our research in our primary international targ markets. We believe we can effectively market Afirma with a small specialty sales force, in part because Afirma represents a significant innovation the underserved thyroid cancer diagnostic market. Because Afirma represents a significant innovation for this underserved and relatively concentrate base of physicians, we believe we can effectively market Afirma with a small specialty sales force.</w:t>
      </w:r>
    </w:p>
    <w:p>
      <w:pPr>
        <w:spacing w:after="0" w:line="188" w:lineRule="exact"/>
        <w:rPr>
          <w:rFonts w:ascii="Arial" w:cs="Arial" w:eastAsia="Arial" w:hAnsi="Arial"/>
          <w:sz w:val="16"/>
          <w:szCs w:val="16"/>
          <w:color w:val="auto"/>
        </w:rPr>
      </w:pPr>
    </w:p>
    <w:p>
      <w:pPr>
        <w:jc w:val="both"/>
        <w:ind w:left="1280" w:hanging="524"/>
        <w:spacing w:after="0" w:line="303" w:lineRule="auto"/>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Turnkey solution that drives customer retention. </w:t>
      </w:r>
      <w:r>
        <w:rPr>
          <w:rFonts w:ascii="Arial" w:cs="Arial" w:eastAsia="Arial" w:hAnsi="Arial"/>
          <w:sz w:val="15"/>
          <w:szCs w:val="15"/>
          <w:color w:val="auto"/>
        </w:rPr>
        <w:t>We market Afirma as a comprehensive offering that combines cytopathology with the GEC. Afirm</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diagnostic process for physicians while optimizing utilization of our molecular diagnostic to maximize clinical benefits for patients a cost savings for payers. We believe these characteristics are key drivers of a physician's decision to convert their existing FNA protocol to Afirm Since we commercially launched Afirma in 2011, more than 80% of physicians who ordered five or more Afirma tests in 2011 remain customers toda As a result, our targeted sales force devotes fewer resources to maintaining business with our existing base of physicians and instead focuses on drivin adoption of Afirma among new customers. We intend to duplicate this model with solutions we develop for other diseases.</w:t>
      </w:r>
    </w:p>
    <w:p>
      <w:pPr>
        <w:spacing w:after="0" w:line="187" w:lineRule="exact"/>
        <w:rPr>
          <w:rFonts w:ascii="Arial" w:cs="Arial" w:eastAsia="Arial" w:hAnsi="Arial"/>
          <w:sz w:val="15"/>
          <w:szCs w:val="15"/>
          <w:color w:val="auto"/>
        </w:rPr>
      </w:pPr>
    </w:p>
    <w:p>
      <w:pPr>
        <w:jc w:val="both"/>
        <w:ind w:left="1280" w:hanging="524"/>
        <w:spacing w:after="0" w:line="265"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Demonstrated core competencies leverageable across multiple products. </w:t>
      </w:r>
      <w:r>
        <w:rPr>
          <w:rFonts w:ascii="Arial" w:cs="Arial" w:eastAsia="Arial" w:hAnsi="Arial"/>
          <w:sz w:val="17"/>
          <w:szCs w:val="17"/>
          <w:color w:val="auto"/>
        </w:rPr>
        <w:t>We successfully advanced Afirma from the concept stage in early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product with broad physician and payer adoption today. We believe our expertise in disease selection, genomic signature discovery, clinic study design, commercialization and managed care, all of which we have demonstrated with the success of Afirma, will allow us to establish molecul cytology solutions in a range of diseases.</w:t>
      </w:r>
    </w:p>
    <w:p>
      <w:pPr>
        <w:spacing w:after="0" w:line="198" w:lineRule="exact"/>
        <w:rPr>
          <w:rFonts w:ascii="Arial" w:cs="Arial" w:eastAsia="Arial" w:hAnsi="Arial"/>
          <w:sz w:val="17"/>
          <w:szCs w:val="17"/>
          <w:color w:val="auto"/>
        </w:rPr>
      </w:pPr>
    </w:p>
    <w:p>
      <w:pPr>
        <w:ind w:left="1280" w:hanging="524"/>
        <w:spacing w:after="0" w:line="263"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with multiple high-value solutions. </w:t>
      </w:r>
      <w:r>
        <w:rPr>
          <w:rFonts w:ascii="Arial" w:cs="Arial" w:eastAsia="Arial" w:hAnsi="Arial"/>
          <w:sz w:val="17"/>
          <w:szCs w:val="17"/>
          <w:color w:val="auto"/>
        </w:rPr>
        <w:t>We believe we are well-positioned to introduce multiple new products in the near- and mediu</w:t>
      </w:r>
      <w:r>
        <w:rPr>
          <w:rFonts w:ascii="Arial" w:cs="Arial" w:eastAsia="Arial" w:hAnsi="Arial"/>
          <w:sz w:val="17"/>
          <w:szCs w:val="17"/>
          <w:i w:val="1"/>
          <w:iCs w:val="1"/>
          <w:color w:val="auto"/>
        </w:rPr>
        <w:t xml:space="preserve"> </w:t>
      </w:r>
      <w:r>
        <w:rPr>
          <w:rFonts w:ascii="Arial" w:cs="Arial" w:eastAsia="Arial" w:hAnsi="Arial"/>
          <w:sz w:val="17"/>
          <w:szCs w:val="17"/>
          <w:color w:val="auto"/>
        </w:rPr>
        <w:t>term. In the second quarter of 2014, we plan to introduce the Afirma Malignant GEC, our first product line extension for Afirma, to help guide surgic strategy for the treatment of medullary thyroid cancer and other rare and metastatic forms of thyroid cancer. We plan to commercialize our first produ for interstitial lung disease in 2016 and believe this product will serve as the foundational application to expand our molecular cytology platform to t treatment of lung disease.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ind w:left="240" w:firstLine="497"/>
        <w:spacing w:after="0" w:line="315"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 samples. Molecular cytology combines the screening benefits of a minimally invasive cytology sample with genomic information to inform disease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06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80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83" w:lineRule="auto"/>
        <w:rPr>
          <w:sz w:val="20"/>
          <w:szCs w:val="20"/>
          <w:color w:val="auto"/>
        </w:rPr>
      </w:pPr>
      <w:r>
        <w:rPr>
          <w:rFonts w:ascii="Arial" w:cs="Arial" w:eastAsia="Arial" w:hAnsi="Arial"/>
          <w:sz w:val="16"/>
          <w:szCs w:val="16"/>
          <w:color w:val="auto"/>
        </w:rPr>
        <w:t>diagnosis or treatment decisions pre-operatively. We focus on diseases in which a large number of patients undergo invasive and costly diagnostic procedures th could be avoided with a more accurate diagnosis from a cytology sample taken prior to surgery. Positioning our test as an alternative to an invasive procedure allow us to efficiently validate the accuracy of our diagnostic test by comparing our test results to those obtained using the more invasive approach. Armed with clinical da that supports the use of molecular cytology in lieu of a more invasive or costly procedure, we believe we are well-positioned to support clinical studies th demonstrate how our products change the standard of care, improve patient outcomes and reduce costs.</w:t>
      </w:r>
    </w:p>
    <w:p>
      <w:pPr>
        <w:spacing w:after="0" w:line="174" w:lineRule="exact"/>
        <w:rPr>
          <w:sz w:val="20"/>
          <w:szCs w:val="20"/>
          <w:color w:val="auto"/>
        </w:rPr>
      </w:pPr>
    </w:p>
    <w:p>
      <w:pPr>
        <w:jc w:val="both"/>
        <w:ind w:left="240" w:firstLine="449"/>
        <w:spacing w:after="0" w:line="265" w:lineRule="auto"/>
        <w:rPr>
          <w:sz w:val="20"/>
          <w:szCs w:val="20"/>
          <w:color w:val="auto"/>
        </w:rPr>
      </w:pPr>
      <w:r>
        <w:rPr>
          <w:rFonts w:ascii="Arial" w:cs="Arial" w:eastAsia="Arial" w:hAnsi="Arial"/>
          <w:sz w:val="17"/>
          <w:szCs w:val="17"/>
          <w:color w:val="auto"/>
        </w:rPr>
        <w:t>In contrast to molecular diagnostics developed for surgical tissue, we have developed the expertise to solve many of the technical challenges associated wi generating analytically valid and clinically relevant genomic information from smaller, heterogeneous cytology samples. To this end, we use a whole-genom approach for gene selection and proprietary machine-learning algorithms with statistical methods to identify the genomic signature that achieves the desire performance.</w:t>
      </w:r>
    </w:p>
    <w:p>
      <w:pPr>
        <w:spacing w:after="0" w:line="185" w:lineRule="exact"/>
        <w:rPr>
          <w:sz w:val="20"/>
          <w:szCs w:val="20"/>
          <w:color w:val="auto"/>
        </w:rPr>
      </w:pPr>
    </w:p>
    <w:p>
      <w:pPr>
        <w:jc w:val="both"/>
        <w:ind w:left="240" w:firstLine="354"/>
        <w:spacing w:after="0" w:line="303" w:lineRule="auto"/>
        <w:rPr>
          <w:sz w:val="20"/>
          <w:szCs w:val="20"/>
          <w:color w:val="auto"/>
        </w:rPr>
      </w:pPr>
      <w:r>
        <w:rPr>
          <w:rFonts w:ascii="Arial" w:cs="Arial" w:eastAsia="Arial" w:hAnsi="Arial"/>
          <w:sz w:val="15"/>
          <w:szCs w:val="15"/>
          <w:color w:val="auto"/>
        </w:rPr>
        <w:t>Afirma is our first laboratory-developed commercial solution based on our molecular cytology platform. We drive physician adoption and retention by marketin Afirma as the centerpiece of a comprehensive solution for improved disease diagnosis, which allows our offering to seamlessly integrate into a physician's practi workflow. We offer Afirma to physicians as a turnkey solution that combines cytopathology for every patient with our molecular diagnostic test when cytopatholog yields ambiguous results. Our solution includes a complete patient report that helps guide decision making. By integrating disparate diagnostic procedures into on comprehensive offering, we can simplify and improve the diagnostic process for physicians and their patients while optimizing utilization of our molecular diagnosti to maximize clinical benefits and cost savings. We intend to duplicate this model with solutions we develop for other diseases.</w:t>
      </w:r>
    </w:p>
    <w:p>
      <w:pPr>
        <w:spacing w:after="0" w:line="162" w:lineRule="exact"/>
        <w:rPr>
          <w:sz w:val="20"/>
          <w:szCs w:val="20"/>
          <w:color w:val="auto"/>
        </w:rPr>
      </w:pPr>
    </w:p>
    <w:p>
      <w:pPr>
        <w:jc w:val="both"/>
        <w:ind w:left="240"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 team combines expertise in advocating for positive coverage decisions with specific insights into what tactical steps will maximize reimbursement from each payer. A a result, we have developed detailed knowledge of the intricacies of specific payer practices and requirements, which informs our strategy across disease selectio clinical study design, marketing and sales.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Advantages of Afirma FNA Analysis for Stakeholders</w:t>
      </w:r>
    </w:p>
    <w:p>
      <w:pPr>
        <w:spacing w:after="0" w:line="254" w:lineRule="exact"/>
        <w:rPr>
          <w:sz w:val="20"/>
          <w:szCs w:val="20"/>
          <w:color w:val="auto"/>
        </w:rPr>
      </w:pPr>
    </w:p>
    <w:p>
      <w:pPr>
        <w:jc w:val="both"/>
        <w:ind w:left="1280" w:hanging="524"/>
        <w:spacing w:after="0" w:line="26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patients. </w:t>
      </w:r>
      <w:r>
        <w:rPr>
          <w:rFonts w:ascii="Arial" w:cs="Arial" w:eastAsia="Arial" w:hAnsi="Arial"/>
          <w:sz w:val="17"/>
          <w:szCs w:val="17"/>
          <w:color w:val="auto"/>
        </w:rPr>
        <w:t>With the GEC, approximately half of the patients with indeterminate cytology results that are reclassified to benign may avo</w:t>
      </w:r>
      <w:r>
        <w:rPr>
          <w:rFonts w:ascii="Arial" w:cs="Arial" w:eastAsia="Arial" w:hAnsi="Arial"/>
          <w:sz w:val="17"/>
          <w:szCs w:val="17"/>
          <w:i w:val="1"/>
          <w:iCs w:val="1"/>
          <w:color w:val="auto"/>
        </w:rPr>
        <w:t xml:space="preserve"> </w:t>
      </w:r>
      <w:r>
        <w:rPr>
          <w:rFonts w:ascii="Arial" w:cs="Arial" w:eastAsia="Arial" w:hAnsi="Arial"/>
          <w:sz w:val="17"/>
          <w:szCs w:val="17"/>
          <w:color w:val="auto"/>
        </w:rPr>
        <w:t>invasive diagnostic surgery. Patients who obtain an Afirma benign result avoid the potential for surgery-related complications, the effects of life-lon hormone replacement therapy and the associated costs. Of the approximately 525,000 FNAs performed in the United States in 2011, we estimate th approximately 115,000 yielded an indeterminate result.</w:t>
      </w:r>
    </w:p>
    <w:p>
      <w:pPr>
        <w:spacing w:after="0" w:line="198" w:lineRule="exact"/>
        <w:rPr>
          <w:rFonts w:ascii="Arial" w:cs="Arial" w:eastAsia="Arial" w:hAnsi="Arial"/>
          <w:sz w:val="17"/>
          <w:szCs w:val="17"/>
          <w:color w:val="auto"/>
        </w:rPr>
      </w:pPr>
    </w:p>
    <w:p>
      <w:pPr>
        <w:jc w:val="both"/>
        <w:ind w:left="1280" w:right="20" w:hanging="524"/>
        <w:spacing w:after="0" w:line="26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physicians. </w:t>
      </w:r>
      <w:r>
        <w:rPr>
          <w:rFonts w:ascii="Arial" w:cs="Arial" w:eastAsia="Arial" w:hAnsi="Arial"/>
          <w:sz w:val="17"/>
          <w:szCs w:val="17"/>
          <w:color w:val="auto"/>
        </w:rPr>
        <w:t>Afirma enables every physician, regardless of practice setting, to offer his or her patients access to advanced technology for t</w:t>
      </w:r>
      <w:r>
        <w:rPr>
          <w:rFonts w:ascii="Arial" w:cs="Arial" w:eastAsia="Arial" w:hAnsi="Arial"/>
          <w:sz w:val="17"/>
          <w:szCs w:val="17"/>
          <w:i w:val="1"/>
          <w:iCs w:val="1"/>
          <w:color w:val="auto"/>
        </w:rPr>
        <w:t xml:space="preserve"> </w:t>
      </w:r>
      <w:r>
        <w:rPr>
          <w:rFonts w:ascii="Arial" w:cs="Arial" w:eastAsia="Arial" w:hAnsi="Arial"/>
          <w:sz w:val="17"/>
          <w:szCs w:val="17"/>
          <w:color w:val="auto"/>
        </w:rPr>
        <w:t>diagnosis and management of thyroid nodules. Afirma does not introduce any new steps into the physician's patient-care routine and often simplifi their workflow. In addition, our cytopathology provider, Thyroid Cytology Partners, is a specialized practice focused solely on performing thyro FNAs and meets high-quality standards with short turnaround times.</w:t>
      </w:r>
    </w:p>
    <w:p>
      <w:pPr>
        <w:spacing w:after="0" w:line="198" w:lineRule="exact"/>
        <w:rPr>
          <w:rFonts w:ascii="Arial" w:cs="Arial" w:eastAsia="Arial" w:hAnsi="Arial"/>
          <w:sz w:val="17"/>
          <w:szCs w:val="17"/>
          <w:color w:val="auto"/>
        </w:rPr>
      </w:pPr>
    </w:p>
    <w:p>
      <w:pPr>
        <w:ind w:left="1280" w:hanging="524"/>
        <w:spacing w:after="0" w:line="26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payers. </w:t>
      </w:r>
      <w:r>
        <w:rPr>
          <w:rFonts w:ascii="Arial" w:cs="Arial" w:eastAsia="Arial" w:hAnsi="Arial"/>
          <w:sz w:val="17"/>
          <w:szCs w:val="17"/>
          <w:color w:val="auto"/>
        </w:rPr>
        <w:t>Payers differentiate themselves by offering their insured the most advanced care available in medicine. However, payers are 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increased pressure to contain rising healthcare costs. Afirma allows payers to provide advanced care at a cost lower than the current standard care. The first peer-reviewed economic impact study, published in the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xml:space="preserve"> in 2011, concluded th routine use of the GEC in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80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698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80"/>
        <w:spacing w:after="0" w:line="270" w:lineRule="auto"/>
        <w:rPr>
          <w:sz w:val="20"/>
          <w:szCs w:val="20"/>
          <w:color w:val="auto"/>
        </w:rPr>
      </w:pPr>
      <w:r>
        <w:rPr>
          <w:rFonts w:ascii="Arial" w:cs="Arial" w:eastAsia="Arial" w:hAnsi="Arial"/>
          <w:sz w:val="17"/>
          <w:szCs w:val="17"/>
          <w:color w:val="auto"/>
        </w:rPr>
        <w:t xml:space="preserve">would prevent tens of thousands of surgeries each year. Based on our estimate of the average costs of surgery of $15,000 as well as the findings fro this study and the clinical utility study published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in 2012, we believe full adoption of Afirma would result in over $500 million in direct co savings to the healthcare system over five years.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left="240" w:right="40" w:firstLine="446"/>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generating significant cost savings for t healthcare system.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strategy includes the following key elements:</w:t>
      </w:r>
    </w:p>
    <w:p>
      <w:pPr>
        <w:spacing w:after="0" w:line="250" w:lineRule="exact"/>
        <w:rPr>
          <w:sz w:val="20"/>
          <w:szCs w:val="20"/>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Accelerate the growth of Afirma by expanding our base of prescribing physicians and achieving broader reimbursement.</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our novel molecular diagnostic tests as the centerpiece of a comprehensive patient-care solution.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Drive cost and capital efficiencies by offering turnkey solutions to physicians in specialty markets.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Broaden our addressable market in endocrinology by leveraging our thyroid expertise to introduce new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Capitalize on our demonstrated core competencies to expand molecular cytology to additional diseases.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firstLine="431"/>
        <w:spacing w:after="0" w:line="270" w:lineRule="auto"/>
        <w:rPr>
          <w:sz w:val="20"/>
          <w:szCs w:val="20"/>
          <w:color w:val="auto"/>
        </w:rPr>
      </w:pPr>
      <w:r>
        <w:rPr>
          <w:rFonts w:ascii="Arial" w:cs="Arial" w:eastAsia="Arial" w:hAnsi="Arial"/>
          <w:sz w:val="17"/>
          <w:szCs w:val="17"/>
          <w:color w:val="auto"/>
        </w:rPr>
        <w:t>Our business is subject to numerous risks and uncertainties, including those identified in "Risk Factors" immediately following this prospectus summary. Yo should read these risks before you invest in our common stock. We may be unable, for many reasons, including those that are beyond our control, to implement o business strategy. In particular, risks associated with our business include:</w:t>
      </w:r>
    </w:p>
    <w:p>
      <w:pPr>
        <w:spacing w:after="0" w:line="192" w:lineRule="exact"/>
        <w:rPr>
          <w:sz w:val="20"/>
          <w:szCs w:val="20"/>
          <w:color w:val="auto"/>
        </w:rPr>
      </w:pPr>
    </w:p>
    <w:p>
      <w:pPr>
        <w:ind w:left="128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an early-stage company with a history of losses, and we expect to incur net losses for the foreseeable future and may never achieve or susta profitability.</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financial results depend solely on sales of Afirma, and we will need to generate sufficient revenue from this and other diagnostic solutions to gro our business.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Medicare, Aetna and UnitedHealthcare for a significant portion of our revenue and if one or more significant payers stop providin reimbursement or decrease the amount of reimbursement for our tests, our revenue could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payers do not provide reimbursement, rescind or modify their reimbursement policies or delay payments for our tests, or if we are unable successfully negotiate reimbursement contracts, our commercial success could be compromised.</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experience limits on our revenue if physicians decide not to order Afirma.</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 of our relationship with Genzyme to co-promote Afirma may have a significant effect on our business.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Because we do not recognize a significant portion of our revenue on an accrual basis, our quarterly operating results are likely to fluctuate.</w:t>
      </w:r>
    </w:p>
    <w:p>
      <w:pPr>
        <w:spacing w:after="0" w:line="261"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sole suppliers for some of the reagents, equipment, chips and other materials used in Afirma, and we may not be able to find replacemen or transition to alternative suppliers.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34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434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on a specialized cytopathology practice to perform the cytopathology component of Afirma, and our ability to perform our diagnost solution would be harmed if we were required to secure a replacement.</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support demand for Afirma or any of our future products or solutions, our business could suffer.</w:t>
      </w:r>
    </w:p>
    <w:p>
      <w:pPr>
        <w:spacing w:after="0" w:line="237"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FDA were to begin regulating our tests, we could incur substantial costs and delays associated with trying to obtain premarket clearance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jc w:val="both"/>
        <w:ind w:left="240" w:firstLine="558"/>
        <w:spacing w:after="0" w:line="265" w:lineRule="auto"/>
        <w:rPr>
          <w:sz w:val="20"/>
          <w:szCs w:val="20"/>
          <w:color w:val="auto"/>
        </w:rPr>
      </w:pPr>
      <w:r>
        <w:rPr>
          <w:rFonts w:ascii="Arial" w:cs="Arial" w:eastAsia="Arial" w:hAnsi="Arial"/>
          <w:sz w:val="17"/>
          <w:szCs w:val="17"/>
          <w:color w:val="auto"/>
        </w:rPr>
        <w:t>We were incorporated in Delaware as Calderome, Inc. in August 2006. Calderome operated as an incubator until early 2008. We changed our name Veracyte, Inc. in March 2008. Our principal executive offices are located at 7000 Shoreline Court, Suite 250, South San Francisco, California 94080 and our telepho number is (650) 243-6300. Our website address is www.veracyte.com. We do not incorporate the information on, or accessible through, our website into th prospectus, and you should not consider any information on, or accessible through, our website as part of this prospectus.</w:t>
      </w:r>
    </w:p>
    <w:p>
      <w:pPr>
        <w:spacing w:after="0" w:line="185" w:lineRule="exact"/>
        <w:rPr>
          <w:sz w:val="20"/>
          <w:szCs w:val="20"/>
          <w:color w:val="auto"/>
        </w:rPr>
      </w:pPr>
    </w:p>
    <w:p>
      <w:pPr>
        <w:jc w:val="both"/>
        <w:ind w:left="240" w:firstLine="425"/>
        <w:spacing w:after="0" w:line="322" w:lineRule="auto"/>
        <w:rPr>
          <w:sz w:val="20"/>
          <w:szCs w:val="20"/>
          <w:color w:val="auto"/>
        </w:rPr>
      </w:pPr>
      <w:r>
        <w:rPr>
          <w:rFonts w:ascii="Arial" w:cs="Arial" w:eastAsia="Arial" w:hAnsi="Arial"/>
          <w:sz w:val="15"/>
          <w:szCs w:val="15"/>
          <w:color w:val="auto"/>
        </w:rPr>
        <w:t>Unless the context indicates otherwise, as used in this prospectus, the terms "Veracyte," "Company," "we," "us" and "our" refer to Veracyte, Inc. Veracyte an Afirma are our trademarks. This prospectus also contains trademarks and trade names that are the property of their respective owners. We do not intend our use display of other companies' trade names, trademarks or service marks to imply relationships with, or endorsements or sponsorship of us by, these other companies.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Reverse Stock Split</w:t>
      </w:r>
    </w:p>
    <w:p>
      <w:pPr>
        <w:spacing w:after="0" w:line="228" w:lineRule="exact"/>
        <w:rPr>
          <w:sz w:val="20"/>
          <w:szCs w:val="20"/>
          <w:color w:val="auto"/>
        </w:rPr>
      </w:pPr>
    </w:p>
    <w:p>
      <w:pPr>
        <w:jc w:val="both"/>
        <w:ind w:left="240" w:firstLine="486"/>
        <w:spacing w:after="0" w:line="280" w:lineRule="auto"/>
        <w:rPr>
          <w:sz w:val="20"/>
          <w:szCs w:val="20"/>
          <w:color w:val="auto"/>
        </w:rPr>
      </w:pPr>
      <w:r>
        <w:rPr>
          <w:rFonts w:ascii="Arial" w:cs="Arial" w:eastAsia="Arial" w:hAnsi="Arial"/>
          <w:sz w:val="16"/>
          <w:szCs w:val="16"/>
          <w:color w:val="auto"/>
        </w:rPr>
        <w:t>On October 9, 2013, we effected a 4-for-1 reverse split of our outstanding common stock. The par value per share and the authorized number of shares common stock and preferred stock were not adjusted as a result of the reverse stock split. All references to issued and outstanding shares of common stock, options purchase common stock and related per share amounts in this prospectus have been retroactively adjusted to reflect the reverse stock split for all periods presented. proportional adjustment to the conversion ratio for each series of preferred stock was also effected in connection with the reverse stock split. Unless otherwi indicated, the information in this prospectus does not give effect to the automatic conversion of the preferred stock upon the closing of this offering. Accordingl unless otherwise indicated, the proportional adjustment to the preferred stock conversion ratio and resulting number of shares of common stock to be issued upo conversion of the preferred stock into common stock upon the closing of the offering have not been retroactively adjusted.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48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584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60" w:type="dxa"/>
            <w:vAlign w:val="bottom"/>
          </w:tcPr>
          <w:p>
            <w:pPr>
              <w:ind w:left="600"/>
              <w:spacing w:after="0"/>
              <w:rPr>
                <w:sz w:val="20"/>
                <w:szCs w:val="20"/>
                <w:color w:val="auto"/>
              </w:rPr>
            </w:pPr>
            <w:r>
              <w:rPr>
                <w:rFonts w:ascii="Arial" w:cs="Arial" w:eastAsia="Arial" w:hAnsi="Arial"/>
                <w:sz w:val="17"/>
                <w:szCs w:val="17"/>
                <w:b w:val="1"/>
                <w:bCs w:val="1"/>
                <w:color w:val="auto"/>
              </w:rPr>
              <w:t>THE OFFERING</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4,700,000 shares</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2"/>
              </w:rPr>
              <w:t>20,689,890 shares (21,394,890 shares if the underwriters exercise their over-allotment option in full)</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Over-allotment option</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0"/>
              </w:rPr>
              <w:t>We have granted to the underwriters the option, exercisable for 30 days from the date of this prospectu</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to purchase up to 705,000 additional shares of common stock.</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Use of proceeds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We currently intend to use the net proceeds from this offering as follows:</w:t>
            </w:r>
          </w:p>
        </w:tc>
      </w:tr>
      <w:tr>
        <w:trPr>
          <w:trHeight w:val="440"/>
        </w:trPr>
        <w:tc>
          <w:tcPr>
            <w:tcW w:w="390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Arial" w:cs="Arial" w:eastAsia="Arial" w:hAnsi="Arial"/>
                <w:sz w:val="21"/>
                <w:szCs w:val="21"/>
                <w:color w:val="auto"/>
              </w:rPr>
              <w:t>•</w:t>
            </w:r>
          </w:p>
        </w:tc>
        <w:tc>
          <w:tcPr>
            <w:tcW w:w="6860" w:type="dxa"/>
            <w:vAlign w:val="bottom"/>
          </w:tcPr>
          <w:p>
            <w:pPr>
              <w:ind w:left="60"/>
              <w:spacing w:after="0"/>
              <w:rPr>
                <w:sz w:val="20"/>
                <w:szCs w:val="20"/>
                <w:color w:val="auto"/>
              </w:rPr>
            </w:pPr>
            <w:r>
              <w:rPr>
                <w:rFonts w:ascii="Arial" w:cs="Arial" w:eastAsia="Arial" w:hAnsi="Arial"/>
                <w:sz w:val="17"/>
                <w:szCs w:val="17"/>
                <w:color w:val="auto"/>
                <w:w w:val="96"/>
              </w:rPr>
              <w:t>approximately $20.0 million for selling and marketing activities, including expansion of our sal</w:t>
            </w: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Arial" w:cs="Arial" w:eastAsia="Arial" w:hAnsi="Arial"/>
                <w:sz w:val="17"/>
                <w:szCs w:val="17"/>
                <w:color w:val="auto"/>
              </w:rPr>
              <w:t>force to support the ongoing commercialization of our products;</w:t>
            </w:r>
          </w:p>
        </w:tc>
      </w:tr>
      <w:tr>
        <w:trPr>
          <w:trHeight w:val="440"/>
        </w:trPr>
        <w:tc>
          <w:tcPr>
            <w:tcW w:w="390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Arial" w:cs="Arial" w:eastAsia="Arial" w:hAnsi="Arial"/>
                <w:sz w:val="21"/>
                <w:szCs w:val="21"/>
                <w:color w:val="auto"/>
              </w:rPr>
              <w:t>•</w:t>
            </w:r>
          </w:p>
        </w:tc>
        <w:tc>
          <w:tcPr>
            <w:tcW w:w="6860" w:type="dxa"/>
            <w:vAlign w:val="bottom"/>
          </w:tcPr>
          <w:p>
            <w:pPr>
              <w:ind w:left="60"/>
              <w:spacing w:after="0"/>
              <w:rPr>
                <w:sz w:val="20"/>
                <w:szCs w:val="20"/>
                <w:color w:val="auto"/>
              </w:rPr>
            </w:pPr>
            <w:r>
              <w:rPr>
                <w:rFonts w:ascii="Arial" w:cs="Arial" w:eastAsia="Arial" w:hAnsi="Arial"/>
                <w:sz w:val="17"/>
                <w:szCs w:val="17"/>
                <w:color w:val="auto"/>
                <w:w w:val="96"/>
              </w:rPr>
              <w:t>approximately $20.0 million for research and development, including medical and clinical cost</w:t>
            </w: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Arial" w:cs="Arial" w:eastAsia="Arial" w:hAnsi="Arial"/>
                <w:sz w:val="17"/>
                <w:szCs w:val="17"/>
                <w:color w:val="auto"/>
                <w:w w:val="92"/>
              </w:rPr>
              <w:t>related to the continued support of Afirma as well as the development of our product pipeline; and</w:t>
            </w:r>
          </w:p>
        </w:tc>
      </w:tr>
      <w:tr>
        <w:trPr>
          <w:trHeight w:val="440"/>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21"/>
                <w:szCs w:val="21"/>
                <w:color w:val="auto"/>
                <w:w w:val="98"/>
              </w:rPr>
              <w:t xml:space="preserve">• </w:t>
            </w:r>
            <w:r>
              <w:rPr>
                <w:rFonts w:ascii="Arial" w:cs="Arial" w:eastAsia="Arial" w:hAnsi="Arial"/>
                <w:sz w:val="17"/>
                <w:szCs w:val="17"/>
                <w:color w:val="auto"/>
                <w:w w:val="98"/>
              </w:rPr>
              <w:t>the remainder for general and administrative expenses (including compensation of officers a</w:t>
            </w:r>
          </w:p>
        </w:tc>
      </w:tr>
      <w:tr>
        <w:trPr>
          <w:trHeight w:val="210"/>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Arial" w:cs="Arial" w:eastAsia="Arial" w:hAnsi="Arial"/>
                <w:sz w:val="17"/>
                <w:szCs w:val="17"/>
                <w:color w:val="auto"/>
                <w:w w:val="92"/>
              </w:rPr>
              <w:t>directors and other personnel-related costs and the costs of operating as a public company), and f</w:t>
            </w: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Arial" w:cs="Arial" w:eastAsia="Arial" w:hAnsi="Arial"/>
                <w:sz w:val="17"/>
                <w:szCs w:val="17"/>
                <w:color w:val="auto"/>
              </w:rPr>
              <w:t>working capital and other general corporate purposes.</w:t>
            </w:r>
          </w:p>
        </w:tc>
      </w:tr>
      <w:tr>
        <w:trPr>
          <w:trHeight w:val="419"/>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See "Use of Proceeds" for additional information.</w:t>
            </w:r>
          </w:p>
        </w:tc>
      </w:tr>
      <w:tr>
        <w:trPr>
          <w:trHeight w:val="413"/>
        </w:trPr>
        <w:tc>
          <w:tcPr>
            <w:tcW w:w="3900" w:type="dxa"/>
            <w:vAlign w:val="bottom"/>
          </w:tcPr>
          <w:p>
            <w:pPr>
              <w:spacing w:after="0"/>
              <w:rPr>
                <w:sz w:val="20"/>
                <w:szCs w:val="20"/>
                <w:color w:val="auto"/>
              </w:rPr>
            </w:pPr>
            <w:r>
              <w:rPr>
                <w:rFonts w:ascii="Arial" w:cs="Arial" w:eastAsia="Arial" w:hAnsi="Arial"/>
                <w:sz w:val="17"/>
                <w:szCs w:val="17"/>
                <w:color w:val="auto"/>
              </w:rPr>
              <w:t>Risk factors</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3"/>
              </w:rPr>
              <w:t>See "Risk Factors" beginning on page 12 and the other information included in this prospectus for a</w:t>
            </w:r>
          </w:p>
        </w:tc>
      </w:tr>
      <w:tr>
        <w:trPr>
          <w:trHeight w:val="216"/>
        </w:trPr>
        <w:tc>
          <w:tcPr>
            <w:tcW w:w="3900" w:type="dxa"/>
            <w:vAlign w:val="bottom"/>
          </w:tcPr>
          <w:p>
            <w:pPr>
              <w:spacing w:after="0"/>
              <w:rPr>
                <w:sz w:val="18"/>
                <w:szCs w:val="18"/>
                <w:color w:val="auto"/>
              </w:rPr>
            </w:pP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w w:val="94"/>
              </w:rPr>
              <w:t>discussion of factors you should consider carefully before deciding to invest in our common stock.</w:t>
            </w:r>
          </w:p>
        </w:tc>
      </w:tr>
      <w:tr>
        <w:trPr>
          <w:trHeight w:val="419"/>
        </w:trPr>
        <w:tc>
          <w:tcPr>
            <w:tcW w:w="390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7380" w:type="dxa"/>
            <w:vAlign w:val="bottom"/>
            <w:gridSpan w:val="2"/>
          </w:tcPr>
          <w:p>
            <w:pPr>
              <w:ind w:left="400"/>
              <w:spacing w:after="0"/>
              <w:rPr>
                <w:sz w:val="20"/>
                <w:szCs w:val="20"/>
                <w:color w:val="auto"/>
              </w:rPr>
            </w:pPr>
            <w:r>
              <w:rPr>
                <w:rFonts w:ascii="Arial" w:cs="Arial" w:eastAsia="Arial" w:hAnsi="Arial"/>
                <w:sz w:val="17"/>
                <w:szCs w:val="17"/>
                <w:color w:val="auto"/>
              </w:rPr>
              <w:t>VCYT</w:t>
            </w:r>
          </w:p>
        </w:tc>
      </w:tr>
    </w:tbl>
    <w:p>
      <w:pPr>
        <w:spacing w:after="0" w:line="204" w:lineRule="exact"/>
        <w:rPr>
          <w:sz w:val="20"/>
          <w:szCs w:val="20"/>
          <w:color w:val="auto"/>
        </w:rPr>
      </w:pPr>
    </w:p>
    <w:p>
      <w:pPr>
        <w:jc w:val="both"/>
        <w:ind w:left="240" w:firstLine="419"/>
        <w:spacing w:after="0" w:line="282" w:lineRule="auto"/>
        <w:rPr>
          <w:sz w:val="20"/>
          <w:szCs w:val="20"/>
          <w:color w:val="auto"/>
        </w:rPr>
      </w:pPr>
      <w:r>
        <w:rPr>
          <w:rFonts w:ascii="Arial" w:cs="Arial" w:eastAsia="Arial" w:hAnsi="Arial"/>
          <w:sz w:val="17"/>
          <w:szCs w:val="17"/>
          <w:color w:val="auto"/>
        </w:rPr>
        <w:t>The number of shares of common stock that will be outstanding after this offering is based on 15,989,890 shares outstanding as of October 1, 2013, on an a converted basis, and excludes:</w:t>
      </w:r>
    </w:p>
    <w:p>
      <w:pPr>
        <w:spacing w:after="0" w:line="196" w:lineRule="exact"/>
        <w:rPr>
          <w:sz w:val="20"/>
          <w:szCs w:val="20"/>
          <w:color w:val="auto"/>
        </w:rPr>
      </w:pPr>
    </w:p>
    <w:p>
      <w:pPr>
        <w:ind w:left="1280" w:right="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2,355,579 shares of common stock issuable upon the exercise of options outstanding as of October 1, 2013 at a weighted average exercise price $2.81 per share;</w:t>
      </w:r>
    </w:p>
    <w:p>
      <w:pPr>
        <w:spacing w:after="0" w:line="182" w:lineRule="exact"/>
        <w:rPr>
          <w:rFonts w:ascii="Arial" w:cs="Arial" w:eastAsia="Arial" w:hAnsi="Arial"/>
          <w:sz w:val="17"/>
          <w:szCs w:val="17"/>
          <w:color w:val="auto"/>
        </w:rPr>
      </w:pPr>
    </w:p>
    <w:p>
      <w:pPr>
        <w:jc w:val="both"/>
        <w:ind w:left="1280" w:hanging="524"/>
        <w:spacing w:after="0" w:line="265"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24,801 shares of common stock issuable upon the exercise of a warrant to purchase Series C preferred stock, which will become exercisable for shar of common stock upon the automatic conversion of our Series C preferred stock into common stock upon the closing of this offering, with an exerci price of $7.56 per share, and an additional 24,801 shares of common stock reserved for future issuance and as to which the warrant will becom exercisable at the same exercise price in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450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345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event we draw down on or prior to March 31, 2014 a second term loan under our loan and security agreement with the warrant holder;</w:t>
      </w:r>
    </w:p>
    <w:p>
      <w:pPr>
        <w:spacing w:after="0" w:line="250" w:lineRule="exact"/>
        <w:rPr>
          <w:sz w:val="20"/>
          <w:szCs w:val="20"/>
          <w:color w:val="auto"/>
        </w:rPr>
      </w:pPr>
    </w:p>
    <w:p>
      <w:pPr>
        <w:jc w:val="both"/>
        <w:ind w:left="1280" w:hanging="524"/>
        <w:spacing w:after="0" w:line="270"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144,585 shares of common stock reserved for future issuance under our 2008 Stock Plan as of October 1, 2013, and 1,700,000 shares of common stoc subject to increase on an annual basis, reserved for future issuance under our 2013 Stock Incentive Plan, which will become effective in connectio with this offering; and</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58,375 shares of common stock issuable upon the exercise of options granted on October 2, 2013 at an exercise price of $12.12 per share.</w:t>
      </w:r>
    </w:p>
    <w:p>
      <w:pPr>
        <w:spacing w:after="0" w:line="236" w:lineRule="exact"/>
        <w:rPr>
          <w:sz w:val="20"/>
          <w:szCs w:val="20"/>
          <w:color w:val="auto"/>
        </w:rPr>
      </w:pPr>
    </w:p>
    <w:p>
      <w:pPr>
        <w:ind w:left="240" w:firstLine="378"/>
        <w:spacing w:after="0" w:line="282" w:lineRule="auto"/>
        <w:rPr>
          <w:sz w:val="20"/>
          <w:szCs w:val="20"/>
          <w:color w:val="auto"/>
        </w:rPr>
      </w:pPr>
      <w:r>
        <w:rPr>
          <w:rFonts w:ascii="Arial" w:cs="Arial" w:eastAsia="Arial" w:hAnsi="Arial"/>
          <w:sz w:val="17"/>
          <w:szCs w:val="17"/>
          <w:color w:val="auto"/>
        </w:rPr>
        <w:t>Unless otherwise indicated, all information in this prospectus reflects the 4-for-1 reverse split of our outstanding common stock effected on October 9, 2013 an assumes:</w:t>
      </w:r>
    </w:p>
    <w:p>
      <w:pPr>
        <w:spacing w:after="0" w:line="183"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our restated certificate of incorporation, which we will file in connection with the closing of this offering, is in effect;</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options are exercised after October 1, 2013;</w:t>
      </w:r>
    </w:p>
    <w:p>
      <w:pPr>
        <w:spacing w:after="0" w:line="237"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an aggregate of 14,997,312 shares of common stock upon t closing of this offering;</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a warrant to purchase Series C preferred stock; and</w:t>
      </w:r>
    </w:p>
    <w:p>
      <w:pPr>
        <w:spacing w:after="0" w:line="224"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over-allotment option to purchase up to</w:t>
      </w:r>
      <w:r>
        <w:rPr>
          <w:sz w:val="20"/>
          <w:szCs w:val="20"/>
          <w:color w:val="auto"/>
        </w:rPr>
        <w:tab/>
      </w:r>
      <w:r>
        <w:rPr>
          <w:rFonts w:ascii="Arial" w:cs="Arial" w:eastAsia="Arial" w:hAnsi="Arial"/>
          <w:sz w:val="15"/>
          <w:szCs w:val="15"/>
          <w:color w:val="auto"/>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54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28" w:lineRule="exact"/>
        <w:rPr>
          <w:sz w:val="20"/>
          <w:szCs w:val="20"/>
          <w:color w:val="auto"/>
        </w:rPr>
      </w:pPr>
    </w:p>
    <w:p>
      <w:pPr>
        <w:jc w:val="both"/>
        <w:ind w:left="240" w:firstLine="446"/>
        <w:spacing w:after="0" w:line="306" w:lineRule="auto"/>
        <w:rPr>
          <w:sz w:val="20"/>
          <w:szCs w:val="20"/>
          <w:color w:val="auto"/>
        </w:rPr>
      </w:pPr>
      <w:r>
        <w:rPr>
          <w:rFonts w:ascii="Arial" w:cs="Arial" w:eastAsia="Arial" w:hAnsi="Arial"/>
          <w:sz w:val="15"/>
          <w:szCs w:val="15"/>
          <w:color w:val="auto"/>
        </w:rPr>
        <w:t>The following summary financial data should be read together with our financial statements and related notes, "Selected Financial Data" and "Managemen Discussion and Analysis of Financial Condition and Results of Operations" appearing elsewhere in this prospectus. The summary statements of operations data for t years ended December 31, 2011 and 2012 and the six months ended June 30, 2012 and 2013, and the balance sheet data as of June 30, 2013 have been derived fro our audited financial statements and unaudited interim condensed financial statements included elsewhere in this prospectus. Historical results are not necessari indicative of the results that may be expected in the future and results of interim periods are not necessarily indicative of the results for the entire year.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214"/>
              <w:spacing w:after="0"/>
              <w:rPr>
                <w:sz w:val="20"/>
                <w:szCs w:val="20"/>
                <w:color w:val="auto"/>
              </w:rPr>
            </w:pPr>
            <w:r>
              <w:rPr>
                <w:rFonts w:ascii="Arial" w:cs="Arial" w:eastAsia="Arial" w:hAnsi="Arial"/>
                <w:sz w:val="13"/>
                <w:szCs w:val="13"/>
                <w:b w:val="1"/>
                <w:bCs w:val="1"/>
                <w:color w:val="auto"/>
                <w:w w:val="90"/>
              </w:rPr>
              <w:t>Year Ended December 31,</w:t>
            </w:r>
          </w:p>
        </w:tc>
        <w:tc>
          <w:tcPr>
            <w:tcW w:w="140" w:type="dxa"/>
            <w:vAlign w:val="bottom"/>
          </w:tcPr>
          <w:p>
            <w:pPr>
              <w:spacing w:after="0"/>
              <w:rPr>
                <w:sz w:val="13"/>
                <w:szCs w:val="13"/>
                <w:color w:val="auto"/>
              </w:rPr>
            </w:pPr>
          </w:p>
        </w:tc>
        <w:tc>
          <w:tcPr>
            <w:tcW w:w="940" w:type="dxa"/>
            <w:vAlign w:val="bottom"/>
            <w:gridSpan w:val="3"/>
          </w:tcPr>
          <w:p>
            <w:pPr>
              <w:jc w:val="center"/>
              <w:ind w:left="359"/>
              <w:spacing w:after="0"/>
              <w:rPr>
                <w:sz w:val="20"/>
                <w:szCs w:val="20"/>
                <w:color w:val="auto"/>
              </w:rPr>
            </w:pPr>
            <w:r>
              <w:rPr>
                <w:rFonts w:ascii="Arial" w:cs="Arial" w:eastAsia="Arial" w:hAnsi="Arial"/>
                <w:sz w:val="13"/>
                <w:szCs w:val="13"/>
                <w:b w:val="1"/>
                <w:bCs w:val="1"/>
                <w:color w:val="auto"/>
                <w:w w:val="88"/>
              </w:rPr>
              <w:t>June 30,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98"/>
              <w:spacing w:after="0" w:line="124"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3"/>
              </w:rPr>
              <w:t>thousands, except</w:t>
            </w:r>
          </w:p>
        </w:tc>
        <w:tc>
          <w:tcPr>
            <w:tcW w:w="1980" w:type="dxa"/>
            <w:vAlign w:val="bottom"/>
            <w:gridSpan w:val="7"/>
          </w:tcPr>
          <w:p>
            <w:pPr>
              <w:jc w:val="right"/>
              <w:ind w:right="580"/>
              <w:spacing w:after="0" w:line="124" w:lineRule="exact"/>
              <w:rPr>
                <w:sz w:val="20"/>
                <w:szCs w:val="20"/>
                <w:color w:val="auto"/>
              </w:rPr>
            </w:pPr>
            <w:r>
              <w:rPr>
                <w:rFonts w:ascii="Arial" w:cs="Arial" w:eastAsia="Arial" w:hAnsi="Arial"/>
                <w:sz w:val="13"/>
                <w:szCs w:val="13"/>
                <w:b w:val="1"/>
                <w:bCs w:val="1"/>
                <w:color w:val="auto"/>
                <w:w w:val="87"/>
              </w:rPr>
              <w:t>share and per share data)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2,645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11,628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3,947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7,584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8,447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3,045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80" w:type="dxa"/>
            <w:vAlign w:val="bottom"/>
            <w:gridSpan w:val="3"/>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30,557</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(15,266)</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(18,929)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(18,649)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(13,385)</w:t>
            </w: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80" w:type="dxa"/>
            <w:vAlign w:val="bottom"/>
            <w:gridSpan w:val="3"/>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(24.90)</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(28.68)</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580,061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650,333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4"/>
              </w:rPr>
              <w:t>638,318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1"/>
              </w:rPr>
              <w:t>812,703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Fine needle aspirations (FNAs) received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900" w:hanging="526"/>
        <w:spacing w:after="0"/>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stock-based compensation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54"/>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w w:val="92"/>
              </w:rPr>
              <w:t>June 30,</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124"/>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74"/>
              <w:spacing w:after="0" w:line="124"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340" w:type="dxa"/>
            <w:vAlign w:val="bottom"/>
            <w:gridSpan w:val="2"/>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2"/>
                <w:szCs w:val="12"/>
                <w:color w:val="auto"/>
              </w:rPr>
            </w:pPr>
          </w:p>
        </w:tc>
      </w:tr>
      <w:tr>
        <w:trPr>
          <w:trHeight w:val="144"/>
        </w:trPr>
        <w:tc>
          <w:tcPr>
            <w:tcW w:w="6740" w:type="dxa"/>
            <w:vAlign w:val="bottom"/>
          </w:tcPr>
          <w:p>
            <w:pPr>
              <w:ind w:left="26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w w:val="92"/>
              </w:rPr>
              <w:t>103</w:t>
            </w:r>
          </w:p>
        </w:tc>
        <w:tc>
          <w:tcPr>
            <w:tcW w:w="160" w:type="dxa"/>
            <w:vAlign w:val="bottom"/>
          </w:tcPr>
          <w:p>
            <w:pPr>
              <w:spacing w:after="0"/>
              <w:rPr>
                <w:sz w:val="12"/>
                <w:szCs w:val="12"/>
                <w:color w:val="auto"/>
              </w:rPr>
            </w:pP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Selling and marketing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76</w:t>
            </w:r>
          </w:p>
        </w:tc>
        <w:tc>
          <w:tcPr>
            <w:tcW w:w="160" w:type="dxa"/>
            <w:vAlign w:val="bottom"/>
            <w:shd w:val="clear" w:color="auto" w:fill="CCEEFF"/>
          </w:tcPr>
          <w:p>
            <w:pPr>
              <w:spacing w:after="0"/>
              <w:rPr>
                <w:sz w:val="12"/>
                <w:szCs w:val="12"/>
                <w:color w:val="auto"/>
              </w:rPr>
            </w:pPr>
          </w:p>
        </w:tc>
      </w:tr>
      <w:tr>
        <w:trPr>
          <w:trHeight w:val="168"/>
        </w:trPr>
        <w:tc>
          <w:tcPr>
            <w:tcW w:w="674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297</w:t>
            </w:r>
          </w:p>
        </w:tc>
        <w:tc>
          <w:tcPr>
            <w:tcW w:w="160" w:type="dxa"/>
            <w:vAlign w:val="bottom"/>
          </w:tcPr>
          <w:p>
            <w:pPr>
              <w:spacing w:after="0"/>
              <w:rPr>
                <w:sz w:val="14"/>
                <w:szCs w:val="14"/>
                <w:color w:val="auto"/>
              </w:rPr>
            </w:pPr>
          </w:p>
        </w:tc>
      </w:tr>
      <w:tr>
        <w:trPr>
          <w:trHeight w:val="140"/>
        </w:trPr>
        <w:tc>
          <w:tcPr>
            <w:tcW w:w="674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auto"/>
              </w:rPr>
              <w:t>Total stock-based compensation</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675</w:t>
            </w:r>
          </w:p>
        </w:tc>
        <w:tc>
          <w:tcPr>
            <w:tcW w:w="2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290</w:t>
            </w:r>
          </w:p>
        </w:tc>
        <w:tc>
          <w:tcPr>
            <w:tcW w:w="340" w:type="dxa"/>
            <w:vAlign w:val="bottom"/>
            <w:gridSpan w:val="2"/>
            <w:shd w:val="clear" w:color="auto" w:fill="CCEEFF"/>
          </w:tcPr>
          <w:p>
            <w:pPr>
              <w:jc w:val="right"/>
              <w:ind w:right="34"/>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489</w:t>
            </w:r>
          </w:p>
        </w:tc>
        <w:tc>
          <w:tcPr>
            <w:tcW w:w="160" w:type="dxa"/>
            <w:vAlign w:val="bottom"/>
            <w:shd w:val="clear" w:color="auto" w:fill="CCEEFF"/>
          </w:tcPr>
          <w:p>
            <w:pPr>
              <w:spacing w:after="0"/>
              <w:rPr>
                <w:sz w:val="12"/>
                <w:szCs w:val="12"/>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40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60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89"/>
              </w:rPr>
              <w:t>As of June 30, 2013</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6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Actual</w:t>
            </w:r>
          </w:p>
        </w:tc>
        <w:tc>
          <w:tcPr>
            <w:tcW w:w="12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7"/>
              </w:rPr>
              <w:t>As Adjusted</w:t>
            </w:r>
          </w:p>
        </w:tc>
      </w:tr>
      <w:tr>
        <w:trPr>
          <w:trHeight w:val="124"/>
        </w:trPr>
        <w:tc>
          <w:tcPr>
            <w:tcW w:w="60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  20,683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20,683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79,377</w:t>
            </w: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Working capital</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72,743</w:t>
            </w: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760" w:type="dxa"/>
            <w:vAlign w:val="bottom"/>
          </w:tcPr>
          <w:p>
            <w:pPr>
              <w:jc w:val="right"/>
              <w:spacing w:after="0"/>
              <w:rPr>
                <w:sz w:val="20"/>
                <w:szCs w:val="20"/>
                <w:color w:val="auto"/>
              </w:rPr>
            </w:pPr>
            <w:r>
              <w:rPr>
                <w:rFonts w:ascii="Arial" w:cs="Arial" w:eastAsia="Arial" w:hAnsi="Arial"/>
                <w:sz w:val="17"/>
                <w:szCs w:val="17"/>
                <w:color w:val="auto"/>
              </w:rPr>
              <w:t>27,159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85,853</w:t>
            </w: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stockholders' (deficit) equity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67,106</w:t>
            </w:r>
          </w:p>
        </w:tc>
        <w:tc>
          <w:tcPr>
            <w:tcW w:w="1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preceding table presents a summary of our unaudited balance sheet data as of June 30, 2013:</w:t>
      </w:r>
    </w:p>
    <w:p>
      <w:pPr>
        <w:spacing w:after="0" w:line="250" w:lineRule="exact"/>
        <w:rPr>
          <w:sz w:val="20"/>
          <w:szCs w:val="20"/>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7"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 pro forma basis to give effect to the automatic conversion of all outstanding shares of our convertible preferred stock into an aggregate 14,997,312 shares of our common stock upon the closing of this offering; and</w:t>
      </w:r>
    </w:p>
    <w:p>
      <w:pPr>
        <w:spacing w:after="0" w:line="182" w:lineRule="exact"/>
        <w:rPr>
          <w:rFonts w:ascii="Arial" w:cs="Arial" w:eastAsia="Arial" w:hAnsi="Arial"/>
          <w:sz w:val="17"/>
          <w:szCs w:val="17"/>
          <w:color w:val="auto"/>
        </w:rPr>
      </w:pPr>
    </w:p>
    <w:p>
      <w:pPr>
        <w:jc w:val="both"/>
        <w:ind w:left="1280" w:right="40" w:hanging="524"/>
        <w:spacing w:after="0" w:line="270" w:lineRule="auto"/>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the receipt of the estimated net proceeds from the sale of 4,700,000 shares of common stock this offering at a price of $14.00 per share, the midpoint of the price range set forth on the cover page of this prospectus, and after deducting t estimated underwriting discounts and commissions and estimated expenses payable by us.</w:t>
      </w:r>
    </w:p>
    <w:p>
      <w:pPr>
        <w:spacing w:after="0" w:line="179" w:lineRule="exact"/>
        <w:rPr>
          <w:sz w:val="20"/>
          <w:szCs w:val="20"/>
          <w:color w:val="auto"/>
        </w:rPr>
      </w:pPr>
    </w:p>
    <w:p>
      <w:pPr>
        <w:jc w:val="both"/>
        <w:ind w:left="240" w:firstLine="416"/>
        <w:spacing w:after="0" w:line="279" w:lineRule="auto"/>
        <w:rPr>
          <w:sz w:val="20"/>
          <w:szCs w:val="20"/>
          <w:color w:val="auto"/>
        </w:rPr>
      </w:pPr>
      <w:r>
        <w:rPr>
          <w:rFonts w:ascii="Arial" w:cs="Arial" w:eastAsia="Arial" w:hAnsi="Arial"/>
          <w:sz w:val="16"/>
          <w:szCs w:val="16"/>
          <w:color w:val="auto"/>
        </w:rPr>
        <w:t>A $1.00 increase (decrease) in the assumed initial public offering price of $14.00 per share, the midpoint of the price range set forth on the cover page of th prospectus, would increase (decrease) each of cash and cash equivalents, working capital, total assets and total stockholders' equity (deficit) by $4.4 million, assumin that the number of shares offered as set forth on the cover page of this prospectus remains the same, and after deducting the estimated underwriting discounts an commissions and estimated expenses payable by us. Each increase (decrease) of 1.0 million shares in the number of shares of common stock offered by us wou increase (decrease) each of cash and cash equivalents, working capital, total assets and total stockholders' equity (deficit) by approximately $13.0 million, assuming price of $14.00 per share, the midpoint of the price range set forth on the cover page of this prospectus, and after deducting the estimated underwriting discounts an commissions and estimated expenses payable by us. The pro forma as adjusted information discussed above is illustrative only and will be adjusted based on the actu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840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484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RECENT DEVELOPMENTS</w:t>
      </w:r>
    </w:p>
    <w:p>
      <w:pPr>
        <w:spacing w:after="0" w:line="228" w:lineRule="exact"/>
        <w:rPr>
          <w:sz w:val="20"/>
          <w:szCs w:val="20"/>
          <w:color w:val="auto"/>
        </w:rPr>
      </w:pPr>
    </w:p>
    <w:p>
      <w:pPr>
        <w:jc w:val="both"/>
        <w:ind w:left="240" w:firstLine="374"/>
        <w:spacing w:after="0" w:line="301" w:lineRule="auto"/>
        <w:rPr>
          <w:sz w:val="20"/>
          <w:szCs w:val="20"/>
          <w:color w:val="auto"/>
        </w:rPr>
      </w:pPr>
      <w:r>
        <w:rPr>
          <w:rFonts w:ascii="Arial" w:cs="Arial" w:eastAsia="Arial" w:hAnsi="Arial"/>
          <w:sz w:val="15"/>
          <w:szCs w:val="15"/>
          <w:color w:val="auto"/>
        </w:rPr>
        <w:t>Our estimated financial results for the three months ended September 30, 2013 presented below are preliminary and are subject to the completion of our quarte end closing procedures and financial review. The preliminary financial data have been prepared by and are the responsibility of our managemen PricewaterhouseCoopers LLP has not audited, reviewed, compiled or performed any procedures with respect to the preliminary financial data. Accordingl PricewaterhouseCoopers LLP does not express an opinion or any other form of assurance with respect thereto. These estimates are not a comprehensive statement our financial results for this period and should not be viewed as a substitute for full interim financial statements prepared in accordance with generally accepte accounting principles. Our actual results may differ from these estimates as a result of the completion of our quarter-end closing procedures, review adjustments an other developments that may arise between now and the time our financial results for this period are finalized, and such changes could be material.</w:t>
      </w:r>
    </w:p>
    <w:p>
      <w:pPr>
        <w:spacing w:after="0" w:line="164" w:lineRule="exact"/>
        <w:rPr>
          <w:sz w:val="20"/>
          <w:szCs w:val="20"/>
          <w:color w:val="auto"/>
        </w:rPr>
      </w:pPr>
    </w:p>
    <w:p>
      <w:pPr>
        <w:jc w:val="both"/>
        <w:ind w:left="240" w:firstLine="516"/>
        <w:spacing w:after="0" w:line="263" w:lineRule="auto"/>
        <w:rPr>
          <w:sz w:val="20"/>
          <w:szCs w:val="20"/>
          <w:color w:val="auto"/>
        </w:rPr>
      </w:pPr>
      <w:r>
        <w:rPr>
          <w:rFonts w:ascii="Arial" w:cs="Arial" w:eastAsia="Arial" w:hAnsi="Arial"/>
          <w:sz w:val="17"/>
          <w:szCs w:val="17"/>
          <w:color w:val="auto"/>
        </w:rPr>
        <w:t>While complete financial information as of and for such period are not available, based on the information and data currently available, our manageme preliminarily estimates that for the three months ended September 30, 2013, our revenue will be between $5.5 million and $5.7 million, compared to revenue for t three months ended September 30, 2012 of $3.2 million. The increase in revenue for the three months ended September 30, 2013 is primarily due to an increase collections from increased adoption of Afirma. FNAs received increased from 7,052 in the three months ended September 30, 2012 to 12,417 in the three mont ended September 30, 2013.</w:t>
      </w:r>
    </w:p>
    <w:p>
      <w:pPr>
        <w:spacing w:after="0" w:line="187" w:lineRule="exact"/>
        <w:rPr>
          <w:sz w:val="20"/>
          <w:szCs w:val="20"/>
          <w:color w:val="auto"/>
        </w:rPr>
      </w:pPr>
    </w:p>
    <w:p>
      <w:pPr>
        <w:jc w:val="both"/>
        <w:ind w:left="240" w:firstLine="618"/>
        <w:spacing w:after="0" w:line="282" w:lineRule="auto"/>
        <w:rPr>
          <w:sz w:val="20"/>
          <w:szCs w:val="20"/>
          <w:color w:val="auto"/>
        </w:rPr>
      </w:pPr>
      <w:r>
        <w:rPr>
          <w:rFonts w:ascii="Arial" w:cs="Arial" w:eastAsia="Arial" w:hAnsi="Arial"/>
          <w:sz w:val="17"/>
          <w:szCs w:val="17"/>
          <w:color w:val="auto"/>
        </w:rPr>
        <w:t>Management preliminarily estimates that for the three months ended September 30, 2013, our operating expenses will be between $11.5 million an $12.0 million, compared to $8.2 million for the three months ended September 30, 2012.</w:t>
      </w:r>
    </w:p>
    <w:p>
      <w:pPr>
        <w:spacing w:after="0" w:line="170" w:lineRule="exact"/>
        <w:rPr>
          <w:sz w:val="20"/>
          <w:szCs w:val="20"/>
          <w:color w:val="auto"/>
        </w:rPr>
      </w:pPr>
    </w:p>
    <w:p>
      <w:pPr>
        <w:ind w:left="240" w:right="40" w:firstLine="381"/>
        <w:spacing w:after="0" w:line="282" w:lineRule="auto"/>
        <w:rPr>
          <w:sz w:val="20"/>
          <w:szCs w:val="20"/>
          <w:color w:val="auto"/>
        </w:rPr>
      </w:pPr>
      <w:r>
        <w:rPr>
          <w:rFonts w:ascii="Arial" w:cs="Arial" w:eastAsia="Arial" w:hAnsi="Arial"/>
          <w:sz w:val="17"/>
          <w:szCs w:val="17"/>
          <w:color w:val="auto"/>
        </w:rPr>
        <w:t>In addition, management preliminarily estimates that for the three months ended September 30, 2013, our loss from operations will be between $5.9 million a $6.4 million, compared to $4.9 million for the three months ended September 30, 2012.</w:t>
      </w:r>
    </w:p>
    <w:p>
      <w:pPr>
        <w:spacing w:after="0" w:line="170" w:lineRule="exact"/>
        <w:rPr>
          <w:sz w:val="20"/>
          <w:szCs w:val="20"/>
          <w:color w:val="auto"/>
        </w:rPr>
      </w:pPr>
    </w:p>
    <w:p>
      <w:pPr>
        <w:jc w:val="both"/>
        <w:ind w:left="240" w:firstLine="379"/>
        <w:spacing w:after="0" w:line="265" w:lineRule="auto"/>
        <w:rPr>
          <w:sz w:val="20"/>
          <w:szCs w:val="20"/>
          <w:color w:val="auto"/>
        </w:rPr>
      </w:pPr>
      <w:r>
        <w:rPr>
          <w:rFonts w:ascii="Arial" w:cs="Arial" w:eastAsia="Arial" w:hAnsi="Arial"/>
          <w:sz w:val="17"/>
          <w:szCs w:val="17"/>
          <w:color w:val="auto"/>
        </w:rPr>
        <w:t>The increase in estimated loss from operations compared to the corresponding period in 2012 is due to the estimated increase in revenue, being more than offs by the combination of higher cost of revenue reflecting increased FNAs received, increased general and administrative expenses, primarily due to higher personn costs to support the growth in our business and expenses related to our public company readiness efforts, and increased selling and marketing expenses related to o efforts to increase adoption of and reimbursement for Afirma.</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had approximately $15.4 million in cash and cash equivalents at September 30, 2013.</w:t>
      </w:r>
    </w:p>
    <w:p>
      <w:pPr>
        <w:spacing w:after="0" w:line="224" w:lineRule="exact"/>
        <w:rPr>
          <w:sz w:val="20"/>
          <w:szCs w:val="20"/>
          <w:color w:val="auto"/>
        </w:rPr>
      </w:pPr>
    </w:p>
    <w:p>
      <w:pPr>
        <w:jc w:val="both"/>
        <w:ind w:left="240" w:right="20" w:firstLine="385"/>
        <w:spacing w:after="0" w:line="282" w:lineRule="auto"/>
        <w:rPr>
          <w:sz w:val="20"/>
          <w:szCs w:val="20"/>
          <w:color w:val="auto"/>
        </w:rPr>
      </w:pPr>
      <w:r>
        <w:rPr>
          <w:rFonts w:ascii="Arial" w:cs="Arial" w:eastAsia="Arial" w:hAnsi="Arial"/>
          <w:sz w:val="17"/>
          <w:szCs w:val="17"/>
          <w:color w:val="auto"/>
        </w:rPr>
        <w:t>These estimated ranges are preliminary and may change. In addition, these preliminary results of operations for the three months ended September 30, 2013 a not necessarily indicative of the results to be achieved for the remainder of 2013 or in any future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early-stage company with a history of losses, and we expect to incur net losses for the foreseeable future and may never achieve or sustain profitability.</w:t>
      </w:r>
    </w:p>
    <w:p>
      <w:pPr>
        <w:spacing w:after="0" w:line="25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7"/>
          <w:szCs w:val="17"/>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jc w:val="both"/>
        <w:ind w:firstLine="335"/>
        <w:spacing w:after="0" w:line="262" w:lineRule="auto"/>
        <w:rPr>
          <w:sz w:val="20"/>
          <w:szCs w:val="20"/>
          <w:color w:val="auto"/>
        </w:rPr>
      </w:pPr>
      <w:r>
        <w:rPr>
          <w:rFonts w:ascii="Arial" w:cs="Arial" w:eastAsia="Arial" w:hAnsi="Arial"/>
          <w:sz w:val="17"/>
          <w:szCs w:val="17"/>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jc w:val="both"/>
        <w:ind w:firstLine="430"/>
        <w:spacing w:after="0" w:line="279" w:lineRule="auto"/>
        <w:rPr>
          <w:sz w:val="20"/>
          <w:szCs w:val="20"/>
          <w:color w:val="auto"/>
        </w:rPr>
      </w:pPr>
      <w:r>
        <w:rPr>
          <w:rFonts w:ascii="Arial" w:cs="Arial" w:eastAsia="Arial" w:hAnsi="Arial"/>
          <w:sz w:val="16"/>
          <w:szCs w:val="16"/>
          <w:color w:val="auto"/>
        </w:rPr>
        <w:t>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5"/>
        <w:spacing w:after="0" w:line="352" w:lineRule="auto"/>
        <w:rPr>
          <w:sz w:val="20"/>
          <w:szCs w:val="20"/>
          <w:color w:val="auto"/>
        </w:rPr>
      </w:pPr>
      <w:r>
        <w:rPr>
          <w:rFonts w:ascii="Arial" w:cs="Arial" w:eastAsia="Arial" w:hAnsi="Arial"/>
          <w:sz w:val="15"/>
          <w:szCs w:val="15"/>
          <w:color w:val="auto"/>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jc w:val="both"/>
        <w:ind w:firstLine="547"/>
        <w:spacing w:after="0" w:line="270"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92" w:lineRule="exact"/>
        <w:rPr>
          <w:sz w:val="20"/>
          <w:szCs w:val="20"/>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24" w:lineRule="exact"/>
        <w:rPr>
          <w:sz w:val="20"/>
          <w:szCs w:val="20"/>
          <w:color w:val="auto"/>
        </w:rPr>
      </w:pPr>
    </w:p>
    <w:p>
      <w:pPr>
        <w:jc w:val="both"/>
        <w:ind w:firstLine="457"/>
        <w:spacing w:after="0" w:line="282"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jc w:val="both"/>
        <w:ind w:firstLine="364"/>
        <w:spacing w:after="0" w:line="322" w:lineRule="auto"/>
        <w:rPr>
          <w:sz w:val="20"/>
          <w:szCs w:val="20"/>
          <w:color w:val="auto"/>
        </w:rPr>
      </w:pPr>
      <w:r>
        <w:rPr>
          <w:rFonts w:ascii="Arial" w:cs="Arial" w:eastAsia="Arial" w:hAnsi="Arial"/>
          <w:sz w:val="15"/>
          <w:szCs w:val="15"/>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45" w:lineRule="exact"/>
        <w:rPr>
          <w:sz w:val="20"/>
          <w:szCs w:val="20"/>
          <w:color w:val="auto"/>
        </w:rPr>
      </w:pPr>
    </w:p>
    <w:p>
      <w:pPr>
        <w:jc w:val="both"/>
        <w:ind w:firstLine="361"/>
        <w:spacing w:after="0" w:line="287"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Afirma.</w:t>
      </w:r>
    </w:p>
    <w:p>
      <w:pPr>
        <w:spacing w:after="0" w:line="224"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3"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relationship with Genzyme to co-promote Afirma may have a significant effect on our business.</w:t>
      </w:r>
    </w:p>
    <w:p>
      <w:pPr>
        <w:spacing w:after="0" w:line="224" w:lineRule="exact"/>
        <w:rPr>
          <w:sz w:val="20"/>
          <w:szCs w:val="20"/>
          <w:color w:val="auto"/>
        </w:rPr>
      </w:pPr>
    </w:p>
    <w:p>
      <w:pPr>
        <w:jc w:val="both"/>
        <w:ind w:firstLine="402"/>
        <w:spacing w:after="0" w:line="277"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order to mitigate these risks, we may need to maintain inventories of these supplies at higher levels than would be the case if multiple sources of supply were available.</w:t>
      </w:r>
    </w:p>
    <w:p>
      <w:pPr>
        <w:spacing w:after="0" w:line="24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jc w:val="both"/>
        <w:ind w:firstLine="387"/>
        <w:spacing w:after="0" w:line="311" w:lineRule="auto"/>
        <w:rPr>
          <w:sz w:val="20"/>
          <w:szCs w:val="20"/>
          <w:color w:val="auto"/>
        </w:rPr>
      </w:pPr>
      <w:r>
        <w:rPr>
          <w:rFonts w:ascii="Arial" w:cs="Arial" w:eastAsia="Arial" w:hAnsi="Arial"/>
          <w:sz w:val="15"/>
          <w:szCs w:val="15"/>
          <w:color w:val="auto"/>
        </w:rPr>
        <w:t>We rely on Thyroid Cytology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55"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7"/>
          <w:szCs w:val="17"/>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support demand for Afirma or any of our future products or solutions, our business could suffer.</w:t>
      </w:r>
    </w:p>
    <w:p>
      <w:pPr>
        <w:spacing w:after="0" w:line="224" w:lineRule="exact"/>
        <w:rPr>
          <w:sz w:val="20"/>
          <w:szCs w:val="20"/>
          <w:color w:val="auto"/>
        </w:rPr>
      </w:pPr>
    </w:p>
    <w:p>
      <w:pPr>
        <w:jc w:val="both"/>
        <w:ind w:firstLine="356"/>
        <w:spacing w:after="0" w:line="301" w:lineRule="auto"/>
        <w:rPr>
          <w:sz w:val="20"/>
          <w:szCs w:val="20"/>
          <w:color w:val="auto"/>
        </w:rPr>
      </w:pPr>
      <w:r>
        <w:rPr>
          <w:rFonts w:ascii="Arial" w:cs="Arial" w:eastAsia="Arial" w:hAnsi="Arial"/>
          <w:sz w:val="15"/>
          <w:szCs w:val="15"/>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47"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5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cannot provide any assurance that FDA regulation, including premarket review,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will affect our business.</w:t>
      </w:r>
    </w:p>
    <w:p>
      <w:pPr>
        <w:spacing w:after="0" w:line="187" w:lineRule="exact"/>
        <w:rPr>
          <w:sz w:val="20"/>
          <w:szCs w:val="20"/>
          <w:color w:val="auto"/>
        </w:rPr>
      </w:pPr>
    </w:p>
    <w:p>
      <w:pPr>
        <w:jc w:val="both"/>
        <w:ind w:firstLine="347"/>
        <w:spacing w:after="0" w:line="278" w:lineRule="auto"/>
        <w:rPr>
          <w:sz w:val="20"/>
          <w:szCs w:val="20"/>
          <w:color w:val="auto"/>
        </w:rPr>
      </w:pPr>
      <w:r>
        <w:rPr>
          <w:rFonts w:ascii="Arial" w:cs="Arial" w:eastAsia="Arial" w:hAnsi="Arial"/>
          <w:sz w:val="16"/>
          <w:szCs w:val="16"/>
          <w:color w:val="auto"/>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76" w:lineRule="exact"/>
        <w:rPr>
          <w:sz w:val="20"/>
          <w:szCs w:val="20"/>
          <w:color w:val="auto"/>
        </w:rPr>
      </w:pPr>
    </w:p>
    <w:p>
      <w:pPr>
        <w:jc w:val="both"/>
        <w:ind w:firstLine="376"/>
        <w:spacing w:after="0" w:line="261" w:lineRule="auto"/>
        <w:rPr>
          <w:sz w:val="20"/>
          <w:szCs w:val="20"/>
          <w:color w:val="auto"/>
        </w:rPr>
      </w:pPr>
      <w:r>
        <w:rPr>
          <w:rFonts w:ascii="Arial" w:cs="Arial" w:eastAsia="Arial" w:hAnsi="Arial"/>
          <w:sz w:val="17"/>
          <w:szCs w:val="17"/>
          <w:color w:val="auto"/>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87" w:lineRule="exact"/>
        <w:rPr>
          <w:sz w:val="20"/>
          <w:szCs w:val="20"/>
          <w:color w:val="auto"/>
        </w:rPr>
      </w:pPr>
    </w:p>
    <w:p>
      <w:pPr>
        <w:jc w:val="both"/>
        <w:ind w:firstLine="387"/>
        <w:spacing w:after="0" w:line="352" w:lineRule="auto"/>
        <w:rPr>
          <w:sz w:val="20"/>
          <w:szCs w:val="20"/>
          <w:color w:val="auto"/>
        </w:rPr>
      </w:pPr>
      <w:r>
        <w:rPr>
          <w:rFonts w:ascii="Arial" w:cs="Arial" w:eastAsia="Arial" w:hAnsi="Arial"/>
          <w:sz w:val="15"/>
          <w:szCs w:val="15"/>
          <w:color w:val="auto"/>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24" w:lineRule="exact"/>
        <w:rPr>
          <w:sz w:val="20"/>
          <w:szCs w:val="20"/>
          <w:color w:val="auto"/>
        </w:rPr>
      </w:pPr>
    </w:p>
    <w:p>
      <w:pPr>
        <w:jc w:val="both"/>
        <w:ind w:firstLine="398"/>
        <w:spacing w:after="0" w:line="262" w:lineRule="auto"/>
        <w:rPr>
          <w:sz w:val="20"/>
          <w:szCs w:val="20"/>
          <w:color w:val="auto"/>
        </w:rPr>
      </w:pPr>
      <w:r>
        <w:rPr>
          <w:rFonts w:ascii="Arial" w:cs="Arial" w:eastAsia="Arial" w:hAnsi="Arial"/>
          <w:sz w:val="17"/>
          <w:szCs w:val="17"/>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complete optimization in a timely and efficient manner could adversely affect our operations. If we are unable to manage our growth effectively, it may be difficult for us to execute our business strategy and our business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36"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7"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differences between the list price for Afirma and the reimbursement rates of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Medicare;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differences in coverage among payers and the effect of patient co-payments or co-insurance;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differences in information and billing requirements among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24"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 party to transmit claims to payers, and any delay in transmitting claims could have an adverse effect on our revenue.</w:t>
      </w:r>
    </w:p>
    <w:p>
      <w:pPr>
        <w:spacing w:after="0" w:line="224" w:lineRule="exact"/>
        <w:rPr>
          <w:sz w:val="20"/>
          <w:szCs w:val="20"/>
          <w:color w:val="auto"/>
        </w:rPr>
      </w:pPr>
    </w:p>
    <w:p>
      <w:pPr>
        <w:jc w:val="both"/>
        <w:ind w:firstLine="412"/>
        <w:spacing w:after="0" w:line="26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555"/>
        <w:spacing w:after="0" w:line="282" w:lineRule="auto"/>
        <w:rPr>
          <w:sz w:val="20"/>
          <w:szCs w:val="20"/>
          <w:color w:val="auto"/>
        </w:rPr>
      </w:pPr>
      <w:r>
        <w:rPr>
          <w:rFonts w:ascii="Arial" w:cs="Arial" w:eastAsia="Arial" w:hAnsi="Arial"/>
          <w:sz w:val="17"/>
          <w:szCs w:val="17"/>
          <w:color w:val="auto"/>
        </w:rPr>
        <w:t>Our business strategy includes international expansion, primarily through our co-promotion agreement with Genzyme, and may include establishing and maintaining physician outreach and education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capabilities outside of the United States and expanding our relationships with international payers. Doing business internationally involves a number of risks, including:</w:t>
      </w:r>
    </w:p>
    <w:p>
      <w:pPr>
        <w:spacing w:after="0" w:line="183" w:lineRule="exact"/>
        <w:rPr>
          <w:sz w:val="20"/>
          <w:szCs w:val="20"/>
          <w:color w:val="auto"/>
        </w:rPr>
      </w:pPr>
    </w:p>
    <w:p>
      <w:pPr>
        <w:ind w:left="10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 in various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 and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315"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89"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 successful analytical and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24" w:lineRule="exact"/>
        <w:rPr>
          <w:sz w:val="20"/>
          <w:szCs w:val="20"/>
          <w:color w:val="auto"/>
        </w:rPr>
      </w:pPr>
    </w:p>
    <w:p>
      <w:pPr>
        <w:ind w:firstLine="507"/>
        <w:spacing w:after="0" w:line="28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6"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to secure sufficient numbers of samples to conduct analytical and clinical studies;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4"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able to prepare samples for cytopathology on FNAs from patients in New York in that laboratory. Moreover, several other states require that we hold licenses to test samples from patients in those states. Other states may have similar requirements or may adopt similar requirements in the future.</w:t>
      </w:r>
    </w:p>
    <w:p>
      <w:pPr>
        <w:spacing w:after="0" w:line="170"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7"/>
          <w:szCs w:val="17"/>
          <w:color w:val="auto"/>
        </w:rPr>
        <w:t>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87"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7"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7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87" w:lineRule="exact"/>
        <w:rPr>
          <w:sz w:val="20"/>
          <w:szCs w:val="20"/>
          <w:color w:val="auto"/>
        </w:rPr>
      </w:pPr>
    </w:p>
    <w:p>
      <w:pPr>
        <w:jc w:val="both"/>
        <w:ind w:firstLine="370"/>
        <w:spacing w:after="0" w:line="283"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subject to other regulation by both the federal government and the states in which we conduct our business, including:</w:t>
      </w:r>
    </w:p>
    <w:p>
      <w:pPr>
        <w:spacing w:after="0" w:line="237"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anti-kickback law and state anti-kickback prohibitions;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physician self-referral prohibition, commonly known as the Stark Law, and state equivalents;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Medicare civil money penalty and exclusion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False Claims Act civil and criminal penalties and state equivalents;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Foreign Corrupt Practices Act of 1977, which applies to our international activities.</w:t>
      </w:r>
    </w:p>
    <w:p>
      <w:pPr>
        <w:spacing w:after="0" w:line="224" w:lineRule="exact"/>
        <w:rPr>
          <w:sz w:val="20"/>
          <w:szCs w:val="20"/>
          <w:color w:val="auto"/>
        </w:rPr>
      </w:pPr>
    </w:p>
    <w:p>
      <w:pPr>
        <w:jc w:val="both"/>
        <w:ind w:firstLine="344"/>
        <w:spacing w:after="0" w:line="280"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24" w:lineRule="exact"/>
        <w:rPr>
          <w:sz w:val="20"/>
          <w:szCs w:val="20"/>
          <w:color w:val="auto"/>
        </w:rPr>
      </w:pPr>
    </w:p>
    <w:p>
      <w:pPr>
        <w:jc w:val="both"/>
        <w:ind w:firstLine="349"/>
        <w:spacing w:after="0" w:line="297" w:lineRule="auto"/>
        <w:rPr>
          <w:sz w:val="20"/>
          <w:szCs w:val="20"/>
          <w:color w:val="auto"/>
        </w:rPr>
      </w:pPr>
      <w:r>
        <w:rPr>
          <w:rFonts w:ascii="Arial" w:cs="Arial" w:eastAsia="Arial" w:hAnsi="Arial"/>
          <w:sz w:val="15"/>
          <w:szCs w:val="15"/>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24"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5" w:lineRule="exact"/>
        <w:rPr>
          <w:sz w:val="20"/>
          <w:szCs w:val="20"/>
          <w:color w:val="auto"/>
        </w:rPr>
      </w:pPr>
    </w:p>
    <w:p>
      <w:pPr>
        <w:jc w:val="both"/>
        <w:ind w:firstLine="431"/>
        <w:spacing w:after="0" w:line="299"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373"/>
        <w:spacing w:after="0" w:line="261" w:lineRule="auto"/>
        <w:rPr>
          <w:sz w:val="20"/>
          <w:szCs w:val="20"/>
          <w:color w:val="auto"/>
        </w:rPr>
      </w:pPr>
      <w:r>
        <w:rPr>
          <w:rFonts w:ascii="Arial" w:cs="Arial" w:eastAsia="Arial" w:hAnsi="Arial"/>
          <w:sz w:val="17"/>
          <w:szCs w:val="17"/>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24"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2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6" w:lineRule="exact"/>
        <w:rPr>
          <w:sz w:val="20"/>
          <w:szCs w:val="20"/>
          <w:color w:val="auto"/>
        </w:rPr>
      </w:pPr>
    </w:p>
    <w:p>
      <w:pPr>
        <w:jc w:val="both"/>
        <w:ind w:firstLine="418"/>
        <w:spacing w:after="0" w:line="28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access, inappropriate disclosure and inappropriate access, as well as risks associated with our ability to identify and audit such events.</w:t>
      </w:r>
    </w:p>
    <w:p>
      <w:pPr>
        <w:spacing w:after="0" w:line="224"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66"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24"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October 1, 2013, we had six pending United States non-provisional patent applications, one issued United States patent and one pending United States provisional patent. It is possible that none of our pending patent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6" w:lineRule="exact"/>
        <w:rPr>
          <w:sz w:val="20"/>
          <w:szCs w:val="20"/>
          <w:color w:val="auto"/>
        </w:rPr>
      </w:pPr>
    </w:p>
    <w:p>
      <w:pPr>
        <w:jc w:val="both"/>
        <w:ind w:firstLine="443"/>
        <w:spacing w:after="0" w:line="265"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85" w:lineRule="exact"/>
        <w:rPr>
          <w:sz w:val="20"/>
          <w:szCs w:val="20"/>
          <w:color w:val="auto"/>
        </w:rPr>
      </w:pPr>
    </w:p>
    <w:p>
      <w:pPr>
        <w:jc w:val="both"/>
        <w:ind w:firstLine="461"/>
        <w:spacing w:after="0" w:line="260"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9"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4"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jc w:val="both"/>
        <w:ind w:firstLine="543"/>
        <w:spacing w:after="0" w:line="287"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9"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9"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5"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6" w:lineRule="exact"/>
        <w:rPr>
          <w:sz w:val="20"/>
          <w:szCs w:val="20"/>
          <w:color w:val="auto"/>
        </w:rPr>
      </w:pPr>
    </w:p>
    <w:p>
      <w:pPr>
        <w:jc w:val="both"/>
        <w:ind w:firstLine="359"/>
        <w:spacing w:after="0" w:line="270"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5" w:lineRule="exact"/>
        <w:rPr>
          <w:sz w:val="20"/>
          <w:szCs w:val="20"/>
          <w:color w:val="auto"/>
        </w:rPr>
      </w:pPr>
    </w:p>
    <w:p>
      <w:pPr>
        <w:jc w:val="both"/>
        <w:ind w:firstLine="436"/>
        <w:spacing w:after="0" w:line="295"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383" w:lineRule="exact"/>
        <w:rPr>
          <w:sz w:val="20"/>
          <w:szCs w:val="20"/>
          <w:color w:val="auto"/>
        </w:rPr>
      </w:pPr>
    </w:p>
    <w:p>
      <w:pPr>
        <w:jc w:val="both"/>
        <w:ind w:firstLine="551"/>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5"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493"/>
        <w:spacing w:after="0" w:line="27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386"/>
        <w:spacing w:after="0" w:line="28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0" w:lineRule="exact"/>
        <w:rPr>
          <w:sz w:val="20"/>
          <w:szCs w:val="20"/>
          <w:color w:val="auto"/>
        </w:rPr>
      </w:pPr>
    </w:p>
    <w:p>
      <w:pPr>
        <w:jc w:val="both"/>
        <w:ind w:firstLine="430"/>
        <w:spacing w:after="0" w:line="281"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4" w:lineRule="exact"/>
        <w:rPr>
          <w:sz w:val="20"/>
          <w:szCs w:val="20"/>
          <w:color w:val="auto"/>
        </w:rPr>
      </w:pPr>
    </w:p>
    <w:p>
      <w:pPr>
        <w:jc w:val="both"/>
        <w:ind w:firstLine="362"/>
        <w:spacing w:after="0" w:line="265" w:lineRule="auto"/>
        <w:rPr>
          <w:sz w:val="20"/>
          <w:szCs w:val="20"/>
          <w:color w:val="auto"/>
        </w:rPr>
      </w:pPr>
      <w:r>
        <w:rPr>
          <w:rFonts w:ascii="Arial" w:cs="Arial" w:eastAsia="Arial" w:hAnsi="Arial"/>
          <w:sz w:val="17"/>
          <w:szCs w:val="17"/>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201"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50" w:lineRule="exact"/>
        <w:rPr>
          <w:rFonts w:ascii="Arial" w:cs="Arial" w:eastAsia="Arial" w:hAnsi="Arial"/>
          <w:sz w:val="17"/>
          <w:szCs w:val="17"/>
          <w:color w:val="auto"/>
        </w:rPr>
      </w:pPr>
    </w:p>
    <w:p>
      <w:pPr>
        <w:ind w:left="5620" w:right="2960" w:hanging="5091"/>
        <w:spacing w:after="0" w:line="540" w:lineRule="auto"/>
        <w:tabs>
          <w:tab w:leader="none" w:pos="10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periodic fluctuations in our revenue, due in part to the way in which we recognize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closing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stockholders could cause our stock price to decline.</w:t>
      </w:r>
    </w:p>
    <w:p>
      <w:pPr>
        <w:spacing w:after="0" w:line="224"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October 1, 2013, upon the closing of this offering, we will have outstanding a total of 20,689,890 shares of common stock. Of these shares, 4,700,000 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 prior to the expiration of the lock-up agreements. After the lock-up agreements expire, based on shares outstanding as of October 1, 2013, up to an additional 15,989,890 shares of common stock will be eligible for sale in the public market, of which 14,667,322 shares are held by directors, executive officers and other affiliates and will be subject to volume limitations under Rule 144 under the Securities Act, and various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vesting agreements. In addition, 2,355,579 shares of common stock that are subject to outstanding options as of October 1, 2013 will become eligible for sale in the public market to the extent permitted by the provisions of various vesting agreements, the lock-up 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Insiders have substantial control over us and will be able to influence corporate matters.</w:t>
      </w:r>
    </w:p>
    <w:p>
      <w:pPr>
        <w:spacing w:after="0" w:line="224"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As of October 1, 2013, directors and executive officers and their affiliates beneficially owned, in the aggregate, 91.7%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Provisions in our restated certificate of incorporation and our amended and restated bylaws to become effective upon the closing of this offering may have the effect of delaying or preventing a change of control or changes in our management. Our restated certificate of incorporation and amended and restated bylaws include provisions that:</w:t>
      </w:r>
    </w:p>
    <w:p>
      <w:pPr>
        <w:spacing w:after="0" w:line="179"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ind w:firstLine="460"/>
        <w:spacing w:after="0" w:line="28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management will have discretion in the use of the net proceeds from this offering and may not use them in a way which increases the value of your investment.</w:t>
      </w:r>
    </w:p>
    <w:p>
      <w:pPr>
        <w:spacing w:after="0" w:line="170" w:lineRule="exact"/>
        <w:rPr>
          <w:sz w:val="20"/>
          <w:szCs w:val="20"/>
          <w:color w:val="auto"/>
        </w:rPr>
      </w:pPr>
    </w:p>
    <w:p>
      <w:pPr>
        <w:jc w:val="both"/>
        <w:ind w:firstLine="440"/>
        <w:spacing w:after="0" w:line="276" w:lineRule="auto"/>
        <w:rPr>
          <w:sz w:val="20"/>
          <w:szCs w:val="20"/>
          <w:color w:val="auto"/>
        </w:rPr>
      </w:pPr>
      <w:r>
        <w:rPr>
          <w:rFonts w:ascii="Arial" w:cs="Arial" w:eastAsia="Arial" w:hAnsi="Arial"/>
          <w:sz w:val="16"/>
          <w:szCs w:val="16"/>
          <w:color w:val="auto"/>
        </w:rPr>
        <w:t>We currently intend to use the net proceeds of the offering for selling and marketing activities, including expansion of our sales force to support the ongoing commercialization of our current products and future products, for research and development activities, including medical and clinical costs, related to the continued support of Afirma as well as the development of our product pipeline, and for general and administrative expenses (including compensation of our officers and directors and other personnel-related costs and the costs of operating as a public company), and for working capital and other general corporate purposes. However, our management will have discretion in the application of the net proceeds from this offering and investors will be relying on the judgment of our management regarding the application of those proceeds. The amounts and timing of our actual expenditures depend on numerous factors, including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ongoing status of and results from our clinical trials and other studies and costs related to sample acquisition; the progress of our preclinical research efforts; changes in regulatory requirements or other regulatory or compliance matters applicable to Afirma or future tests we may develop; identification of opportunities to acquire businesses or assets or license technologies that we believe are in the best interests of our stockholders; and any unforeseen cash needs. Depending on the outcome of these factors, our plans and priorities may change and we may apply the net proceeds of this offering differently than we currently anticipate. Our management may spend the proceeds in ways that do not improve our results of operations or enhance the value of our common stock, and you will not have the opportunity to influence management's decisions on how to use the proceeds from this offering. Our failure to apply these funds effectively could have a material adverse effect on our business, delay the development of new tests and cause the price of our common stock to decline.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jc w:val="both"/>
        <w:ind w:firstLine="401"/>
        <w:spacing w:after="0" w:line="262"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immediately after this offering. Therefore, if you purchase our common stock in this offering, you will incur an immediate dilution of $10.75 in net tangible book value per share from the price you paid, based on an assumed initial public offering price of $14.00 per share. In addition, new investors who purchase shares in this offering will contribute approximately 45.5% of the total amount of equity capital raised by us through the date of this offering, but will only own approximately 22.8% of the outstanding equity capital. The exercise of outstanding options and warrants will result in further dilution. For a detailed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liquid trading market for our common stock does not develop, you may not be able to sell your shares quickly or at or above the initial offering price.</w:t>
      </w:r>
    </w:p>
    <w:p>
      <w:pPr>
        <w:spacing w:after="0" w:line="259" w:lineRule="exact"/>
        <w:rPr>
          <w:sz w:val="20"/>
          <w:szCs w:val="20"/>
          <w:color w:val="auto"/>
        </w:rPr>
      </w:pPr>
    </w:p>
    <w:p>
      <w:pPr>
        <w:jc w:val="both"/>
        <w:ind w:firstLine="365"/>
        <w:spacing w:after="0" w:line="265" w:lineRule="auto"/>
        <w:rPr>
          <w:sz w:val="20"/>
          <w:szCs w:val="20"/>
          <w:color w:val="auto"/>
        </w:rPr>
      </w:pPr>
      <w:r>
        <w:rPr>
          <w:rFonts w:ascii="Arial" w:cs="Arial" w:eastAsia="Arial" w:hAnsi="Arial"/>
          <w:sz w:val="17"/>
          <w:szCs w:val="17"/>
          <w:color w:val="auto"/>
        </w:rPr>
        <w:t>There has not been a public market for our common stock. An active and liquid trading market for our common stock may not develop or be sustained following this offering.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28" w:lineRule="exact"/>
        <w:rPr>
          <w:sz w:val="20"/>
          <w:szCs w:val="20"/>
          <w:color w:val="auto"/>
        </w:rPr>
      </w:pPr>
    </w:p>
    <w:p>
      <w:pPr>
        <w:jc w:val="both"/>
        <w:ind w:firstLine="414"/>
        <w:spacing w:after="0" w:line="278" w:lineRule="auto"/>
        <w:rPr>
          <w:sz w:val="20"/>
          <w:szCs w:val="20"/>
          <w:color w:val="auto"/>
        </w:rPr>
      </w:pPr>
      <w:r>
        <w:rPr>
          <w:rFonts w:ascii="Arial" w:cs="Arial" w:eastAsia="Arial" w:hAnsi="Arial"/>
          <w:sz w:val="16"/>
          <w:szCs w:val="16"/>
          <w:color w:val="auto"/>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93"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continue to increase adoption of and obtain reimbursement for Afirma;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anticipated trends and challenges in our business and the competition that we face;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execution of our business plan and our growth strategy;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expectations regarding the size of and growth in potential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laws or regulations applicable to our business, including potential regulation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strategic relationships, collaboration and co-promotion efforts;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 and the timing of commercialization;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outcome or success of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liquidity and working capital requirements, including our long-term future cash requirements beyond the next 12 months;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expectations regarding future revenue and expenses;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expectations regarding the use of proceeds from this offering.</w:t>
      </w:r>
    </w:p>
    <w:p>
      <w:pPr>
        <w:spacing w:after="0" w:line="224"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6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8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This prospectus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prospectus is also based on our internal estimates. We are responsible for the information contained in the prospectus and believe it to be reasonable.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28" w:lineRule="exact"/>
        <w:rPr>
          <w:sz w:val="20"/>
          <w:szCs w:val="20"/>
          <w:color w:val="auto"/>
        </w:rPr>
      </w:pPr>
    </w:p>
    <w:p>
      <w:pPr>
        <w:jc w:val="both"/>
        <w:ind w:firstLine="383"/>
        <w:spacing w:after="0" w:line="278" w:lineRule="auto"/>
        <w:rPr>
          <w:sz w:val="20"/>
          <w:szCs w:val="20"/>
          <w:color w:val="auto"/>
        </w:rPr>
      </w:pPr>
      <w:r>
        <w:rPr>
          <w:rFonts w:ascii="Arial" w:cs="Arial" w:eastAsia="Arial" w:hAnsi="Arial"/>
          <w:sz w:val="16"/>
          <w:szCs w:val="16"/>
          <w:color w:val="auto"/>
        </w:rPr>
        <w:t>We estimate that the net proceeds from the sale of shares of our common stock in this offering will be approximately $58.7 million, based on an assumed initial public offering price of $14.00 per share, the midpoint of the price range set forth on the cover page of this prospectus, and after deducting the estimated underwriting discounts and commissions and estimated offering expenses payable by us. If the underwriters' over-allotment option to purchase additional shares from us is exercised in full, we estimate that our net proceeds will be approximately $67.9 million. A $1.00 increase (decrease) in the assumed initial public offering price of $14.00 per share, the midpoint of the price range set forth on the cover page of this prospectus, would increase (decrease) the estimated net proceeds to us by $4.4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 increase (decrease) the net proceeds to us by $13.0 million, assuming a price of $14.00 per share, the midpoint of the price range set forth on the cover page of this prospectus, and after deducting the estimated underwriting discounts and commissions and estimated offering expenses payable by us.</w:t>
      </w:r>
    </w:p>
    <w:p>
      <w:pPr>
        <w:spacing w:after="0" w:line="176" w:lineRule="exact"/>
        <w:rPr>
          <w:sz w:val="20"/>
          <w:szCs w:val="20"/>
          <w:color w:val="auto"/>
        </w:rPr>
      </w:pPr>
    </w:p>
    <w:p>
      <w:pPr>
        <w:jc w:val="both"/>
        <w:ind w:firstLine="373"/>
        <w:spacing w:after="0" w:line="282"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to facilitate our future access to the public capital markets. We currently intend to use the net proceeds from this offering as follows:</w:t>
      </w:r>
    </w:p>
    <w:p>
      <w:pPr>
        <w:spacing w:after="0" w:line="183" w:lineRule="exact"/>
        <w:rPr>
          <w:sz w:val="20"/>
          <w:szCs w:val="20"/>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approximately $20.0 million for selling and marketing activities, including expansion of our sales force to support the ongoing commercialization of our current products and future products;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approximately $20.0 million for research and development, including medical and clinical costs, related to the continued support of Afirma as well as the development of our product pipeline;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remainder for general and administrative expenses (including compensation of our officers and directors and other personnel-related costs and costs of operating as a public company), and for working capital and other general corporate purposes.</w:t>
      </w:r>
    </w:p>
    <w:p>
      <w:pPr>
        <w:spacing w:after="0" w:line="170" w:lineRule="exact"/>
        <w:rPr>
          <w:sz w:val="20"/>
          <w:szCs w:val="20"/>
          <w:color w:val="auto"/>
        </w:rPr>
      </w:pPr>
    </w:p>
    <w:p>
      <w:pPr>
        <w:jc w:val="both"/>
        <w:ind w:firstLine="347"/>
        <w:spacing w:after="0" w:line="278" w:lineRule="auto"/>
        <w:rPr>
          <w:sz w:val="20"/>
          <w:szCs w:val="20"/>
          <w:color w:val="auto"/>
        </w:rPr>
      </w:pPr>
      <w:r>
        <w:rPr>
          <w:rFonts w:ascii="Arial" w:cs="Arial" w:eastAsia="Arial" w:hAnsi="Arial"/>
          <w:sz w:val="16"/>
          <w:szCs w:val="16"/>
          <w:color w:val="auto"/>
        </w:rPr>
        <w:t>The expected use of the net proceeds from this offering represents our intentions based upon our current plans and business conditions, which could change in the future as our plans and business conditions evolve. As of the date of this prospectus, we cannot specify with certainty all of the particular uses for the net proceeds to be received upon the closing of this offering. We will have discretion in the way that we use the net proceeds and investors will be relying on our judgment regarding the application of the net proceeds of this offering. The amounts and timing of our actual expenditures depend on numerous factors, including the following: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completion or termination of our clinical trials and other studies and the results of such trials or studies; costs related to sample acquisition for clinical trials; the progress of our preclinical research efforts; changes in the level of FDA regulation applicable to Afirma or future tests we may develop, and costs of compliance with regulation of Afirma outside of the United States; identification of opportunities to acquire businesses or assets or license technologies that we believe are in the best interests of our stockholders; or other material unforeseen cash needs.</w:t>
      </w:r>
    </w:p>
    <w:p>
      <w:pPr>
        <w:spacing w:after="0" w:line="176"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Depending on the outcome of these factors, our plans and priorities may change, and we may be required to apply the net proceeds of this offering differently than we currently anticipate, and it may be necessary to allocate more or less of the net proceeds to the categories described above. We do not expect that we will decrease our estimated allocations to research and development or selling and marketing to fund potential acquisitions or for general and administrative expenses if doing so would have an adverse effect on the financial resources we believe will be necessary for us to pursue our business goals.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Alternative uses for the net proceeds include:</w:t>
      </w:r>
    </w:p>
    <w:p>
      <w:pPr>
        <w:spacing w:after="0" w:line="237" w:lineRule="exact"/>
        <w:rPr>
          <w:sz w:val="20"/>
          <w:szCs w:val="20"/>
          <w:color w:val="auto"/>
        </w:rPr>
      </w:pPr>
    </w:p>
    <w:p>
      <w:pPr>
        <w:jc w:val="both"/>
        <w:ind w:left="1060" w:hanging="531"/>
        <w:spacing w:after="0" w:line="265"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allocation to research and development in the event we decide to focus our efforts on new disease indications, new products or the acceleration of the development of products in our pipeline, or that we are required to conduct additional clinical trials or other research and development activities in response to changes in FDA regulations applicable to Afirma or other tests we may develop, or regulations related to selling Afirma outside of the United States;</w:t>
      </w:r>
    </w:p>
    <w:p>
      <w:pPr>
        <w:spacing w:after="0" w:line="211"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decreased allocation to research and development in the event we abandon or are unable to continue any of our current research and development activities, trials or studies, or complete current research and development activities and elect not to begin new research and development efforts;</w:t>
      </w:r>
    </w:p>
    <w:p>
      <w:pPr>
        <w:spacing w:after="0" w:line="136" w:lineRule="exact"/>
        <w:rPr>
          <w:rFonts w:ascii="Arial" w:cs="Arial" w:eastAsia="Arial" w:hAnsi="Arial"/>
          <w:sz w:val="15"/>
          <w:szCs w:val="15"/>
          <w:color w:val="auto"/>
        </w:rPr>
      </w:pPr>
    </w:p>
    <w:p>
      <w:pPr>
        <w:jc w:val="both"/>
        <w:ind w:left="1060" w:hanging="531"/>
        <w:spacing w:after="0" w:line="270"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allocation to selling and marketing activities to drive increased adoption of Afirma, accelerate our international expansion efforts or to address unanticipated challenges in connection with our international expansion, or in order to comply with payment obligations under our co-promotion agreement;</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decreased allocation to selling and marketing in the event we decide to forego, scale-back or delay our expansion into international markets, or decide not to increase our internal selling and marketing efforts;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allocation to general and administrative in the event we increase our billing and collections and customer service capabilities to address increased adoption of and reimbursement for Afirma; and</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allocation to research and development or selling and marketing, as applicable, in the event we license complementary technologies or acquire complementary businesses or other assets, although we have no current commitments, understandings or agreements with respect to any material acquisition or license.</w:t>
      </w:r>
    </w:p>
    <w:p>
      <w:pPr>
        <w:spacing w:after="0" w:line="179" w:lineRule="exact"/>
        <w:rPr>
          <w:sz w:val="20"/>
          <w:szCs w:val="20"/>
          <w:color w:val="auto"/>
        </w:rPr>
      </w:pPr>
    </w:p>
    <w:p>
      <w:pPr>
        <w:jc w:val="both"/>
        <w:ind w:firstLine="415"/>
        <w:spacing w:after="0" w:line="282" w:lineRule="auto"/>
        <w:rPr>
          <w:sz w:val="20"/>
          <w:szCs w:val="20"/>
          <w:color w:val="auto"/>
        </w:rPr>
      </w:pPr>
      <w:r>
        <w:rPr>
          <w:rFonts w:ascii="Arial" w:cs="Arial" w:eastAsia="Arial" w:hAnsi="Arial"/>
          <w:sz w:val="17"/>
          <w:szCs w:val="17"/>
          <w:color w:val="auto"/>
        </w:rPr>
        <w:t>Pending their use, we plan to invest the net proceeds in short- and intermediate-term, interest-bearing obligations, investment-grade instruments, certificates of deposit or direct or guaranteed obligations of the U.S. government.</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cash equivalents and capitalization as of June 30, 2013, as follows:</w:t>
      </w:r>
    </w:p>
    <w:p>
      <w:pPr>
        <w:spacing w:after="0" w:line="237"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 pro forma basis to give effect to the automatic conversion of all outstanding shares of our convertible preferred stock into an aggregate of 14,997,312 shares of common stock upon the closing of this offering; and</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the receipt of the estimated net proceeds from the sale of 4,700,000 shares of common stock in this offering at a price of $14.00 per share, the midpoint of the price range set forth on the cover page of this prospectus, and after deducting the estimated underwriting discounts and commissions and estimated expenses payable by us.</w:t>
      </w:r>
    </w:p>
    <w:p>
      <w:pPr>
        <w:spacing w:after="0" w:line="179"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7"/>
          <w:szCs w:val="17"/>
          <w:color w:val="auto"/>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9"/>
              </w:rPr>
              <w:t>As of June 30, 2013</w:t>
            </w: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18"/>
              <w:spacing w:after="0" w:line="124" w:lineRule="exact"/>
              <w:rPr>
                <w:sz w:val="20"/>
                <w:szCs w:val="20"/>
                <w:color w:val="auto"/>
              </w:rPr>
            </w:pPr>
            <w:r>
              <w:rPr>
                <w:rFonts w:ascii="Arial" w:cs="Arial" w:eastAsia="Arial" w:hAnsi="Arial"/>
                <w:sz w:val="13"/>
                <w:szCs w:val="13"/>
                <w:b w:val="1"/>
                <w:bCs w:val="1"/>
                <w:color w:val="auto"/>
                <w:w w:val="89"/>
              </w:rPr>
              <w:t>Pro Forma as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4"/>
        </w:trPr>
        <w:tc>
          <w:tcPr>
            <w:tcW w:w="616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w w:val="80"/>
              </w:rPr>
              <w:t>(In thousands,</w:t>
            </w:r>
          </w:p>
        </w:tc>
        <w:tc>
          <w:tcPr>
            <w:tcW w:w="180" w:type="dxa"/>
            <w:vAlign w:val="bottom"/>
            <w:gridSpan w:val="2"/>
          </w:tcPr>
          <w:p>
            <w:pPr>
              <w:spacing w:after="0"/>
              <w:rPr>
                <w:sz w:val="10"/>
                <w:szCs w:val="10"/>
                <w:color w:val="auto"/>
              </w:rPr>
            </w:pP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93"/>
              </w:rPr>
              <w:t>except share</w:t>
            </w:r>
          </w:p>
        </w:tc>
        <w:tc>
          <w:tcPr>
            <w:tcW w:w="1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74"/>
              </w:rPr>
              <w:t>and</w:t>
            </w:r>
          </w:p>
        </w:tc>
        <w:tc>
          <w:tcPr>
            <w:tcW w:w="96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w w:val="98"/>
              </w:rPr>
              <w:t>per share data)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20,683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20,683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79,377</w:t>
            </w:r>
          </w:p>
        </w:tc>
        <w:tc>
          <w:tcPr>
            <w:tcW w:w="0" w:type="dxa"/>
            <w:vAlign w:val="bottom"/>
          </w:tcPr>
          <w:p>
            <w:pPr>
              <w:spacing w:after="0"/>
              <w:rPr>
                <w:sz w:val="1"/>
                <w:szCs w:val="1"/>
                <w:color w:val="auto"/>
              </w:rPr>
            </w:pPr>
          </w:p>
        </w:tc>
      </w:tr>
      <w:tr>
        <w:trPr>
          <w:trHeight w:val="26"/>
        </w:trPr>
        <w:tc>
          <w:tcPr>
            <w:tcW w:w="6160" w:type="dxa"/>
            <w:vAlign w:val="bottom"/>
            <w:vMerge w:val="restart"/>
          </w:tcPr>
          <w:p>
            <w:pPr>
              <w:ind w:left="20"/>
              <w:spacing w:after="0"/>
              <w:rPr>
                <w:sz w:val="20"/>
                <w:szCs w:val="20"/>
                <w:color w:val="auto"/>
              </w:rPr>
            </w:pPr>
            <w:r>
              <w:rPr>
                <w:rFonts w:ascii="Arial" w:cs="Arial" w:eastAsia="Arial" w:hAnsi="Arial"/>
                <w:sz w:val="17"/>
                <w:szCs w:val="17"/>
                <w:color w:val="auto"/>
              </w:rPr>
              <w:t>Long-term debt, net of discount</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60" w:type="dxa"/>
            <w:vAlign w:val="bottom"/>
            <w:vMerge w:val="continue"/>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1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warrant liability</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60" w:type="dxa"/>
            <w:vAlign w:val="bottom"/>
          </w:tcPr>
          <w:p>
            <w:pPr>
              <w:ind w:left="20"/>
              <w:spacing w:after="0"/>
              <w:rPr>
                <w:sz w:val="20"/>
                <w:szCs w:val="20"/>
                <w:color w:val="auto"/>
              </w:rPr>
            </w:pPr>
            <w:r>
              <w:rPr>
                <w:rFonts w:ascii="Arial" w:cs="Arial" w:eastAsia="Arial" w:hAnsi="Arial"/>
                <w:sz w:val="17"/>
                <w:szCs w:val="17"/>
                <w:color w:val="auto"/>
              </w:rPr>
              <w:t>Convertible preferred stock, par value $0.001 per share: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Arial" w:cs="Arial" w:eastAsia="Arial" w:hAnsi="Arial"/>
                <w:sz w:val="17"/>
                <w:szCs w:val="17"/>
                <w:color w:val="auto"/>
              </w:rPr>
              <w:t>60,187,700 shares authorized, 59,989,268 issued and outstanding,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Arial" w:cs="Arial" w:eastAsia="Arial" w:hAnsi="Arial"/>
                <w:sz w:val="17"/>
                <w:szCs w:val="17"/>
                <w:color w:val="auto"/>
              </w:rPr>
              <w:t>actual; no shares authorized, issued or outstanding, pro forma</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tcPr>
          <w:p>
            <w:pPr>
              <w:ind w:left="180"/>
              <w:spacing w:after="0"/>
              <w:rPr>
                <w:sz w:val="20"/>
                <w:szCs w:val="20"/>
                <w:color w:val="auto"/>
              </w:rPr>
            </w:pPr>
            <w:r>
              <w:rPr>
                <w:rFonts w:ascii="Arial" w:cs="Arial" w:eastAsia="Arial" w:hAnsi="Arial"/>
                <w:sz w:val="17"/>
                <w:szCs w:val="17"/>
                <w:color w:val="auto"/>
              </w:rPr>
              <w:t>and pro forma as adjusted</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79,025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160" w:type="dxa"/>
            <w:vAlign w:val="bottom"/>
          </w:tcPr>
          <w:p>
            <w:pPr>
              <w:ind w:left="180"/>
              <w:spacing w:after="0"/>
              <w:rPr>
                <w:sz w:val="20"/>
                <w:szCs w:val="20"/>
                <w:color w:val="auto"/>
              </w:rPr>
            </w:pPr>
            <w:r>
              <w:rPr>
                <w:rFonts w:ascii="Arial" w:cs="Arial" w:eastAsia="Arial" w:hAnsi="Arial"/>
                <w:sz w:val="17"/>
                <w:szCs w:val="17"/>
                <w:color w:val="auto"/>
              </w:rPr>
              <w:t>Common stock, par value $0.001 per share: 77,000,000 shares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authorized, 928,713 shares issued and outstanding, actual;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125,000,000 shares authorized, 15,926,025 shares issued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outstanding, pro forma; 20,626,025 shares issued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tcPr>
          <w:p>
            <w:pPr>
              <w:ind w:left="360"/>
              <w:spacing w:after="0"/>
              <w:rPr>
                <w:sz w:val="20"/>
                <w:szCs w:val="20"/>
                <w:color w:val="auto"/>
              </w:rPr>
            </w:pPr>
            <w:r>
              <w:rPr>
                <w:rFonts w:ascii="Arial" w:cs="Arial" w:eastAsia="Arial" w:hAnsi="Arial"/>
                <w:sz w:val="17"/>
                <w:szCs w:val="17"/>
                <w:color w:val="auto"/>
              </w:rPr>
              <w:t>outstanding, pro forma as adjusted</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par value $0.001 per share; no shares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authorized, issued or outstanding actual and pro forma;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5,000,000 shares authorized, no shares issued or outstanding,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 forma as adjusted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2,666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81,851</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140,540</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(73,455)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(73,455)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(73,455)</w:t>
            </w:r>
          </w:p>
        </w:tc>
        <w:tc>
          <w:tcPr>
            <w:tcW w:w="0" w:type="dxa"/>
            <w:vAlign w:val="bottom"/>
          </w:tcPr>
          <w:p>
            <w:pPr>
              <w:spacing w:after="0"/>
              <w:rPr>
                <w:sz w:val="1"/>
                <w:szCs w:val="1"/>
                <w:color w:val="auto"/>
              </w:rPr>
            </w:pPr>
          </w:p>
        </w:tc>
      </w:tr>
      <w:tr>
        <w:trPr>
          <w:trHeight w:val="26"/>
        </w:trPr>
        <w:tc>
          <w:tcPr>
            <w:tcW w:w="6160" w:type="dxa"/>
            <w:vAlign w:val="bottom"/>
            <w:vMerge w:val="restart"/>
          </w:tcPr>
          <w:p>
            <w:pPr>
              <w:ind w:left="360"/>
              <w:spacing w:after="0"/>
              <w:rPr>
                <w:sz w:val="20"/>
                <w:szCs w:val="20"/>
                <w:color w:val="auto"/>
              </w:rPr>
            </w:pPr>
            <w:r>
              <w:rPr>
                <w:rFonts w:ascii="Arial" w:cs="Arial" w:eastAsia="Arial" w:hAnsi="Arial"/>
                <w:sz w:val="17"/>
                <w:szCs w:val="17"/>
                <w:color w:val="auto"/>
              </w:rPr>
              <w:t>Total stockholders' (deficit) equity</w:t>
            </w: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(70,788)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8,412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67,106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13,238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71,932</w:t>
            </w:r>
          </w:p>
        </w:tc>
        <w:tc>
          <w:tcPr>
            <w:tcW w:w="0" w:type="dxa"/>
            <w:vAlign w:val="bottom"/>
          </w:tcPr>
          <w:p>
            <w:pPr>
              <w:spacing w:after="0"/>
              <w:rPr>
                <w:sz w:val="1"/>
                <w:szCs w:val="1"/>
                <w:color w:val="auto"/>
              </w:rPr>
            </w:pPr>
          </w:p>
        </w:tc>
      </w:tr>
      <w:tr>
        <w:trPr>
          <w:trHeight w:val="26"/>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6"/>
        <w:spacing w:after="0" w:line="265" w:lineRule="auto"/>
        <w:rPr>
          <w:sz w:val="20"/>
          <w:szCs w:val="20"/>
          <w:color w:val="auto"/>
        </w:rPr>
      </w:pPr>
      <w:r>
        <w:rPr>
          <w:rFonts w:ascii="Arial" w:cs="Arial" w:eastAsia="Arial" w:hAnsi="Arial"/>
          <w:sz w:val="17"/>
          <w:szCs w:val="17"/>
          <w:color w:val="auto"/>
        </w:rPr>
        <w:t>A $1.00 increase (decrease) in the assumed initial public offering price of $14.00 per share, the midpoint of the price range set forth on the cover page of this prospectus, would increase (decrease) each of cash and cash equivalents, additional paid-in capital, total capitalization and total stockholders' (deficit) equity by $4.4 million, assuming that the number of shares offered by us, as set forth on the cover page of this prospectus, remains the same, and after deducting the estimated underwriting discounts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commissions and estimated offering expenses payable by us. Each increase (decrease) of 1.0 million shares in the number of shares offered by us would increase (decrease) cash and cash equivalents, additional paid-in capital, total capitalization and total stockholders' (deficit) equity by approximately $13.0 million, assuming an initial public offering price of $14.00 per share, the midpoint of the price 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7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If the underwriters' over-allotment option were exercised in full, pro forma as adjusted cash and cash equivalents, common stock, additional paid-in capital, total stockholders' equity and shares issued and outstanding as of June 30, 2013 would be $88.6 million, $21,000, $149.7 million, $76.3 million and 21,331,025, respectively.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common stock in the table above excludes:</w:t>
      </w:r>
    </w:p>
    <w:p>
      <w:pPr>
        <w:spacing w:after="0" w:line="237"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2,420,302 shares of common stock issuable upon the exercise of options outstanding at a weighted average exercise price of $2.78 per share;</w:t>
      </w:r>
    </w:p>
    <w:p>
      <w:pPr>
        <w:spacing w:after="0" w:line="261"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24,801 shares of common stock issuable upon the exercise of a warrant to purchase Series C preferred stock, which will become exercisable for shares of common stock upon the automatic conversion of our Series C preferred stock into common stock upon the closing of this offering, with an exercise price of $7.56 per share, and an additional 24,801 shares of common stock reserved for future issuance at the same exercise price and as to which the warrant will become exercisable in the event we draw down on or prior to March 31, 2014 a second term loan under our loan and security agreement with the warrant holder; and</w:t>
      </w:r>
    </w:p>
    <w:p>
      <w:pPr>
        <w:spacing w:after="0" w:line="200"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143,724 shares of common stock reserved for future issuance under our 2008 Stock Plan, and 1,700,000 shares of common stock, subject to increase on an annual basis, reserved for future issuance under our 2013 Stock Incentive Plan, which will become effective in connection with this offering.</w:t>
      </w:r>
    </w:p>
    <w:p>
      <w:pPr>
        <w:spacing w:after="0" w:line="123" w:lineRule="exact"/>
        <w:rPr>
          <w:sz w:val="20"/>
          <w:szCs w:val="20"/>
          <w:color w:val="auto"/>
        </w:rPr>
      </w:pPr>
    </w:p>
    <w:p>
      <w:pPr>
        <w:jc w:val="both"/>
        <w:ind w:firstLine="462"/>
        <w:spacing w:after="0" w:line="270" w:lineRule="auto"/>
        <w:rPr>
          <w:sz w:val="20"/>
          <w:szCs w:val="20"/>
          <w:color w:val="auto"/>
        </w:rPr>
      </w:pPr>
      <w:r>
        <w:rPr>
          <w:rFonts w:ascii="Arial" w:cs="Arial" w:eastAsia="Arial" w:hAnsi="Arial"/>
          <w:sz w:val="17"/>
          <w:szCs w:val="17"/>
          <w:color w:val="auto"/>
        </w:rPr>
        <w:t>Subsequent to June 30, 2013 through October 1, 2013, we issued 63,863 shares of common stock pursuant to the exercise of options and granted options to purchase 9,000 shares of common stock at an exercise price of $7.92 per share. On October 2, 2013, we granted options to purchase 58,375 shares of common stock at an exercise price of $12.12 per share.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firstLine="377"/>
        <w:spacing w:after="0" w:line="315"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46" w:lineRule="exact"/>
        <w:rPr>
          <w:sz w:val="20"/>
          <w:szCs w:val="20"/>
          <w:color w:val="auto"/>
        </w:rPr>
      </w:pPr>
    </w:p>
    <w:p>
      <w:pPr>
        <w:jc w:val="both"/>
        <w:ind w:firstLine="544"/>
        <w:spacing w:after="0" w:line="263" w:lineRule="auto"/>
        <w:rPr>
          <w:sz w:val="20"/>
          <w:szCs w:val="20"/>
          <w:color w:val="auto"/>
        </w:rPr>
      </w:pPr>
      <w:r>
        <w:rPr>
          <w:rFonts w:ascii="Arial" w:cs="Arial" w:eastAsia="Arial" w:hAnsi="Arial"/>
          <w:sz w:val="17"/>
          <w:szCs w:val="17"/>
          <w:color w:val="auto"/>
        </w:rPr>
        <w:t>Net tangible book value per share is determined by dividing our total tangible assets less our total liabilities by the number of shares of common stock outstanding. Our historical net tangible book value (deficit) as of June 30, 2013, was ($70.9) million, or ($76.35) per share of common stock. Our pro forma net tangible book value as of June 30, 2013, was $8.3 million, or $0.52 per share of common stock, based on the total number of shares of our common stock outstanding as of June 30, 2013, after giving effect to the automatic conversion of all outstanding shares of our convertible preferred stock into common stock upon the closing of this offering.</w:t>
      </w:r>
    </w:p>
    <w:p>
      <w:pPr>
        <w:spacing w:after="0" w:line="187"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$14.00 per share, the midpoint of the price range set forth on the cover page of this prospectus, and after deducting the estimated underwriting discounts and commissions and estimated offering expenses payable by us, our pro forma as adjusted net tangible book value as of June 30, 2013 would have been $67.0 million, or $3.25 per share. This represents an immediate increase in pro forma net tangible book value of $2.73 per share to existing stockholders and an immediate dilution in net tangible book value of $10.75 per share to purchasers of common stock in this offering, as illustrated in the following table:</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180"/>
              <w:spacing w:after="0"/>
              <w:rPr>
                <w:sz w:val="20"/>
                <w:szCs w:val="20"/>
                <w:color w:val="auto"/>
              </w:rPr>
            </w:pPr>
            <w:r>
              <w:rPr>
                <w:rFonts w:ascii="Arial" w:cs="Arial" w:eastAsia="Arial" w:hAnsi="Arial"/>
                <w:sz w:val="17"/>
                <w:szCs w:val="17"/>
                <w:color w:val="auto"/>
              </w:rPr>
              <w:t>Pro forma net tangible book value per share as of June 30, 2013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3.25</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investors participating in this offering</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76"/>
        <w:spacing w:after="0" w:line="278" w:lineRule="auto"/>
        <w:rPr>
          <w:sz w:val="20"/>
          <w:szCs w:val="20"/>
          <w:color w:val="auto"/>
        </w:rPr>
      </w:pPr>
      <w:r>
        <w:rPr>
          <w:rFonts w:ascii="Arial" w:cs="Arial" w:eastAsia="Arial" w:hAnsi="Arial"/>
          <w:sz w:val="16"/>
          <w:szCs w:val="16"/>
          <w:color w:val="auto"/>
        </w:rPr>
        <w:t>Each $1.00 increase (decrease) in the assumed public offering price of $14.00 per share, the midpoint of the price range set forth on the cover page of this prospectus, would increase (decrease) our pro forma as adjusted net tangible book value by approximately $4.4 million, or approximately $0.21 per share, and the dilution per share to investors in this offering by approximately $0.79 per share,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 increase (decrease) our pro forma as adjusted net tangible book value by approximately $13.0 million, or approximately $0.45 per share, and (decrease) increase the pro forma dilution per share to investors in this offering by approximately $(0.45) per share, assuming an initial public offering price of $14.00 per share, the midpoint of the price 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76"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If the underwriters' over-allotment option to purchase additional shares is exercised in full, the pro forma as adjusted net tangible book value per share after this offering would be $3.57 per share, the increase in pro forma as adjusted net tangible book value per share to existing stockholders would be $0.32 per share and the dilution to new investors purchasing shares in this offering would be $10.43 per share.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The following table presents, on a pro forma as adjusted basis as of June 30, 2013, the differences between existing stockholders and purchasers of shares in this offering with respect to the number of shares purchased from us, the total consideration paid or to be paid and the average price paid per share assuming with respect to the purchasers of shares in this offering an initial public offering price of $14.00 per share, the midpoint of the price range on the cover of this prospectus before deducting estimated underwriting discounts and commissions and estimated expenses payable by us: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1840" w:type="dxa"/>
            <w:vAlign w:val="bottom"/>
            <w:gridSpan w:val="5"/>
            <w:vMerge w:val="restart"/>
          </w:tcPr>
          <w:p>
            <w:pPr>
              <w:jc w:val="right"/>
              <w:ind w:right="720"/>
              <w:spacing w:after="0"/>
              <w:rPr>
                <w:sz w:val="20"/>
                <w:szCs w:val="20"/>
                <w:color w:val="auto"/>
              </w:rPr>
            </w:pPr>
            <w:r>
              <w:rPr>
                <w:rFonts w:ascii="Arial" w:cs="Arial" w:eastAsia="Arial" w:hAnsi="Arial"/>
                <w:sz w:val="13"/>
                <w:szCs w:val="13"/>
                <w:b w:val="1"/>
                <w:bCs w:val="1"/>
                <w:color w:val="auto"/>
              </w:rPr>
              <w:t>Total Shares</w:t>
            </w:r>
          </w:p>
        </w:tc>
        <w:tc>
          <w:tcPr>
            <w:tcW w:w="1800" w:type="dxa"/>
            <w:vAlign w:val="bottom"/>
            <w:gridSpan w:val="4"/>
            <w:vMerge w:val="restart"/>
          </w:tcPr>
          <w:p>
            <w:pPr>
              <w:jc w:val="right"/>
              <w:ind w:right="480"/>
              <w:spacing w:after="0"/>
              <w:rPr>
                <w:sz w:val="20"/>
                <w:szCs w:val="20"/>
                <w:color w:val="auto"/>
              </w:rPr>
            </w:pPr>
            <w:r>
              <w:rPr>
                <w:rFonts w:ascii="Arial" w:cs="Arial" w:eastAsia="Arial" w:hAnsi="Arial"/>
                <w:sz w:val="13"/>
                <w:szCs w:val="13"/>
                <w:b w:val="1"/>
                <w:bCs w:val="1"/>
                <w:color w:val="auto"/>
              </w:rPr>
              <w:t>Total Consideration</w:t>
            </w:r>
          </w:p>
        </w:tc>
        <w:tc>
          <w:tcPr>
            <w:tcW w:w="12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59"/>
        </w:trPr>
        <w:tc>
          <w:tcPr>
            <w:tcW w:w="46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4620" w:type="dxa"/>
            <w:vAlign w:val="bottom"/>
          </w:tcPr>
          <w:p>
            <w:pPr>
              <w:spacing w:after="0"/>
              <w:rPr>
                <w:sz w:val="13"/>
                <w:szCs w:val="13"/>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per Share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stockholders before this offering</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15,926,025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77.2% $</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78,884,997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54.5% $</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7"/>
                <w:szCs w:val="17"/>
                <w:color w:val="auto"/>
              </w:rPr>
              <w:t>Investors participating in this offering</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4,700,000</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22.8</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65,800,000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45.5</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20,626,025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 $</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144,684,997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6"/>
          <w:szCs w:val="16"/>
          <w:color w:val="auto"/>
        </w:rPr>
        <w:t>Each $1.00 increase (decrease) in the assumed initial public offering price of $14.00 per share, the midpoint of the price range set forth on the cover page of this prospectus, would increase (decrease) the total consideration paid to us by new investors and total consideration paid to us by all stockholders by $4.4 million, assuming that the number of shares offered by us, as set forth on the cover page of this prospectus, remains the same, and after deducting the estimated underwriting discounts and commissions and estimated offering expenses payable by us. An increase (decrease) of 1.0 million shares in the number of shares offered by us would increase (decrease) the total consideration paid to us by new investors and total consideration paid to us by all stockholders by $13.0 million, assuming an initial public offering price of $14.00 per share, the midpoint of the price range set forth on the cover page of this prospectus, and after deducting the estimated underwriting discounts and commissions and estimated offering expenses payable by us.</w:t>
      </w:r>
    </w:p>
    <w:p>
      <w:pPr>
        <w:spacing w:after="0" w:line="175"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If the underwriters' over-allotment option to purchase additional shares is exercised in full, existing stockholders would own 74.7% and new investors would own 25.3% of the total number of shares of our common stock outstanding immediately after this offering.</w:t>
      </w:r>
    </w:p>
    <w:p>
      <w:pPr>
        <w:spacing w:after="0" w:line="170"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The calculations above are based on 15,926,025 shares outstanding as of June 30, 2013 after giving effect to the automatic conversion of all outstanding shares of convertible preferred stock into common stock upon the closing of this offering and exclude:</w:t>
      </w:r>
    </w:p>
    <w:p>
      <w:pPr>
        <w:spacing w:after="0" w:line="183"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2,420,302 shares of common stock issuable upon the exercise of options outstanding at a weighted average exercise price of $2.78 per share;</w:t>
      </w:r>
    </w:p>
    <w:p>
      <w:pPr>
        <w:spacing w:after="0" w:line="261"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24,801 shares of common stock issuable upon the exercise of a warrant to purchase Series C preferred stock, which will become exercisable for shares of common stock upon the automatic conversion of our Series C preferred stock into common stock upon the closing of this offering, with an exercise price of $7.56 per share, and an additional 24,801 shares of common stock reserved for future issuance at the same exercise price and as to which the warrant will become exercisable in the event we draw down on or prior to March 31, 2014 a second term loan under our loan and security agreement with the warrant holder; and</w:t>
      </w:r>
    </w:p>
    <w:p>
      <w:pPr>
        <w:spacing w:after="0" w:line="200"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143,724 shares of common stock reserved for future issuance under our 2008 Stock Plan, and 1,700,000 shares of common stock, subject to increase on an annual basis, reserved for future issuance under our 2013 Stock Incentive Plan, which will become effective in connection with this offering.</w:t>
      </w:r>
    </w:p>
    <w:p>
      <w:pPr>
        <w:spacing w:after="0" w:line="123" w:lineRule="exact"/>
        <w:rPr>
          <w:sz w:val="20"/>
          <w:szCs w:val="20"/>
          <w:color w:val="auto"/>
        </w:rPr>
      </w:pPr>
    </w:p>
    <w:p>
      <w:pPr>
        <w:jc w:val="both"/>
        <w:ind w:firstLine="462"/>
        <w:spacing w:after="0" w:line="270" w:lineRule="auto"/>
        <w:rPr>
          <w:sz w:val="20"/>
          <w:szCs w:val="20"/>
          <w:color w:val="auto"/>
        </w:rPr>
      </w:pPr>
      <w:r>
        <w:rPr>
          <w:rFonts w:ascii="Arial" w:cs="Arial" w:eastAsia="Arial" w:hAnsi="Arial"/>
          <w:sz w:val="17"/>
          <w:szCs w:val="17"/>
          <w:color w:val="auto"/>
        </w:rPr>
        <w:t>Subsequent to June 30, 2013 through October 1, 2013, we issued 63,863 shares of common stock pursuant to the exercise of options and granted options to purchase 9,000 shares of common stock at an exercise price of $7.92 per share. On October 2, 2013, we granted options to purchase 58,375 shares of common stock at an exercise price of $12.12 per share.</w:t>
      </w:r>
    </w:p>
    <w:p>
      <w:pPr>
        <w:spacing w:after="0" w:line="179" w:lineRule="exact"/>
        <w:rPr>
          <w:sz w:val="20"/>
          <w:szCs w:val="20"/>
          <w:color w:val="auto"/>
        </w:rPr>
      </w:pPr>
    </w:p>
    <w:p>
      <w:pPr>
        <w:jc w:val="both"/>
        <w:ind w:firstLine="356"/>
        <w:spacing w:after="0" w:line="282" w:lineRule="auto"/>
        <w:rPr>
          <w:sz w:val="20"/>
          <w:szCs w:val="20"/>
          <w:color w:val="auto"/>
        </w:rPr>
      </w:pPr>
      <w:r>
        <w:rPr>
          <w:rFonts w:ascii="Arial" w:cs="Arial" w:eastAsia="Arial" w:hAnsi="Arial"/>
          <w:sz w:val="17"/>
          <w:szCs w:val="17"/>
          <w:color w:val="auto"/>
        </w:rPr>
        <w:t>To the extent that any outstanding options or warrants are exercised or new options are issued under our incentive plans, there will be further dilution to investors participating in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8" w:lineRule="exact"/>
        <w:rPr>
          <w:sz w:val="20"/>
          <w:szCs w:val="20"/>
          <w:color w:val="auto"/>
        </w:rPr>
      </w:pPr>
    </w:p>
    <w:p>
      <w:pPr>
        <w:jc w:val="both"/>
        <w:ind w:firstLine="418"/>
        <w:spacing w:after="0" w:line="278" w:lineRule="auto"/>
        <w:rPr>
          <w:sz w:val="20"/>
          <w:szCs w:val="20"/>
          <w:color w:val="auto"/>
        </w:rPr>
      </w:pPr>
      <w:r>
        <w:rPr>
          <w:rFonts w:ascii="Arial" w:cs="Arial" w:eastAsia="Arial" w:hAnsi="Arial"/>
          <w:sz w:val="16"/>
          <w:szCs w:val="16"/>
          <w:color w:val="auto"/>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six months ended June 30, 2012 and 2013 and the selected balance sheets data as of June 30,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234"/>
              <w:spacing w:after="0"/>
              <w:rPr>
                <w:sz w:val="20"/>
                <w:szCs w:val="20"/>
                <w:color w:val="auto"/>
              </w:rPr>
            </w:pPr>
            <w:r>
              <w:rPr>
                <w:rFonts w:ascii="Arial" w:cs="Arial" w:eastAsia="Arial" w:hAnsi="Arial"/>
                <w:sz w:val="13"/>
                <w:szCs w:val="13"/>
                <w:b w:val="1"/>
                <w:bCs w:val="1"/>
                <w:color w:val="auto"/>
                <w:w w:val="91"/>
              </w:rPr>
              <w:t>Year Ended December 31,</w:t>
            </w:r>
          </w:p>
        </w:tc>
        <w:tc>
          <w:tcPr>
            <w:tcW w:w="180" w:type="dxa"/>
            <w:vAlign w:val="bottom"/>
          </w:tcPr>
          <w:p>
            <w:pPr>
              <w:spacing w:after="0"/>
              <w:rPr>
                <w:sz w:val="13"/>
                <w:szCs w:val="13"/>
                <w:color w:val="auto"/>
              </w:rPr>
            </w:pPr>
          </w:p>
        </w:tc>
        <w:tc>
          <w:tcPr>
            <w:tcW w:w="980" w:type="dxa"/>
            <w:vAlign w:val="bottom"/>
            <w:gridSpan w:val="3"/>
          </w:tcPr>
          <w:p>
            <w:pPr>
              <w:jc w:val="center"/>
              <w:ind w:left="339"/>
              <w:spacing w:after="0"/>
              <w:rPr>
                <w:sz w:val="20"/>
                <w:szCs w:val="20"/>
                <w:color w:val="auto"/>
              </w:rPr>
            </w:pPr>
            <w:r>
              <w:rPr>
                <w:rFonts w:ascii="Arial" w:cs="Arial" w:eastAsia="Arial" w:hAnsi="Arial"/>
                <w:sz w:val="13"/>
                <w:szCs w:val="13"/>
                <w:b w:val="1"/>
                <w:bCs w:val="1"/>
                <w:color w:val="auto"/>
                <w:w w:val="92"/>
              </w:rPr>
              <w:t>June 30,</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7"/>
              </w:rPr>
              <w:t>thousands, except</w:t>
            </w:r>
          </w:p>
        </w:tc>
        <w:tc>
          <w:tcPr>
            <w:tcW w:w="2060" w:type="dxa"/>
            <w:vAlign w:val="bottom"/>
            <w:gridSpan w:val="7"/>
          </w:tcPr>
          <w:p>
            <w:pPr>
              <w:jc w:val="right"/>
              <w:ind w:right="640"/>
              <w:spacing w:after="0" w:line="124" w:lineRule="exact"/>
              <w:rPr>
                <w:sz w:val="20"/>
                <w:szCs w:val="20"/>
                <w:color w:val="auto"/>
              </w:rPr>
            </w:pPr>
            <w:r>
              <w:rPr>
                <w:rFonts w:ascii="Arial" w:cs="Arial" w:eastAsia="Arial" w:hAnsi="Arial"/>
                <w:sz w:val="13"/>
                <w:szCs w:val="13"/>
                <w:b w:val="1"/>
                <w:bCs w:val="1"/>
                <w:color w:val="auto"/>
                <w:w w:val="88"/>
              </w:rPr>
              <w:t>share and per share data)</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2,645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11,628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3,947</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7,584</w:t>
            </w: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6,608</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8,447</w:t>
            </w: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3,045</w:t>
            </w: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7,918</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3,618</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30,557</w:t>
            </w:r>
          </w:p>
        </w:tc>
        <w:tc>
          <w:tcPr>
            <w:tcW w:w="18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12,821</w:t>
            </w:r>
          </w:p>
        </w:tc>
        <w:tc>
          <w:tcPr>
            <w:tcW w:w="2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278</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(24.90)</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(28.68)</w:t>
            </w:r>
          </w:p>
        </w:tc>
        <w:tc>
          <w:tcPr>
            <w:tcW w:w="16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7"/>
              </w:rPr>
              <w:t>Shares used in computing net loss per common share, basic and diluted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rPr>
              <w:t>580,061</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97"/>
              </w:rPr>
              <w:t>650,333</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7"/>
              </w:rPr>
              <w:t>638,318</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4"/>
              </w:rPr>
              <w:t>812,703</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FNAs received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25,890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9,535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23,181</w:t>
            </w: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employee stock-based compensation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Six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w w:val="89"/>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tcPr>
          <w:p>
            <w:pPr>
              <w:jc w:val="center"/>
              <w:ind w:left="44"/>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354"/>
              <w:spacing w:after="0"/>
              <w:rPr>
                <w:sz w:val="20"/>
                <w:szCs w:val="20"/>
                <w:color w:val="auto"/>
              </w:rPr>
            </w:pPr>
            <w:r>
              <w:rPr>
                <w:rFonts w:ascii="Arial" w:cs="Arial" w:eastAsia="Arial" w:hAnsi="Arial"/>
                <w:sz w:val="13"/>
                <w:szCs w:val="13"/>
                <w:b w:val="1"/>
                <w:bCs w:val="1"/>
                <w:color w:val="auto"/>
                <w:w w:val="89"/>
              </w:rPr>
              <w:t>December 31,</w:t>
            </w:r>
          </w:p>
        </w:tc>
        <w:tc>
          <w:tcPr>
            <w:tcW w:w="300" w:type="dxa"/>
            <w:vAlign w:val="bottom"/>
          </w:tcPr>
          <w:p>
            <w:pPr>
              <w:spacing w:after="0"/>
              <w:rPr>
                <w:sz w:val="13"/>
                <w:szCs w:val="13"/>
                <w:color w:val="auto"/>
              </w:rPr>
            </w:pPr>
          </w:p>
        </w:tc>
        <w:tc>
          <w:tcPr>
            <w:tcW w:w="600" w:type="dxa"/>
            <w:vAlign w:val="bottom"/>
            <w:gridSpan w:val="3"/>
          </w:tcPr>
          <w:p>
            <w:pPr>
              <w:jc w:val="center"/>
              <w:ind w:left="64"/>
              <w:spacing w:after="0"/>
              <w:rPr>
                <w:sz w:val="20"/>
                <w:szCs w:val="20"/>
                <w:color w:val="auto"/>
              </w:rPr>
            </w:pPr>
            <w:r>
              <w:rPr>
                <w:rFonts w:ascii="Arial" w:cs="Arial" w:eastAsia="Arial" w:hAnsi="Arial"/>
                <w:sz w:val="13"/>
                <w:szCs w:val="13"/>
                <w:b w:val="1"/>
                <w:bCs w:val="1"/>
                <w:color w:val="auto"/>
                <w:w w:val="88"/>
              </w:rPr>
              <w:t>June 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00" w:type="dxa"/>
            <w:vAlign w:val="bottom"/>
          </w:tcPr>
          <w:p>
            <w:pPr>
              <w:spacing w:after="0"/>
              <w:rPr>
                <w:sz w:val="11"/>
                <w:szCs w:val="11"/>
                <w:color w:val="auto"/>
              </w:rPr>
            </w:pPr>
          </w:p>
        </w:tc>
        <w:tc>
          <w:tcPr>
            <w:tcW w:w="56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ind w:right="58"/>
              <w:spacing w:after="0" w:line="124" w:lineRule="exact"/>
              <w:rPr>
                <w:sz w:val="20"/>
                <w:szCs w:val="20"/>
                <w:color w:val="auto"/>
              </w:rPr>
            </w:pPr>
            <w:r>
              <w:rPr>
                <w:rFonts w:ascii="Arial" w:cs="Arial" w:eastAsia="Arial" w:hAnsi="Arial"/>
                <w:sz w:val="13"/>
                <w:szCs w:val="13"/>
                <w:b w:val="1"/>
                <w:bCs w:val="1"/>
                <w:color w:val="auto"/>
                <w:w w:val="87"/>
              </w:rPr>
              <w:t>(In</w:t>
            </w:r>
          </w:p>
        </w:tc>
        <w:tc>
          <w:tcPr>
            <w:tcW w:w="7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r>
      <w:tr>
        <w:trPr>
          <w:trHeight w:val="210"/>
        </w:trPr>
        <w:tc>
          <w:tcPr>
            <w:tcW w:w="6200" w:type="dxa"/>
            <w:vAlign w:val="bottom"/>
          </w:tcPr>
          <w:p>
            <w:pPr>
              <w:ind w:left="28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131</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103</w:t>
            </w: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Selling and marketing</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w:t>
            </w:r>
          </w:p>
        </w:tc>
      </w:tr>
      <w:tr>
        <w:trPr>
          <w:trHeight w:val="216"/>
        </w:trPr>
        <w:tc>
          <w:tcPr>
            <w:tcW w:w="62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407</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297</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stock-based compensation</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466</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675</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489</w:t>
            </w:r>
          </w:p>
        </w:tc>
      </w:tr>
      <w:tr>
        <w:trPr>
          <w:trHeight w:val="26"/>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As of December 31,</w:t>
            </w: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As of June 30,</w:t>
            </w: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4"/>
                <w:szCs w:val="14"/>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Sheets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  7,566</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$ 14,002</w:t>
            </w:r>
          </w:p>
        </w:tc>
        <w:tc>
          <w:tcPr>
            <w:tcW w:w="3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20,683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7,390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14,049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10,451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19,067</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27,159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79,025</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(41,420)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(60,069)</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78"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Since we commercially launched Afirma in January 2011, we have processed over 50,000 fine needle aspiration, or FNA, samples for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Afirma and performed more than 10,000 GECs to resolve indeterminate cytopathology results.</w:t>
      </w:r>
    </w:p>
    <w:p>
      <w:pPr>
        <w:spacing w:after="0" w:line="179"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5" w:lineRule="exact"/>
        <w:rPr>
          <w:sz w:val="20"/>
          <w:szCs w:val="20"/>
          <w:color w:val="auto"/>
        </w:rPr>
      </w:pPr>
    </w:p>
    <w:p>
      <w:pPr>
        <w:jc w:val="both"/>
        <w:ind w:firstLine="343"/>
        <w:spacing w:after="0" w:line="287" w:lineRule="auto"/>
        <w:rPr>
          <w:sz w:val="20"/>
          <w:szCs w:val="20"/>
          <w:color w:val="auto"/>
        </w:rPr>
      </w:pPr>
      <w:r>
        <w:rPr>
          <w:rFonts w:ascii="Arial" w:cs="Arial" w:eastAsia="Arial" w:hAnsi="Arial"/>
          <w:sz w:val="16"/>
          <w:szCs w:val="16"/>
          <w:color w:val="auto"/>
        </w:rPr>
        <w:t>As of August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69"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Our revenue increased from $2.6 million in 2011 to $11.6 million in 2012. Our revenue increased from $3.9 million for the six months ended June 30, 2012 to $9.5 million for six months ended June 30, 2013. We incurred a net loss of $14.4 million and $18.6 million for the years ended December 31, 2011 and 2012, respectively, and $13.4 million for the six months ended June 30, 2013. As of June 30, 2013, we had an accumulated deficit of $73.5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generate revenue from the sale of our Afirma solution. We generally invoice third-party payers upon delivery of a patient report to the prescribing physician.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such, we take the assignment of benefits and the risk of collection from the third-party payer and individual patients.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7"/>
          <w:szCs w:val="17"/>
          <w:color w:val="auto"/>
        </w:rPr>
        <w:t>For tests performed where an agreed upon reimbursement rate and a predictable history of collections exists, such as in the case of Medicare,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563"/>
        <w:spacing w:after="0" w:line="261" w:lineRule="auto"/>
        <w:rPr>
          <w:sz w:val="20"/>
          <w:szCs w:val="20"/>
          <w:color w:val="auto"/>
        </w:rPr>
      </w:pPr>
      <w:r>
        <w:rPr>
          <w:rFonts w:ascii="Arial" w:cs="Arial" w:eastAsia="Arial" w:hAnsi="Arial"/>
          <w:sz w:val="17"/>
          <w:szCs w:val="17"/>
          <w:color w:val="auto"/>
        </w:rPr>
        <w:t>The components of our cost of revenue are materials and service costs, including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We expect that in the next 12 months the increase in research and development expenses will be for the continued development and support of Afirma and other new products and programs under development, including the Afirma Malignant GEC and our lung program.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24" w:lineRule="exact"/>
        <w:rPr>
          <w:sz w:val="20"/>
          <w:szCs w:val="20"/>
          <w:color w:val="auto"/>
        </w:rPr>
      </w:pPr>
    </w:p>
    <w:p>
      <w:pPr>
        <w:jc w:val="both"/>
        <w:ind w:firstLine="530"/>
        <w:spacing w:after="0" w:line="263" w:lineRule="auto"/>
        <w:rPr>
          <w:sz w:val="20"/>
          <w:szCs w:val="20"/>
          <w:color w:val="auto"/>
        </w:rPr>
      </w:pPr>
      <w:r>
        <w:rPr>
          <w:rFonts w:ascii="Arial" w:cs="Arial" w:eastAsia="Arial" w:hAnsi="Arial"/>
          <w:sz w:val="17"/>
          <w:szCs w:val="17"/>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the costs of hiring additional internal sales personnel associated with further penetrating the domestic market, and marketing and education expenses to drive market penetration and reimbursement.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and client services functions.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income is from interest on our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expense is attributable to our borrowings under the loan agreement entered into in June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24" w:lineRule="exact"/>
        <w:rPr>
          <w:sz w:val="20"/>
          <w:szCs w:val="20"/>
          <w:color w:val="auto"/>
        </w:rPr>
      </w:pPr>
    </w:p>
    <w:p>
      <w:pPr>
        <w:jc w:val="both"/>
        <w:ind w:firstLine="379"/>
        <w:spacing w:after="0" w:line="279" w:lineRule="auto"/>
        <w:rPr>
          <w:sz w:val="20"/>
          <w:szCs w:val="20"/>
          <w:color w:val="auto"/>
        </w:rPr>
      </w:pPr>
      <w:r>
        <w:rPr>
          <w:rFonts w:ascii="Arial" w:cs="Arial" w:eastAsia="Arial" w:hAnsi="Arial"/>
          <w:sz w:val="16"/>
          <w:szCs w:val="16"/>
          <w:color w:val="auto"/>
        </w:rPr>
        <w:t>Other income (expense), net is related primarily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B and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liabilities at each reporting period with the corresponding gain or loss from the adjustment recorded as other income (expense), net. The Series B liability expired in July 2011. The Series C liability expired in June 2013.</w:t>
      </w:r>
    </w:p>
    <w:p>
      <w:pPr>
        <w:spacing w:after="0" w:line="177"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In addition, other income (expense), net in 2011 includes $0.1 million we received from Genzyme in exchange for exclusive rights to negotiate a co-promotion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228"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5"/>
          <w:szCs w:val="15"/>
          <w:color w:val="auto"/>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23" w:lineRule="exact"/>
        <w:rPr>
          <w:sz w:val="20"/>
          <w:szCs w:val="20"/>
          <w:color w:val="auto"/>
        </w:rPr>
      </w:pPr>
    </w:p>
    <w:p>
      <w:pPr>
        <w:jc w:val="both"/>
        <w:ind w:firstLine="348"/>
        <w:spacing w:after="0" w:line="276" w:lineRule="auto"/>
        <w:rPr>
          <w:sz w:val="20"/>
          <w:szCs w:val="20"/>
          <w:color w:val="auto"/>
        </w:rPr>
      </w:pPr>
      <w:r>
        <w:rPr>
          <w:rFonts w:ascii="Arial" w:cs="Arial" w:eastAsia="Arial" w:hAnsi="Arial"/>
          <w:sz w:val="16"/>
          <w:szCs w:val="16"/>
          <w:color w:val="auto"/>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 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 For tests performed where an agreed upon reimbursement rate and a predictable history of collections exists,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w:t>
      </w:r>
    </w:p>
    <w:p>
      <w:pPr>
        <w:spacing w:after="0" w:line="180"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90"/>
        <w:spacing w:after="0" w:line="311" w:lineRule="auto"/>
        <w:rPr>
          <w:sz w:val="20"/>
          <w:szCs w:val="20"/>
          <w:color w:val="auto"/>
        </w:rPr>
      </w:pPr>
      <w:r>
        <w:rPr>
          <w:rFonts w:ascii="Arial" w:cs="Arial" w:eastAsia="Arial" w:hAnsi="Arial"/>
          <w:sz w:val="15"/>
          <w:szCs w:val="15"/>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55" w:lineRule="exact"/>
        <w:rPr>
          <w:sz w:val="20"/>
          <w:szCs w:val="20"/>
          <w:color w:val="auto"/>
        </w:rPr>
      </w:pPr>
    </w:p>
    <w:p>
      <w:pPr>
        <w:jc w:val="both"/>
        <w:ind w:firstLine="473"/>
        <w:spacing w:after="0" w:line="282" w:lineRule="auto"/>
        <w:rPr>
          <w:sz w:val="20"/>
          <w:szCs w:val="20"/>
          <w:color w:val="auto"/>
        </w:rPr>
      </w:pPr>
      <w:r>
        <w:rPr>
          <w:rFonts w:ascii="Arial" w:cs="Arial" w:eastAsia="Arial" w:hAnsi="Arial"/>
          <w:sz w:val="17"/>
          <w:szCs w:val="17"/>
          <w:color w:val="auto"/>
        </w:rPr>
        <w:t>If the financial conditions of our customers were to deteriorate, resulting in an impairment of their ability to make payments, additional allowances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Liability</w:t>
      </w:r>
    </w:p>
    <w:p>
      <w:pPr>
        <w:spacing w:after="0" w:line="224"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connection with our Series B and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jc w:val="both"/>
        <w:ind w:firstLine="494"/>
        <w:spacing w:after="0" w:line="265" w:lineRule="auto"/>
        <w:rPr>
          <w:sz w:val="20"/>
          <w:szCs w:val="20"/>
          <w:color w:val="auto"/>
        </w:rPr>
      </w:pPr>
      <w:r>
        <w:rPr>
          <w:rFonts w:ascii="Arial" w:cs="Arial" w:eastAsia="Arial" w:hAnsi="Arial"/>
          <w:sz w:val="17"/>
          <w:szCs w:val="17"/>
          <w:color w:val="auto"/>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69"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85"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We recorded stock-based compensation expense of $0.5 million, $0.7 million and $0.5 million for the years ended December 31, 2011, and 2012, and the six months ended June 30, 2013, respectively. We expect to continue to grant stock options and other equity-based awards in the future, and to the extent that we do, our stock-based compensation expense recognized in future periods will likely increase.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Black-Scholes option-pricing model requires the use of highly subjective and complex assumptions, which determine the fair value of stock-based awards.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assumptions are as follows:</w:t>
      </w:r>
    </w:p>
    <w:p>
      <w:pPr>
        <w:spacing w:after="0" w:line="231" w:lineRule="exact"/>
        <w:rPr>
          <w:sz w:val="20"/>
          <w:szCs w:val="20"/>
          <w:color w:val="auto"/>
        </w:rPr>
      </w:pPr>
    </w:p>
    <w:p>
      <w:pPr>
        <w:jc w:val="both"/>
        <w:ind w:left="1060" w:hanging="531"/>
        <w:spacing w:after="0" w:line="265"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stock-based awards are expected to be outstanding. Our historical share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experience does not 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our common stock has never been publicly traded, the expected volatility is derived from the average historical volatilities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companies within our industry that we consider to be comparable to our business over a period approximately equal to the expected term.</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grant for zero coupon U.S. Treasury notes</w:t>
      </w:r>
      <w:r>
        <w:rPr>
          <w:rFonts w:ascii="Arial" w:cs="Arial" w:eastAsia="Arial" w:hAnsi="Arial"/>
          <w:sz w:val="17"/>
          <w:szCs w:val="17"/>
          <w:i w:val="1"/>
          <w:iCs w:val="1"/>
          <w:color w:val="auto"/>
        </w:rPr>
        <w:t xml:space="preserve"> </w:t>
      </w:r>
      <w:r>
        <w:rPr>
          <w:rFonts w:ascii="Arial" w:cs="Arial" w:eastAsia="Arial" w:hAnsi="Arial"/>
          <w:sz w:val="17"/>
          <w:szCs w:val="17"/>
          <w:color w:val="auto"/>
        </w:rPr>
        <w:t>with maturities approximately equal to the expected term.</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The expected dividend is assumed to be zero as we have never paid dividends and have no current plans to pay any dividends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w:t>
      </w:r>
    </w:p>
    <w:p>
      <w:pPr>
        <w:spacing w:after="0" w:line="170"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the estimated fair value of our common stock</w:t>
      </w:r>
    </w:p>
    <w:p>
      <w:pPr>
        <w:spacing w:after="0" w:line="224"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212"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important developments in our operations, in particular coverage policies or contracts with third-party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valuations performed by an independent third party;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actual operating results and financial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conditions in our industry and the economy in general;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stock price performance of comparable public companies;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estimated likelihood of achieving a liquidity event, such as an IPO or an acquisition of our company, given prevailing market conditions;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illiquidity of the common stock underlying stock options.</w:t>
      </w:r>
    </w:p>
    <w:p>
      <w:pPr>
        <w:spacing w:after="0" w:line="224" w:lineRule="exact"/>
        <w:rPr>
          <w:sz w:val="20"/>
          <w:szCs w:val="20"/>
          <w:color w:val="auto"/>
        </w:rPr>
      </w:pPr>
    </w:p>
    <w:p>
      <w:pPr>
        <w:ind w:firstLine="350"/>
        <w:spacing w:after="0" w:line="282" w:lineRule="auto"/>
        <w:rPr>
          <w:sz w:val="20"/>
          <w:szCs w:val="20"/>
          <w:color w:val="auto"/>
        </w:rPr>
      </w:pPr>
      <w:r>
        <w:rPr>
          <w:rFonts w:ascii="Arial" w:cs="Arial" w:eastAsia="Arial" w:hAnsi="Arial"/>
          <w:sz w:val="17"/>
          <w:szCs w:val="17"/>
          <w:color w:val="auto"/>
        </w:rPr>
        <w:t>In determining the estimated fair value of our common stock, our board of directors, with the assistance of management, used the market approach to estimate the enterprise value of our company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accordance with the American Institute of Certified Public Accountants Accounting and Valuation Guide, </w:t>
      </w:r>
      <w:r>
        <w:rPr>
          <w:rFonts w:ascii="Arial" w:cs="Arial" w:eastAsia="Arial" w:hAnsi="Arial"/>
          <w:sz w:val="16"/>
          <w:szCs w:val="16"/>
          <w:i w:val="1"/>
          <w:iCs w:val="1"/>
          <w:color w:val="auto"/>
        </w:rPr>
        <w:t>Valuation of Privately-Held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The market approach, comprised of the Guideline Publicly Traded Company and the M&amp;A Transaction methodologies, estimates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76" w:lineRule="exact"/>
        <w:rPr>
          <w:sz w:val="20"/>
          <w:szCs w:val="20"/>
          <w:color w:val="auto"/>
        </w:rPr>
      </w:pPr>
    </w:p>
    <w:p>
      <w:pPr>
        <w:jc w:val="both"/>
        <w:ind w:firstLine="425"/>
        <w:spacing w:after="0" w:line="261" w:lineRule="auto"/>
        <w:rPr>
          <w:sz w:val="20"/>
          <w:szCs w:val="20"/>
          <w:color w:val="auto"/>
        </w:rPr>
      </w:pPr>
      <w:r>
        <w:rPr>
          <w:rFonts w:ascii="Arial" w:cs="Arial" w:eastAsia="Arial" w:hAnsi="Arial"/>
          <w:sz w:val="17"/>
          <w:szCs w:val="17"/>
          <w:color w:val="auto"/>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 M&amp;A Transaction methodology. As part of the Guideline Public Company methodology used in the January 2012, April 2013, June 2013 and September 2013 valuations, we took into consideration the revenue multiples and enterprise value of select companies that had completed IPOs in the molecular diagnostic industry in the prior twelve months. For the November 2012, April 2013 and June 2013 valuations, we also used the OPM Backsolve method, a form of the market approach to valuation, which derives the implied equity value for a company from a recent transaction involving the company's own securities.</w:t>
      </w:r>
    </w:p>
    <w:p>
      <w:pPr>
        <w:spacing w:after="0" w:line="190" w:lineRule="exact"/>
        <w:rPr>
          <w:sz w:val="20"/>
          <w:szCs w:val="20"/>
          <w:color w:val="auto"/>
        </w:rPr>
      </w:pPr>
    </w:p>
    <w:p>
      <w:pPr>
        <w:jc w:val="both"/>
        <w:ind w:firstLine="482"/>
        <w:spacing w:after="0" w:line="282" w:lineRule="auto"/>
        <w:rPr>
          <w:sz w:val="20"/>
          <w:szCs w:val="20"/>
          <w:color w:val="auto"/>
        </w:rPr>
      </w:pPr>
      <w:r>
        <w:rPr>
          <w:rFonts w:ascii="Arial" w:cs="Arial" w:eastAsia="Arial" w:hAnsi="Arial"/>
          <w:sz w:val="17"/>
          <w:szCs w:val="17"/>
          <w:color w:val="auto"/>
        </w:rPr>
        <w:t>The initial estimated enterprise value was then allocated to the common stock using the Option Pricing Method, the Probability Weighted Expected Return Method or the Hybrid Method.</w:t>
      </w:r>
    </w:p>
    <w:p>
      <w:pPr>
        <w:spacing w:after="0" w:line="170" w:lineRule="exact"/>
        <w:rPr>
          <w:sz w:val="20"/>
          <w:szCs w:val="20"/>
          <w:color w:val="auto"/>
        </w:rPr>
      </w:pPr>
    </w:p>
    <w:p>
      <w:pPr>
        <w:jc w:val="both"/>
        <w:ind w:firstLine="394"/>
        <w:spacing w:after="0" w:line="261" w:lineRule="auto"/>
        <w:rPr>
          <w:sz w:val="20"/>
          <w:szCs w:val="20"/>
          <w:color w:val="auto"/>
        </w:rPr>
      </w:pPr>
      <w:r>
        <w:rPr>
          <w:rFonts w:ascii="Arial" w:cs="Arial" w:eastAsia="Arial" w:hAnsi="Arial"/>
          <w:sz w:val="17"/>
          <w:szCs w:val="17"/>
          <w:color w:val="auto"/>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90" w:lineRule="exact"/>
        <w:rPr>
          <w:sz w:val="20"/>
          <w:szCs w:val="20"/>
          <w:color w:val="auto"/>
        </w:rPr>
      </w:pPr>
    </w:p>
    <w:p>
      <w:pPr>
        <w:jc w:val="both"/>
        <w:ind w:firstLine="349"/>
        <w:spacing w:after="0" w:line="301" w:lineRule="auto"/>
        <w:rPr>
          <w:sz w:val="20"/>
          <w:szCs w:val="20"/>
          <w:color w:val="auto"/>
        </w:rPr>
      </w:pPr>
      <w:r>
        <w:rPr>
          <w:rFonts w:ascii="Arial" w:cs="Arial" w:eastAsia="Arial" w:hAnsi="Arial"/>
          <w:sz w:val="15"/>
          <w:szCs w:val="15"/>
          <w:color w:val="auto"/>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Arial" w:cs="Arial" w:eastAsia="Arial" w:hAnsi="Arial"/>
          <w:sz w:val="15"/>
          <w:szCs w:val="15"/>
          <w:i w:val="1"/>
          <w:iCs w:val="1"/>
          <w:color w:val="auto"/>
        </w:rPr>
        <w:t>Valuation of Privately-Held Company Equity Securities</w:t>
      </w:r>
      <w:r>
        <w:rPr>
          <w:rFonts w:ascii="Arial" w:cs="Arial" w:eastAsia="Arial" w:hAnsi="Arial"/>
          <w:sz w:val="15"/>
          <w:szCs w:val="15"/>
          <w:color w:val="auto"/>
        </w:rPr>
        <w:t xml:space="preserve"> </w:t>
      </w:r>
      <w:r>
        <w:rPr>
          <w:rFonts w:ascii="Arial" w:cs="Arial" w:eastAsia="Arial" w:hAnsi="Arial"/>
          <w:sz w:val="15"/>
          <w:szCs w:val="15"/>
          <w:i w:val="1"/>
          <w:iCs w:val="1"/>
          <w:color w:val="auto"/>
        </w:rPr>
        <w:t>Issued as Compensation</w:t>
      </w:r>
      <w:r>
        <w:rPr>
          <w:rFonts w:ascii="Arial" w:cs="Arial" w:eastAsia="Arial" w:hAnsi="Arial"/>
          <w:sz w:val="15"/>
          <w:szCs w:val="15"/>
          <w:color w:val="auto"/>
        </w:rPr>
        <w:t>. In the IPO scenarios, it is assumed that all outstanding shares of our convertible preferred stock will convert into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Over time, as we achieve certain company-related milestones, the probability of each scenario is evaluated and adjusted accordingly.</w:t>
      </w:r>
    </w:p>
    <w:p>
      <w:pPr>
        <w:spacing w:after="0" w:line="224"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69"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Information regarding our stock option grants to our employees and non-employees, along with the estimated fair value per share of the underlying common stock, for stock options granted since January 1, 2012 is summarized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Estimated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of Common Shares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Price per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 Options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per Share of</w:t>
            </w:r>
          </w:p>
        </w:tc>
        <w:tc>
          <w:tcPr>
            <w:tcW w:w="0" w:type="dxa"/>
            <w:vAlign w:val="bottom"/>
          </w:tcPr>
          <w:p>
            <w:pPr>
              <w:spacing w:after="0"/>
              <w:rPr>
                <w:sz w:val="1"/>
                <w:szCs w:val="1"/>
                <w:color w:val="auto"/>
              </w:rPr>
            </w:pPr>
          </w:p>
        </w:tc>
      </w:tr>
      <w:tr>
        <w:trPr>
          <w:trHeight w:val="157"/>
        </w:trPr>
        <w:tc>
          <w:tcPr>
            <w:tcW w:w="4500" w:type="dxa"/>
            <w:vAlign w:val="bottom"/>
            <w:gridSpan w:val="3"/>
          </w:tcPr>
          <w:p>
            <w:pPr>
              <w:spacing w:after="0"/>
              <w:rPr>
                <w:sz w:val="20"/>
                <w:szCs w:val="20"/>
                <w:color w:val="auto"/>
              </w:rPr>
            </w:pPr>
            <w:r>
              <w:rPr>
                <w:rFonts w:ascii="Arial" w:cs="Arial" w:eastAsia="Arial" w:hAnsi="Arial"/>
                <w:sz w:val="13"/>
                <w:szCs w:val="13"/>
                <w:b w:val="1"/>
                <w:bCs w:val="1"/>
                <w:color w:val="auto"/>
              </w:rPr>
              <w:t>Grant Date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8"/>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10, 2012</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453,653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April 11, 2012</w:t>
            </w:r>
          </w:p>
        </w:tc>
        <w:tc>
          <w:tcPr>
            <w:tcW w:w="1300" w:type="dxa"/>
            <w:vAlign w:val="bottom"/>
          </w:tcPr>
          <w:p>
            <w:pPr>
              <w:jc w:val="right"/>
              <w:spacing w:after="0"/>
              <w:rPr>
                <w:sz w:val="20"/>
                <w:szCs w:val="20"/>
                <w:color w:val="auto"/>
              </w:rPr>
            </w:pPr>
            <w:r>
              <w:rPr>
                <w:rFonts w:ascii="Arial" w:cs="Arial" w:eastAsia="Arial" w:hAnsi="Arial"/>
                <w:sz w:val="17"/>
                <w:szCs w:val="17"/>
                <w:color w:val="auto"/>
              </w:rPr>
              <w:t>231,000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6, 2012</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July 25, 2012</w:t>
            </w:r>
          </w:p>
        </w:tc>
        <w:tc>
          <w:tcPr>
            <w:tcW w:w="1300" w:type="dxa"/>
            <w:vAlign w:val="bottom"/>
          </w:tcPr>
          <w:p>
            <w:pPr>
              <w:jc w:val="right"/>
              <w:spacing w:after="0"/>
              <w:rPr>
                <w:sz w:val="20"/>
                <w:szCs w:val="20"/>
                <w:color w:val="auto"/>
              </w:rPr>
            </w:pPr>
            <w:r>
              <w:rPr>
                <w:rFonts w:ascii="Arial" w:cs="Arial" w:eastAsia="Arial" w:hAnsi="Arial"/>
                <w:sz w:val="17"/>
                <w:szCs w:val="17"/>
                <w:color w:val="auto"/>
              </w:rPr>
              <w:t>67,500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6, 2012</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February 5, 2013</w:t>
            </w:r>
          </w:p>
        </w:tc>
        <w:tc>
          <w:tcPr>
            <w:tcW w:w="1300" w:type="dxa"/>
            <w:vAlign w:val="bottom"/>
          </w:tcPr>
          <w:p>
            <w:pPr>
              <w:jc w:val="right"/>
              <w:spacing w:after="0"/>
              <w:rPr>
                <w:sz w:val="20"/>
                <w:szCs w:val="20"/>
                <w:color w:val="auto"/>
              </w:rPr>
            </w:pPr>
            <w:r>
              <w:rPr>
                <w:rFonts w:ascii="Arial" w:cs="Arial" w:eastAsia="Arial" w:hAnsi="Arial"/>
                <w:sz w:val="17"/>
                <w:szCs w:val="17"/>
                <w:color w:val="auto"/>
              </w:rPr>
              <w:t>427,248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2013</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September 10, 2013</w:t>
            </w:r>
          </w:p>
        </w:tc>
        <w:tc>
          <w:tcPr>
            <w:tcW w:w="1300" w:type="dxa"/>
            <w:vAlign w:val="bottom"/>
          </w:tcPr>
          <w:p>
            <w:pPr>
              <w:jc w:val="right"/>
              <w:spacing w:after="0"/>
              <w:rPr>
                <w:sz w:val="20"/>
                <w:szCs w:val="20"/>
                <w:color w:val="auto"/>
              </w:rPr>
            </w:pPr>
            <w:r>
              <w:rPr>
                <w:rFonts w:ascii="Arial" w:cs="Arial" w:eastAsia="Arial" w:hAnsi="Arial"/>
                <w:sz w:val="17"/>
                <w:szCs w:val="17"/>
                <w:color w:val="auto"/>
              </w:rPr>
              <w:t>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2, 2013</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The intrinsic value of all outstanding options as of June 30, 2013 was $27.1 million based on the mid-point of the estimated price range set forth on the cover of this prospectus, of which approximately $14.1 million related to vested options and approximately $13.0 million related to unvested options.</w:t>
      </w:r>
    </w:p>
    <w:p>
      <w:pPr>
        <w:spacing w:after="0" w:line="170"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7"/>
          <w:szCs w:val="17"/>
          <w:color w:val="auto"/>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79"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i w:val="1"/>
          <w:iCs w:val="1"/>
          <w:color w:val="auto"/>
        </w:rPr>
        <w:t xml:space="preserve">March 2012. </w:t>
      </w:r>
      <w:r>
        <w:rPr>
          <w:rFonts w:ascii="Arial" w:cs="Arial" w:eastAsia="Arial" w:hAnsi="Arial"/>
          <w:sz w:val="17"/>
          <w:szCs w:val="17"/>
          <w:color w:val="auto"/>
        </w:rPr>
        <w:t>We granted options to purchase 453,653 shares of our common stock on March 10, 2012. Our board of directors set an exercise price of $2.68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We had 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enterprise value using the PWERM and these three scenarios. This valuation indicated a fair value of $0.67 per share for our common stock as of January 19, 2012.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March 10, 2012 as $2.68 per share.</w:t>
      </w:r>
    </w:p>
    <w:p>
      <w:pPr>
        <w:spacing w:after="0" w:line="185" w:lineRule="exact"/>
        <w:rPr>
          <w:sz w:val="20"/>
          <w:szCs w:val="20"/>
          <w:color w:val="auto"/>
        </w:rPr>
      </w:pPr>
    </w:p>
    <w:p>
      <w:pPr>
        <w:jc w:val="both"/>
        <w:ind w:firstLine="414"/>
        <w:spacing w:after="0" w:line="280" w:lineRule="auto"/>
        <w:rPr>
          <w:sz w:val="20"/>
          <w:szCs w:val="20"/>
          <w:color w:val="auto"/>
        </w:rPr>
      </w:pPr>
      <w:r>
        <w:rPr>
          <w:rFonts w:ascii="Arial" w:cs="Arial" w:eastAsia="Arial" w:hAnsi="Arial"/>
          <w:sz w:val="16"/>
          <w:szCs w:val="16"/>
          <w:i w:val="1"/>
          <w:iCs w:val="1"/>
          <w:color w:val="auto"/>
        </w:rPr>
        <w:t xml:space="preserve">April to July 2012. </w:t>
      </w:r>
      <w:r>
        <w:rPr>
          <w:rFonts w:ascii="Arial" w:cs="Arial" w:eastAsia="Arial" w:hAnsi="Arial"/>
          <w:sz w:val="16"/>
          <w:szCs w:val="16"/>
          <w:color w:val="auto"/>
        </w:rPr>
        <w:t>We granted options to purchase 231,000, 112,500 and 67,500 shares of our common stock on April 11, 2012, June 6, 2012, and July 25,</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board of directors set an exercise price of $2.68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$2.68 per share.</w:t>
      </w:r>
    </w:p>
    <w:p>
      <w:pPr>
        <w:spacing w:after="0" w:line="175" w:lineRule="exact"/>
        <w:rPr>
          <w:sz w:val="20"/>
          <w:szCs w:val="20"/>
          <w:color w:val="auto"/>
        </w:rPr>
      </w:pPr>
    </w:p>
    <w:p>
      <w:pPr>
        <w:jc w:val="both"/>
        <w:ind w:firstLine="341"/>
        <w:spacing w:after="0" w:line="299" w:lineRule="auto"/>
        <w:rPr>
          <w:sz w:val="20"/>
          <w:szCs w:val="20"/>
          <w:color w:val="auto"/>
        </w:rPr>
      </w:pPr>
      <w:r>
        <w:rPr>
          <w:rFonts w:ascii="Arial" w:cs="Arial" w:eastAsia="Arial" w:hAnsi="Arial"/>
          <w:sz w:val="15"/>
          <w:szCs w:val="15"/>
          <w:i w:val="1"/>
          <w:iCs w:val="1"/>
          <w:color w:val="auto"/>
        </w:rPr>
        <w:t xml:space="preserve">December 2012. </w:t>
      </w:r>
      <w:r>
        <w:rPr>
          <w:rFonts w:ascii="Arial" w:cs="Arial" w:eastAsia="Arial" w:hAnsi="Arial"/>
          <w:sz w:val="15"/>
          <w:szCs w:val="15"/>
          <w:color w:val="auto"/>
        </w:rPr>
        <w:t>We granted options to purchase 67,291 shares of our common stock on December 6, 2012. Our board of directors set an exercise price of $4.00</w:t>
      </w:r>
      <w:r>
        <w:rPr>
          <w:rFonts w:ascii="Arial" w:cs="Arial" w:eastAsia="Arial" w:hAnsi="Arial"/>
          <w:sz w:val="15"/>
          <w:szCs w:val="15"/>
          <w:i w:val="1"/>
          <w:iCs w:val="1"/>
          <w:color w:val="auto"/>
        </w:rPr>
        <w:t xml:space="preserve"> </w:t>
      </w:r>
      <w:r>
        <w:rPr>
          <w:rFonts w:ascii="Arial" w:cs="Arial" w:eastAsia="Arial" w:hAnsi="Arial"/>
          <w:sz w:val="15"/>
          <w:szCs w:val="15"/>
          <w:color w:val="auto"/>
        </w:rPr>
        <w:t>per share. We had 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$4.00 per share for our common stock as of November 1, 2012.</w:t>
      </w:r>
    </w:p>
    <w:p>
      <w:pPr>
        <w:spacing w:after="0" w:line="164"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$4.00 per share.</w:t>
      </w:r>
    </w:p>
    <w:p>
      <w:pPr>
        <w:spacing w:after="0" w:line="179"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The December 6, 2012 estimated fair value was based in part on a contemporaneous independent valuation of our common stock as of November 1, 2012. The primary factors that supported the increase in the fair value of our common stock from $2.68 per share on March 10, 2012 to $4.00 per share on December 6, 2012 were the success in completing a $15.0 million preferred stock financing in November 2012, positive research results, and publications in peer-reviewed journals, as well as the U.S. roll out of Afirma with Genzyme and the increased adoption of Afirma throughout 2012.</w:t>
      </w:r>
    </w:p>
    <w:p>
      <w:pPr>
        <w:spacing w:after="0" w:line="185"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February 2013. </w:t>
      </w:r>
      <w:r>
        <w:rPr>
          <w:rFonts w:ascii="Arial" w:cs="Arial" w:eastAsia="Arial" w:hAnsi="Arial"/>
          <w:sz w:val="17"/>
          <w:szCs w:val="17"/>
          <w:color w:val="auto"/>
        </w:rPr>
        <w:t>We granted options to purchase 427,248 shares of our common stock on February 5, 2013. Our board of directors set an exercise price of $4.00</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In the 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$4.00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5"/>
          <w:szCs w:val="15"/>
          <w:i w:val="1"/>
          <w:iCs w:val="1"/>
          <w:color w:val="auto"/>
        </w:rPr>
        <w:t xml:space="preserve">April 2013. </w:t>
      </w:r>
      <w:r>
        <w:rPr>
          <w:rFonts w:ascii="Arial" w:cs="Arial" w:eastAsia="Arial" w:hAnsi="Arial"/>
          <w:sz w:val="15"/>
          <w:szCs w:val="15"/>
          <w:color w:val="auto"/>
        </w:rPr>
        <w:t>We obtained a contemporaneous independent valuation of our common stock as of April 30, 2013. Our considerations of the form, timing and</w:t>
      </w:r>
      <w:r>
        <w:rPr>
          <w:rFonts w:ascii="Arial" w:cs="Arial" w:eastAsia="Arial" w:hAnsi="Arial"/>
          <w:sz w:val="15"/>
          <w:szCs w:val="15"/>
          <w:i w:val="1"/>
          <w:iCs w:val="1"/>
          <w:color w:val="auto"/>
        </w:rPr>
        <w:t xml:space="preserve"> </w:t>
      </w:r>
      <w:r>
        <w:rPr>
          <w:rFonts w:ascii="Arial" w:cs="Arial" w:eastAsia="Arial" w:hAnsi="Arial"/>
          <w:sz w:val="15"/>
          <w:szCs w:val="15"/>
          <w:color w:val="auto"/>
        </w:rPr>
        <w:t>probability of a particular 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62"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79"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7"/>
          <w:szCs w:val="17"/>
          <w:color w:val="auto"/>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85" w:lineRule="exact"/>
        <w:rPr>
          <w:sz w:val="20"/>
          <w:szCs w:val="20"/>
          <w:color w:val="auto"/>
        </w:rPr>
      </w:pPr>
    </w:p>
    <w:p>
      <w:pPr>
        <w:jc w:val="both"/>
        <w:ind w:firstLine="338"/>
        <w:spacing w:after="0" w:line="352" w:lineRule="auto"/>
        <w:rPr>
          <w:sz w:val="20"/>
          <w:szCs w:val="20"/>
          <w:color w:val="auto"/>
        </w:rPr>
      </w:pPr>
      <w:r>
        <w:rPr>
          <w:rFonts w:ascii="Arial" w:cs="Arial" w:eastAsia="Arial" w:hAnsi="Arial"/>
          <w:sz w:val="15"/>
          <w:szCs w:val="15"/>
          <w:color w:val="auto"/>
        </w:rPr>
        <w:t>We applied equal weighting to the results under the OPM and the PWERM methodologies to arrive at a pre-discounted value and then applied a non-marketability discount of 20% which resulted in an estimated common stock value of $6.04 per share on a non-marketable, minority interest basis as of April 30, 2013.</w:t>
      </w:r>
    </w:p>
    <w:p>
      <w:pPr>
        <w:spacing w:after="0" w:line="123"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i w:val="1"/>
          <w:iCs w:val="1"/>
          <w:color w:val="auto"/>
        </w:rPr>
        <w:t xml:space="preserve">June 2013. </w:t>
      </w:r>
      <w:r>
        <w:rPr>
          <w:rFonts w:ascii="Arial" w:cs="Arial" w:eastAsia="Arial" w:hAnsi="Arial"/>
          <w:sz w:val="16"/>
          <w:szCs w:val="16"/>
          <w:color w:val="auto"/>
        </w:rPr>
        <w:t>We granted options to purchase 200,406 shares of our common stock on June 20, 2013. Our board of directors set an exercise price of $6.04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for these options based in part on a contemporaneous third-party valuation prepared as of April 30, 2013. Subsequent to the granting of these options, we obtained a third-party valuation as of June 30, 2013 which determined a fair value of our common stock of $7.92 per share on that date.</w:t>
      </w:r>
    </w:p>
    <w:p>
      <w:pPr>
        <w:spacing w:after="0" w:line="163"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June 30, 2013 valuation. We estimated a 70% probability of an IPO and a 30%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10%. The common stock value based on the PWERM method incorporates probability estimates for a potential future IPO in five months with low, mid, and high valuation scenarios at 25%, 60%, and 15% probability, respectively.</w:t>
      </w:r>
    </w:p>
    <w:p>
      <w:pPr>
        <w:spacing w:after="0" w:line="179" w:lineRule="exact"/>
        <w:rPr>
          <w:sz w:val="20"/>
          <w:szCs w:val="20"/>
          <w:color w:val="auto"/>
        </w:rPr>
      </w:pPr>
    </w:p>
    <w:p>
      <w:pPr>
        <w:jc w:val="both"/>
        <w:ind w:firstLine="373"/>
        <w:spacing w:after="0" w:line="322" w:lineRule="auto"/>
        <w:rPr>
          <w:sz w:val="20"/>
          <w:szCs w:val="20"/>
          <w:color w:val="auto"/>
        </w:rPr>
      </w:pPr>
      <w:r>
        <w:rPr>
          <w:rFonts w:ascii="Arial" w:cs="Arial" w:eastAsia="Arial" w:hAnsi="Arial"/>
          <w:sz w:val="15"/>
          <w:szCs w:val="15"/>
          <w:color w:val="auto"/>
        </w:rPr>
        <w:t>For the stay private scenario, we determined the equity value utilizing the Backsolve method based on our outstanding equity securities as of June 30, 2013. The preferred stock has rights, preferences, and privileges that are significantly different from those of our common stock, including the liquidation preferences of the convertible preferred stock. We allocated the equity value to the various classes of securities using the OPM and applied a non-marketability discount of 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9"/>
        <w:spacing w:after="0" w:line="282" w:lineRule="auto"/>
        <w:rPr>
          <w:sz w:val="20"/>
          <w:szCs w:val="20"/>
          <w:color w:val="auto"/>
        </w:rPr>
      </w:pPr>
      <w:r>
        <w:rPr>
          <w:rFonts w:ascii="Arial" w:cs="Arial" w:eastAsia="Arial" w:hAnsi="Arial"/>
          <w:sz w:val="17"/>
          <w:szCs w:val="17"/>
          <w:color w:val="auto"/>
        </w:rPr>
        <w:t>We applied a 30% and 70% weighting to the values determined under the OPM and the PWERM methodologies, respectively, which resulted in an estimated common stock value of $7.92 per share on a non-marketable, minority interest basis as of June 30, 2013.</w:t>
      </w:r>
    </w:p>
    <w:p>
      <w:pPr>
        <w:spacing w:after="0" w:line="170" w:lineRule="exact"/>
        <w:rPr>
          <w:sz w:val="20"/>
          <w:szCs w:val="20"/>
          <w:color w:val="auto"/>
        </w:rPr>
      </w:pPr>
    </w:p>
    <w:p>
      <w:pPr>
        <w:jc w:val="both"/>
        <w:ind w:firstLine="442"/>
        <w:spacing w:after="0" w:line="311" w:lineRule="auto"/>
        <w:rPr>
          <w:sz w:val="20"/>
          <w:szCs w:val="20"/>
          <w:color w:val="auto"/>
        </w:rPr>
      </w:pPr>
      <w:r>
        <w:rPr>
          <w:rFonts w:ascii="Arial" w:cs="Arial" w:eastAsia="Arial" w:hAnsi="Arial"/>
          <w:sz w:val="15"/>
          <w:szCs w:val="15"/>
          <w:color w:val="auto"/>
        </w:rPr>
        <w:t>As noted above, the board granted stock options in June 2013 with an exercise price of $6.04 per share based in part on the fair value of our common stock determined in the April 30, 2013 valuation. However, for financial reporting purposes, we reassessed the fair value of the underlying common stock on the June 20, 2013 grant date and determined that the fair value should be based on the June 30, 2013 valuation. This valuation indicated a fair value of our common stock of $7.92 per share and accordingly, for financial reporting purposes, we have recorded stock-based compensation expense based on the reassessed fair value.</w:t>
      </w:r>
    </w:p>
    <w:p>
      <w:pPr>
        <w:spacing w:after="0" w:line="155" w:lineRule="exact"/>
        <w:rPr>
          <w:sz w:val="20"/>
          <w:szCs w:val="20"/>
          <w:color w:val="auto"/>
        </w:rPr>
      </w:pPr>
    </w:p>
    <w:p>
      <w:pPr>
        <w:jc w:val="both"/>
        <w:ind w:firstLine="346"/>
        <w:spacing w:after="0" w:line="263" w:lineRule="auto"/>
        <w:rPr>
          <w:sz w:val="20"/>
          <w:szCs w:val="20"/>
          <w:color w:val="auto"/>
        </w:rPr>
      </w:pPr>
      <w:r>
        <w:rPr>
          <w:rFonts w:ascii="Arial" w:cs="Arial" w:eastAsia="Arial" w:hAnsi="Arial"/>
          <w:sz w:val="17"/>
          <w:szCs w:val="17"/>
          <w:color w:val="auto"/>
        </w:rPr>
        <w:t>The increase in the estimated fair value of our common stock from $4.00 per share as of February 5, 2013 to $6.04 per share as of April 30, 2013 and to $7.92 per share as of June 20, 2013 primarily resulted from our increased equity value due to continued growth in our business, including increases in FNA volume, obtaining positive coverage decisions from UnitedHealthcare and Aetna, and the completion of our debt and equity financings in June 2013. In addition, as we gained more clarity on our liquidity events, our June 2013 valuation increased the PWERM weighting of an IPO from 50% to 70% reflecting the higher probability of an IPO liquidity event.</w:t>
      </w:r>
    </w:p>
    <w:p>
      <w:pPr>
        <w:spacing w:after="0" w:line="187"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i w:val="1"/>
          <w:iCs w:val="1"/>
          <w:color w:val="auto"/>
        </w:rPr>
        <w:t xml:space="preserve">September 2013. </w:t>
      </w:r>
      <w:r>
        <w:rPr>
          <w:rFonts w:ascii="Arial" w:cs="Arial" w:eastAsia="Arial" w:hAnsi="Arial"/>
          <w:sz w:val="17"/>
          <w:szCs w:val="17"/>
          <w:color w:val="auto"/>
        </w:rPr>
        <w:t>We granted options to purchase 9,000 shares of our common stock on September 10, 2013. Our board of directors set an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$7.92 per share. Subsequent to the granting of these options, we obtained a third-party valuation as of September 30, 2013, which determined a fair value of our common stock of $12.12 per share on that date.</w:t>
      </w:r>
    </w:p>
    <w:p>
      <w:pPr>
        <w:spacing w:after="0" w:line="179"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September 30, 2013 valuation. We estimated a 90% probability of an IPO and a 10%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4.5%. The common stock value based on the PWERM method incorporates probability estimates for a potential future IPO in one month with low, mid, and high valuation scenarios at 20%, 60%, and 20% probability, respectively.</w:t>
      </w:r>
    </w:p>
    <w:p>
      <w:pPr>
        <w:spacing w:after="0" w:line="179"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For the stay private scenario, we determined the equity value using the Guideline Public Company methodology. We allocated the equity value to the various classes of securities using the OPM and applied a non-marketability discount of 20%.</w:t>
      </w:r>
    </w:p>
    <w:p>
      <w:pPr>
        <w:spacing w:after="0" w:line="170" w:lineRule="exact"/>
        <w:rPr>
          <w:sz w:val="20"/>
          <w:szCs w:val="20"/>
          <w:color w:val="auto"/>
        </w:rPr>
      </w:pPr>
    </w:p>
    <w:p>
      <w:pPr>
        <w:jc w:val="both"/>
        <w:ind w:firstLine="429"/>
        <w:spacing w:after="0" w:line="262" w:lineRule="auto"/>
        <w:rPr>
          <w:sz w:val="20"/>
          <w:szCs w:val="20"/>
          <w:color w:val="auto"/>
        </w:rPr>
      </w:pPr>
      <w:r>
        <w:rPr>
          <w:rFonts w:ascii="Arial" w:cs="Arial" w:eastAsia="Arial" w:hAnsi="Arial"/>
          <w:sz w:val="17"/>
          <w:szCs w:val="17"/>
          <w:color w:val="auto"/>
        </w:rPr>
        <w:t>We applied a 10% and 90% weighting to the values determined under the OPM and the PWERM methodologies, respectively, which resulted in an estimated common stock value of $12.12 per share on a non-marketable, minority interest basis as of September 30, 2013. The increase in the estimated fair value of our common stock from $7.92 per share at June 30, 2013 to $12.12 per share at September 30, 2013 is primarily due to the general improvement in overall market conditions, including specifically the molecular diagnostic space, our progress toward a liquidity event resulting in the PWERM weighting increasing from 70% to 90%, and continuing progress in our business including positive coverage decisions from Humana and other payers, issuance of a patent covering our thyroid diagnostics, and improving collections.</w:t>
      </w:r>
    </w:p>
    <w:p>
      <w:pPr>
        <w:spacing w:after="0" w:line="188" w:lineRule="exact"/>
        <w:rPr>
          <w:sz w:val="20"/>
          <w:szCs w:val="20"/>
          <w:color w:val="auto"/>
        </w:rPr>
      </w:pPr>
    </w:p>
    <w:p>
      <w:pPr>
        <w:jc w:val="both"/>
        <w:ind w:firstLine="463"/>
        <w:spacing w:after="0" w:line="270" w:lineRule="auto"/>
        <w:rPr>
          <w:sz w:val="20"/>
          <w:szCs w:val="20"/>
          <w:color w:val="auto"/>
        </w:rPr>
      </w:pPr>
      <w:r>
        <w:rPr>
          <w:rFonts w:ascii="Arial" w:cs="Arial" w:eastAsia="Arial" w:hAnsi="Arial"/>
          <w:sz w:val="17"/>
          <w:szCs w:val="17"/>
          <w:color w:val="auto"/>
        </w:rPr>
        <w:t>As noted above, our board of directors granted stock options in September 2013 with an exercise price of $7.92 per share. However, for financial reporting purposes, we reassessed the fair value of the underlying common stock on the September 10, 2013 grant date and determined that the fair value should be based on the September 30, 2013 valuation. This valuation indicated a fair value of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of $12.12 per share and accordingly, for financial reporting purposes, we have recorded stock-based compensation expense based on the reassessed fair value.</w:t>
      </w:r>
    </w:p>
    <w:p>
      <w:pPr>
        <w:spacing w:after="0" w:line="236"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7"/>
          <w:szCs w:val="17"/>
          <w:i w:val="1"/>
          <w:iCs w:val="1"/>
          <w:color w:val="auto"/>
        </w:rPr>
        <w:t xml:space="preserve">October 2013. </w:t>
      </w:r>
      <w:r>
        <w:rPr>
          <w:rFonts w:ascii="Arial" w:cs="Arial" w:eastAsia="Arial" w:hAnsi="Arial"/>
          <w:sz w:val="17"/>
          <w:szCs w:val="17"/>
          <w:color w:val="auto"/>
        </w:rPr>
        <w:t>We granted options to purchase 58,375 shares of our common stock on October 2, 2013 with an exercise price of $12.12 per share.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determined that the estimated fair value of common stock was $12.12 per share for these options based in part on the contemporaneous third-party valuation prepared as of September 30, 2013 and the progress we made toward a liquidity event.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FNAs we receive and test</w:t>
      </w:r>
    </w:p>
    <w:p>
      <w:pPr>
        <w:spacing w:after="0" w:line="224" w:lineRule="exact"/>
        <w:rPr>
          <w:sz w:val="20"/>
          <w:szCs w:val="20"/>
          <w:color w:val="auto"/>
        </w:rPr>
      </w:pPr>
    </w:p>
    <w:p>
      <w:pPr>
        <w:jc w:val="both"/>
        <w:ind w:firstLine="356"/>
        <w:spacing w:after="0" w:line="299" w:lineRule="auto"/>
        <w:rPr>
          <w:sz w:val="20"/>
          <w:szCs w:val="20"/>
          <w:color w:val="auto"/>
        </w:rPr>
      </w:pPr>
      <w:r>
        <w:rPr>
          <w:rFonts w:ascii="Arial" w:cs="Arial" w:eastAsia="Arial" w:hAnsi="Arial"/>
          <w:sz w:val="15"/>
          <w:szCs w:val="15"/>
          <w:color w:val="auto"/>
        </w:rPr>
        <w:t>The growth in our business is tied to the number of FNAs we receive. Generally 5%-10% of the FNA samples we receive have insufficient cellular material from which to render a cytopathology diagnosis. We only bill the technical component, including slide preparation, for these tests. For results that are benign or suspicious/malignant, we bill globally for the cytopathology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 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Afirma</w:t>
      </w:r>
    </w:p>
    <w:p>
      <w:pPr>
        <w:spacing w:after="0" w:line="224" w:lineRule="exact"/>
        <w:rPr>
          <w:sz w:val="20"/>
          <w:szCs w:val="20"/>
          <w:color w:val="auto"/>
        </w:rPr>
      </w:pPr>
    </w:p>
    <w:p>
      <w:pPr>
        <w:jc w:val="both"/>
        <w:ind w:firstLine="398"/>
        <w:spacing w:after="0" w:line="301" w:lineRule="auto"/>
        <w:rPr>
          <w:sz w:val="20"/>
          <w:szCs w:val="20"/>
          <w:color w:val="auto"/>
        </w:rPr>
      </w:pPr>
      <w:r>
        <w:rPr>
          <w:rFonts w:ascii="Arial" w:cs="Arial" w:eastAsia="Arial" w:hAnsi="Arial"/>
          <w:sz w:val="15"/>
          <w:szCs w:val="15"/>
          <w:color w:val="auto"/>
        </w:rPr>
        <w:t>As of August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24"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do not expect we will be able to recognize revenue from new products on an accrual basis for some period of time. This may result in continued fluctuations in our revenue.</w:t>
      </w:r>
    </w:p>
    <w:p>
      <w:pPr>
        <w:spacing w:after="0" w:line="170" w:lineRule="exact"/>
        <w:rPr>
          <w:sz w:val="20"/>
          <w:szCs w:val="20"/>
          <w:color w:val="auto"/>
        </w:rPr>
      </w:pPr>
    </w:p>
    <w:p>
      <w:pPr>
        <w:jc w:val="both"/>
        <w:ind w:firstLine="356"/>
        <w:spacing w:after="0" w:line="322" w:lineRule="auto"/>
        <w:rPr>
          <w:sz w:val="20"/>
          <w:szCs w:val="20"/>
          <w:color w:val="auto"/>
        </w:rPr>
      </w:pPr>
      <w:r>
        <w:rPr>
          <w:rFonts w:ascii="Arial" w:cs="Arial" w:eastAsia="Arial" w:hAnsi="Arial"/>
          <w:sz w:val="15"/>
          <w:szCs w:val="15"/>
          <w:color w:val="auto"/>
        </w:rPr>
        <w:t>As of December 31, 2011, amounts billed for tests processed during the year ended December 31, 2011 which were not recognized as revenue upon delivery of a patient report because our accrual revenue recognition criteria were not met and for which we have not received either notification of payment or collected cash, totaled $2.9 million. Of this amount, we recognized revenue of $344,000 in the year ended December 31, 2012 and $37,000 in the six months ended June 30, 2013.</w:t>
      </w:r>
    </w:p>
    <w:p>
      <w:pPr>
        <w:spacing w:after="0" w:line="145"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As of December 31, 2012, amounts billed for tests processed which were not recognized as revenue upon delivery of a patient report because our accrual revenue recognition criteria were not met and for which we have not received either notification of payment or collected cash, totaled $17.0 million. Of this amount, we recognized revenue of $2.3 million in the six months ended June 30, 2013.</w:t>
      </w:r>
    </w:p>
    <w:p>
      <w:pPr>
        <w:spacing w:after="0" w:line="179"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As of June 30, 2013, amounts billed for tests processed which were not recognized as revenue upon delivery of a patient report because our accrual revenue recognition criteria were not met and for which we have not received either notification of payment or collected cash totaled $30.7 million.</w:t>
      </w:r>
    </w:p>
    <w:p>
      <w:pPr>
        <w:spacing w:after="0" w:line="146" w:lineRule="exact"/>
        <w:rPr>
          <w:sz w:val="20"/>
          <w:szCs w:val="20"/>
          <w:color w:val="auto"/>
        </w:rPr>
      </w:pPr>
    </w:p>
    <w:p>
      <w:pPr>
        <w:jc w:val="both"/>
        <w:ind w:firstLine="368"/>
        <w:spacing w:after="0" w:line="281" w:lineRule="auto"/>
        <w:rPr>
          <w:sz w:val="20"/>
          <w:szCs w:val="20"/>
          <w:color w:val="auto"/>
        </w:rPr>
      </w:pPr>
      <w:r>
        <w:rPr>
          <w:rFonts w:ascii="Arial" w:cs="Arial" w:eastAsia="Arial" w:hAnsi="Arial"/>
          <w:sz w:val="16"/>
          <w:szCs w:val="16"/>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76"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We incur expense for tests in the period in which the test is conducted and recognize revenue for tests in the period in which our revenue recognition criteria are met. Accordingly, any revenue that we receive in respect of previously performed but unpaid Afirma tests will favorably impact our liquidity and results of operations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Genzyme co-promotion agreement</w:t>
      </w:r>
    </w:p>
    <w:p>
      <w:pPr>
        <w:spacing w:after="0" w:line="224" w:lineRule="exact"/>
        <w:rPr>
          <w:sz w:val="20"/>
          <w:szCs w:val="20"/>
          <w:color w:val="auto"/>
        </w:rPr>
      </w:pPr>
    </w:p>
    <w:p>
      <w:pPr>
        <w:jc w:val="both"/>
        <w:ind w:firstLine="483"/>
        <w:spacing w:after="0" w:line="260" w:lineRule="auto"/>
        <w:rPr>
          <w:sz w:val="20"/>
          <w:szCs w:val="20"/>
          <w:color w:val="auto"/>
        </w:rPr>
      </w:pPr>
      <w:r>
        <w:rPr>
          <w:rFonts w:ascii="Arial" w:cs="Arial" w:eastAsia="Arial" w:hAnsi="Arial"/>
          <w:sz w:val="17"/>
          <w:szCs w:val="17"/>
          <w:color w:val="auto"/>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We incurred $5.5 million in co-promotion fees in the year ended December 31, 2012, and $1.7 million and $3.7 million in the six months ended June 30, 2012 and 2013, respectively.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92"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7"/>
          <w:szCs w:val="17"/>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products</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24" w:lineRule="exact"/>
        <w:rPr>
          <w:sz w:val="20"/>
          <w:szCs w:val="20"/>
          <w:color w:val="auto"/>
        </w:rPr>
      </w:pPr>
    </w:p>
    <w:p>
      <w:pPr>
        <w:jc w:val="both"/>
        <w:ind w:firstLine="575"/>
        <w:spacing w:after="0" w:line="301"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 fluctuations in FNA volume and collections</w:t>
      </w:r>
    </w:p>
    <w:p>
      <w:pPr>
        <w:spacing w:after="0" w:line="224" w:lineRule="exact"/>
        <w:rPr>
          <w:sz w:val="20"/>
          <w:szCs w:val="20"/>
          <w:color w:val="auto"/>
        </w:rPr>
      </w:pPr>
    </w:p>
    <w:p>
      <w:pPr>
        <w:jc w:val="both"/>
        <w:ind w:firstLine="462"/>
        <w:spacing w:after="0" w:line="278"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2012 and 2013</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0"/>
              </w:rPr>
              <w:t>Six Months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00"/>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88"/>
              </w:rPr>
              <w:t>Change</w:t>
            </w: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754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3,618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1,910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12,821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20,762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(8,874)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(11,310)</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(2,436)</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(8,874)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(13,385)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color w:val="auto"/>
        </w:rPr>
        <w:t>Revenue increased $5.5 million, or 139%, for the six months ended June 30, 2013 compared to the same period in 2012 primarily due to a $3.8 million increase in revenue from increased adoption of Afirma, resulting in increased collections, and a $1.7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47"/>
        <w:spacing w:after="0" w:line="311" w:lineRule="auto"/>
        <w:rPr>
          <w:sz w:val="20"/>
          <w:szCs w:val="20"/>
          <w:color w:val="auto"/>
        </w:rPr>
      </w:pPr>
      <w:r>
        <w:rPr>
          <w:rFonts w:ascii="Arial" w:cs="Arial" w:eastAsia="Arial" w:hAnsi="Arial"/>
          <w:sz w:val="15"/>
          <w:szCs w:val="15"/>
          <w:color w:val="auto"/>
        </w:rPr>
        <w:t>Cost of revenue increased $3.0 million, or 100%, for the six months ended June 30, 2013 compared to the same period in 2012. This increase is primarily due to a $2.8 million, or 121%, increase in variable costs which are directly related to the increase in the number of FNAs received for analysis from 9,535 for the six months ended June 30, 2012 to 23,181 in the same period in 2013, offset by continuing refinements in our testing process, including automation, and economies of scale related to the increase in FNAs. The remaining increase of $0.2 million relates to increases in indirect labor costs, supplies, and depreciation and facility allocations.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Research and development expenses increased $0.8 million, or 24%, for the six months ended June 30, 2013 compared to the same period in 2012. The increase was primarily driven by a $0.5 million increase in costs to support our product pipeline and ongoing support for Afirma and a $0.4 million increase in personnel expenses related to headcount increase.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381"/>
        <w:spacing w:after="0" w:line="265" w:lineRule="auto"/>
        <w:rPr>
          <w:sz w:val="20"/>
          <w:szCs w:val="20"/>
          <w:color w:val="auto"/>
        </w:rPr>
      </w:pPr>
      <w:r>
        <w:rPr>
          <w:rFonts w:ascii="Arial" w:cs="Arial" w:eastAsia="Arial" w:hAnsi="Arial"/>
          <w:sz w:val="17"/>
          <w:szCs w:val="17"/>
          <w:color w:val="auto"/>
        </w:rPr>
        <w:t>Selling and marketing expenses increased $2.3 million, or 75%, for the six months ended June 30, 2013 compared to the same period in 2012. The increase was primarily due to a $1.9 million increase in net expense recognized under our co-promotion agreement with Genzyme, which was entered into in January 2012. The net expense of $1.9 million is comprised of the co-promotion fee to Genzyme offset in part by amortization of the deferred upfront fee paid to us by Genzyme. In addition, there was an increase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$0.2 million in personnel expenses for additional sales representatives hired in the six months ended June 30, 2013 and a $0.2 million increase in marketing and promotional materials.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General and administrative expenses increased $1.9 million, or 53%, for the six months ended June 30, 2013 compared to the same period in 2012. The increase is primarily related to a $1.0 million increase in personnel expenses resulting from an increase in headcount and employee severance, a $0.5 million increase in professional fees and a $0.3 million increase in facility, equipment, and information technology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auto"/>
        </w:rPr>
        <w:t>Other income (expense), net, was ($2.1) million for the six months ended June 30, 2013 and is primarily related to the increase in value of the preferred stock liability associated with our obligation to issue additional shares of Series C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2011 and 2012</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4,659</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7,918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2,546</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30,557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12,646</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536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(15,266)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(18,929)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(541)</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(14,445)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497"/>
        <w:spacing w:after="0" w:line="282" w:lineRule="auto"/>
        <w:rPr>
          <w:sz w:val="20"/>
          <w:szCs w:val="20"/>
          <w:color w:val="auto"/>
        </w:rPr>
      </w:pPr>
      <w:r>
        <w:rPr>
          <w:rFonts w:ascii="Arial" w:cs="Arial" w:eastAsia="Arial" w:hAnsi="Arial"/>
          <w:sz w:val="17"/>
          <w:szCs w:val="17"/>
          <w:color w:val="auto"/>
        </w:rPr>
        <w:t>Revenue increased $9.0 million, or 340%, in 2012 compared to 2011 primarily due to a $6.4 million increase in revenue from increased Afirma adoption, resulting in increased collections, and a $2.6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Cost of revenue increased $4.7 million, or 159%, in 2012 compared to 2011. This increase is primarily due to a $4.3 million, or 237%, increase in variable costs which are directly related to the increase in the number of FNAs received for analysis from 6,402 in 2011 to 25,890 in 2012, offset by continuing refinements in our testing process and economies of scale related to the increase in FNAs. The remaining increase of $0.4 million relates to increases in indirect labor costs, supplies, and depreciation and facility allocations.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7"/>
          <w:szCs w:val="17"/>
          <w:color w:val="auto"/>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Data</w:t>
      </w:r>
    </w:p>
    <w:p>
      <w:pPr>
        <w:spacing w:after="0" w:line="228" w:lineRule="exact"/>
        <w:rPr>
          <w:sz w:val="20"/>
          <w:szCs w:val="20"/>
          <w:color w:val="auto"/>
        </w:rPr>
      </w:pPr>
    </w:p>
    <w:p>
      <w:pPr>
        <w:jc w:val="both"/>
        <w:ind w:firstLine="415"/>
        <w:spacing w:after="0" w:line="287" w:lineRule="auto"/>
        <w:rPr>
          <w:sz w:val="20"/>
          <w:szCs w:val="20"/>
          <w:color w:val="auto"/>
        </w:rPr>
      </w:pPr>
      <w:r>
        <w:rPr>
          <w:rFonts w:ascii="Arial" w:cs="Arial" w:eastAsia="Arial" w:hAnsi="Arial"/>
          <w:sz w:val="16"/>
          <w:szCs w:val="16"/>
          <w:color w:val="auto"/>
        </w:rPr>
        <w:t>The following table sets forth our unaudited quarterly statements of operations data and other data for each of the six most recent quarters in the period ended June 30,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and related notes included elsewhere in this prospectus. The results of historical periods are not necessarily indicative of results for a full year or for any future period.</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8"/>
              </w:rPr>
              <w:t>Mar 31,</w:t>
            </w:r>
          </w:p>
        </w:tc>
        <w:tc>
          <w:tcPr>
            <w:tcW w:w="100" w:type="dxa"/>
            <w:vAlign w:val="bottom"/>
          </w:tcPr>
          <w:p>
            <w:pPr>
              <w:spacing w:after="0"/>
              <w:rPr>
                <w:sz w:val="10"/>
                <w:szCs w:val="10"/>
                <w:color w:val="auto"/>
              </w:rPr>
            </w:pPr>
          </w:p>
        </w:tc>
        <w:tc>
          <w:tcPr>
            <w:tcW w:w="74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w w:val="84"/>
              </w:rPr>
              <w:t>Sept 30,</w:t>
            </w: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87"/>
              </w:rPr>
              <w:t>Dec 31,</w:t>
            </w: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580" w:type="dxa"/>
            <w:vAlign w:val="bottom"/>
          </w:tcPr>
          <w:p>
            <w:pPr>
              <w:jc w:val="right"/>
              <w:ind w:right="18"/>
              <w:spacing w:after="0" w:line="124"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0"/>
              <w:spacing w:after="0" w:line="138"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3"/>
          </w:tcPr>
          <w:p>
            <w:pPr>
              <w:jc w:val="right"/>
              <w:ind w:right="23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4,457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2,773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3,231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Selling and marketing</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2,347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3,055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6"/>
        </w:trPr>
        <w:tc>
          <w:tcPr>
            <w:tcW w:w="42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8,163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9,573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(4,939)</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(5,417)</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(6,490)</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FNAs received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12,424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62"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Operating expenses generally increased consistently with the growth of the business. Cost of revenue increases are directly related to the increasing volume of tests received during the quarters in 2012. During the quarters ended March 31 and June 30,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The continued decrease of our selling and marketing expenses from the quarter ended March 31, 2013 to the quarter ended June 30, 2013 was primarily due to the reduction of direct marketing and consulting expenses. Our general and administrative expenses increased from the quarter ended December 31, 2012 to the quarter ended March 31, 2013, primarily due to building out our Austin, Texas laboratory. The quarter ended March 31, 2013 also included non-recurring severance costs. General and administrative expenses remained relatively flat in the quarter ended June 30, 2013 due in part to the continued build out of the Austin facility, which began processing cytology samples in May, as well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increases in professional and other expenses related to the growth of our business. We expect our general and administrative expenses will increase in the future as we continue to grow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60"/>
        <w:spacing w:after="0" w:line="322" w:lineRule="auto"/>
        <w:rPr>
          <w:sz w:val="20"/>
          <w:szCs w:val="20"/>
          <w:color w:val="auto"/>
        </w:rPr>
      </w:pPr>
      <w:r>
        <w:rPr>
          <w:rFonts w:ascii="Arial" w:cs="Arial" w:eastAsia="Arial" w:hAnsi="Arial"/>
          <w:sz w:val="15"/>
          <w:szCs w:val="15"/>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w:t>
      </w:r>
    </w:p>
    <w:p>
      <w:pPr>
        <w:spacing w:after="0" w:line="145"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Since inception, our operations have been financed primarily by net proceeds of $78.6 million from sales of our preferred stock and a $10.0 million payment from our co-promotion agreement with Genzyme, and since June 2013, borrowings under our loan and security agreement. As of December 31, 2012 and June 30, 2013, we had $14.0 million and $20.7 million of cash and cash equivalents, respectively.</w:t>
      </w:r>
    </w:p>
    <w:p>
      <w:pPr>
        <w:spacing w:after="0" w:line="179" w:lineRule="exact"/>
        <w:rPr>
          <w:sz w:val="20"/>
          <w:szCs w:val="20"/>
          <w:color w:val="auto"/>
        </w:rPr>
      </w:pPr>
    </w:p>
    <w:p>
      <w:pPr>
        <w:jc w:val="both"/>
        <w:ind w:firstLine="507"/>
        <w:spacing w:after="0" w:line="294"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63" w:lineRule="exact"/>
        <w:rPr>
          <w:sz w:val="20"/>
          <w:szCs w:val="20"/>
          <w:color w:val="auto"/>
        </w:rPr>
      </w:pPr>
    </w:p>
    <w:p>
      <w:pPr>
        <w:jc w:val="both"/>
        <w:ind w:firstLine="340"/>
        <w:spacing w:after="0" w:line="287" w:lineRule="auto"/>
        <w:rPr>
          <w:sz w:val="20"/>
          <w:szCs w:val="20"/>
          <w:color w:val="auto"/>
        </w:rPr>
      </w:pPr>
      <w:r>
        <w:rPr>
          <w:rFonts w:ascii="Arial" w:cs="Arial" w:eastAsia="Arial" w:hAnsi="Arial"/>
          <w:sz w:val="16"/>
          <w:szCs w:val="16"/>
          <w:color w:val="auto"/>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69"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7"/>
          <w:szCs w:val="17"/>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7"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In connection with the drawdown of the initial $5.0 million term loan under the loan and security agreement, we issued the lender a warrant to purchase 99,206 shares of our Series C preferred stock, which will become exercisable for 24,801 shares of our common stock upon the closing of this offering. The warrant will expire on the seventh anniversary of this offering. If we draw down the second term loan under the loan and security agreement, the warrant will become exercisable for an additional 24,801 shares of common stock on identical terms.</w:t>
      </w:r>
    </w:p>
    <w:p>
      <w:pPr>
        <w:spacing w:after="0" w:line="185" w:lineRule="exact"/>
        <w:rPr>
          <w:sz w:val="20"/>
          <w:szCs w:val="20"/>
          <w:color w:val="auto"/>
        </w:rPr>
      </w:pPr>
    </w:p>
    <w:p>
      <w:pPr>
        <w:jc w:val="both"/>
        <w:ind w:firstLine="377"/>
        <w:spacing w:after="0" w:line="301" w:lineRule="auto"/>
        <w:rPr>
          <w:sz w:val="20"/>
          <w:szCs w:val="20"/>
          <w:color w:val="auto"/>
        </w:rPr>
      </w:pPr>
      <w:r>
        <w:rPr>
          <w:rFonts w:ascii="Arial" w:cs="Arial" w:eastAsia="Arial" w:hAnsi="Arial"/>
          <w:sz w:val="15"/>
          <w:szCs w:val="15"/>
          <w:color w:val="auto"/>
        </w:rPr>
        <w:t>Our primary uses of cash are to fund our operations as we continue to grow our business. We expect to continue to incur operating losses in the near term as our operating expenses will be increased to support the growth of our business. We expect that our selling and marketing, research and development, and general and administrative expenses will continue to increase as we expand our marketing efforts and increase our internal sales force to drive increased adoption of and reimbursement for Afirma, prepare to commercialize our Afirma Malignant GEC, continue our research and development efforts with respect to our lung program and further develop our product pipeline. We expect that we will use a substantial portion of the net proceeds of this offering, in combination with our existing cash and cash equivalents, for these purposes and for the increased expenses associated with being a public company. We recently completed the build-out of our laboratory in Austin, Texas, and we believe we have sufficient laboratory capacity to support increased test volume. As a result, we expect that we will not need to make 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material capital expenditures in the near term related to our laboratory operations or facilities. Cash used to fund operating expenses is impacted by the timing of when we pay expenses, as reflected in the change in our outstanding accounts payable and accrued expenses.</w:t>
      </w:r>
    </w:p>
    <w:p>
      <w:pPr>
        <w:spacing w:after="0" w:line="170" w:lineRule="exact"/>
        <w:rPr>
          <w:sz w:val="20"/>
          <w:szCs w:val="20"/>
          <w:color w:val="auto"/>
        </w:rPr>
      </w:pPr>
    </w:p>
    <w:p>
      <w:pPr>
        <w:jc w:val="both"/>
        <w:ind w:firstLine="398"/>
        <w:spacing w:after="0" w:line="278" w:lineRule="auto"/>
        <w:rPr>
          <w:sz w:val="20"/>
          <w:szCs w:val="20"/>
          <w:color w:val="auto"/>
        </w:rPr>
      </w:pPr>
      <w:r>
        <w:rPr>
          <w:rFonts w:ascii="Arial" w:cs="Arial" w:eastAsia="Arial" w:hAnsi="Arial"/>
          <w:sz w:val="16"/>
          <w:szCs w:val="16"/>
          <w:color w:val="auto"/>
        </w:rPr>
        <w:t>We expect that our near-and longer-term liquidity requirements will continue to consist of selling and marketing expenses, research and development expenses, working capital, and general corporate expenses associated with the growth of our business. Based on our current business plan, we believe that the estimated net proceeds from this offering, together with our existing cash and cash equivalents as of June 30, 2013 and our revenue from the sale of Afirma, will be sufficient to meet our anticipated cash requirements for at least the next 24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 If we cannot expand our operations or otherwise capitalize on our business opportunities because we lack sufficient capital, our business, financial condition, and results of operations could be adversely affected.</w:t>
      </w:r>
    </w:p>
    <w:p>
      <w:pPr>
        <w:spacing w:after="0" w:line="176"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Our estimate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may utilize our available capital resources sooner than we currently expect.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Year Ended</w:t>
            </w: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72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57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5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jc w:val="right"/>
              <w:ind w:right="460"/>
              <w:spacing w:after="0" w:line="12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(Unaudited)</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(13,524)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1,985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(10,623)</w:t>
            </w: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(1,462)</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(642)</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(891)</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15,065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28" w:lineRule="exact"/>
        <w:rPr>
          <w:sz w:val="20"/>
          <w:szCs w:val="20"/>
          <w:color w:val="auto"/>
        </w:rPr>
      </w:pPr>
    </w:p>
    <w:p>
      <w:pPr>
        <w:jc w:val="both"/>
        <w:ind w:firstLine="551"/>
        <w:spacing w:after="0" w:line="281" w:lineRule="auto"/>
        <w:rPr>
          <w:sz w:val="20"/>
          <w:szCs w:val="20"/>
          <w:color w:val="auto"/>
        </w:rPr>
      </w:pPr>
      <w:r>
        <w:rPr>
          <w:rFonts w:ascii="Arial" w:cs="Arial" w:eastAsia="Arial" w:hAnsi="Arial"/>
          <w:sz w:val="16"/>
          <w:szCs w:val="16"/>
          <w:color w:val="auto"/>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 $0.4 million of depreciation and amortization, $0.5 million of stock-based and equity-based compensation and $0.1 million of bad debt expense. The increase in net operating assets of $0.9 million was primarily due to a $1.7 million increase in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for our anticipated initial public offering.</w:t>
      </w:r>
    </w:p>
    <w:p>
      <w:pPr>
        <w:spacing w:after="0" w:line="176" w:lineRule="exact"/>
        <w:rPr>
          <w:sz w:val="20"/>
          <w:szCs w:val="20"/>
          <w:color w:val="auto"/>
        </w:rPr>
      </w:pPr>
    </w:p>
    <w:p>
      <w:pPr>
        <w:jc w:val="both"/>
        <w:ind w:firstLine="513"/>
        <w:spacing w:after="0" w:line="262" w:lineRule="auto"/>
        <w:rPr>
          <w:sz w:val="20"/>
          <w:szCs w:val="20"/>
          <w:color w:val="auto"/>
        </w:rPr>
      </w:pPr>
      <w:r>
        <w:rPr>
          <w:rFonts w:ascii="Arial" w:cs="Arial" w:eastAsia="Arial" w:hAnsi="Arial"/>
          <w:sz w:val="17"/>
          <w:szCs w:val="17"/>
          <w:color w:val="auto"/>
        </w:rPr>
        <w:t>Cash provided by operating activities for the six months ended June 30, 2012 was $2.0 million. The net loss of $8.9 million reflects non-cash charges of $1.1 million in amortization of the deferred fee from Genzyme, $0.3 million of depreciation and amortization and $0.4 million of stock-based and equity-based compensation. The increase in net operating assets of $11.1 million was primarily due to the $10.0 million we received from Genzyme. Accounts payable and accrued liabilities increased $2.1 million due to the growth in our operations and the timing of our payments. Accounts receivable increased by $0.4 million due to the increase in accrued revenue in 2012 as we had only begun to sell Afirma in 2011. In addition, there was a $0.4 million increase in supplies inventory related to increased test volume.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7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28" w:lineRule="exact"/>
        <w:rPr>
          <w:sz w:val="20"/>
          <w:szCs w:val="20"/>
          <w:color w:val="auto"/>
        </w:rPr>
      </w:pPr>
    </w:p>
    <w:p>
      <w:pPr>
        <w:jc w:val="both"/>
        <w:ind w:firstLine="373"/>
        <w:spacing w:after="0" w:line="352" w:lineRule="auto"/>
        <w:rPr>
          <w:sz w:val="20"/>
          <w:szCs w:val="20"/>
          <w:color w:val="auto"/>
        </w:rPr>
      </w:pPr>
      <w:r>
        <w:rPr>
          <w:rFonts w:ascii="Arial" w:cs="Arial" w:eastAsia="Arial" w:hAnsi="Arial"/>
          <w:sz w:val="15"/>
          <w:szCs w:val="15"/>
          <w:color w:val="auto"/>
        </w:rPr>
        <w:t>Cash used in investing activities is primarily related to the acquisition of property and equipment totaling $0.6 million and $0.9 million for the six months ended June 30, 2012 and 2013, respectively. Purchases of property and equipment were primarily related to research and development and laboratory equipment.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Cash used in investing activities is related to the acquisition of property and equipment totaling $0.3 million and $1.5 million for the years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2011 and 2012, respectively, and the change in restricted cash balance totaling $55,000 and $0 for the years ended December 31, 2011 and 2012,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Purchases of property and equipment were primarily related to research and development and laboratory equipment.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28"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7"/>
          <w:szCs w:val="17"/>
          <w:color w:val="auto"/>
        </w:rPr>
        <w:t>Cash from financing activities for the six months ended June 30, 2013 primarily is from net proceeds of $4.9 million from the loan and security agreement we entered into in June 2013 and net proceeds of $13.0 million from the sale of our convertible preferred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Cash from financing activities for the six months ended June 30, 2012 consists of proceeds of $66,000 from the exercise of options to purchase common stock.</w:t>
      </w:r>
    </w:p>
    <w:p>
      <w:pPr>
        <w:spacing w:after="0" w:line="247"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Cash from financing activities for the years ended December 31, 2011 and 2012 of $18.6 million and $15.1 million, respectively, were primarily due to the net proceeds from the sale of our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contractual obligations as of December 31, 2012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0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Less Than</w:t>
            </w:r>
          </w:p>
        </w:tc>
        <w:tc>
          <w:tcPr>
            <w:tcW w:w="76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4"/>
              </w:rPr>
              <w:t>1 to 3</w:t>
            </w:r>
          </w:p>
        </w:tc>
        <w:tc>
          <w:tcPr>
            <w:tcW w:w="66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3 to 5</w:t>
            </w:r>
          </w:p>
        </w:tc>
        <w:tc>
          <w:tcPr>
            <w:tcW w:w="9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7"/>
              </w:rPr>
              <w:t>More Than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2"/>
              </w:rPr>
              <w:t>1 Year</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816</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  1,927</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  635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3,508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80" w:type="dxa"/>
            <w:vAlign w:val="bottom"/>
            <w:vMerge w:val="restart"/>
          </w:tcPr>
          <w:p>
            <w:pPr>
              <w:jc w:val="right"/>
              <w:ind w:right="355"/>
              <w:spacing w:after="0"/>
              <w:rPr>
                <w:sz w:val="20"/>
                <w:szCs w:val="20"/>
                <w:color w:val="auto"/>
              </w:rPr>
            </w:pPr>
            <w:r>
              <w:rPr>
                <w:rFonts w:ascii="Arial" w:cs="Arial" w:eastAsia="Arial" w:hAnsi="Arial"/>
                <w:sz w:val="17"/>
                <w:szCs w:val="17"/>
                <w:color w:val="auto"/>
              </w:rPr>
              <w:t>63</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In February 2010, we entered into a non-cancellable lease agreement to lease our headquarters and laboratory space in South San Francisco, California. The lease expires in March 2016.</w:t>
      </w:r>
    </w:p>
    <w:p>
      <w:pPr>
        <w:spacing w:after="0" w:line="170" w:lineRule="exact"/>
        <w:rPr>
          <w:sz w:val="20"/>
          <w:szCs w:val="20"/>
          <w:color w:val="auto"/>
        </w:rPr>
      </w:pPr>
    </w:p>
    <w:p>
      <w:pPr>
        <w:jc w:val="both"/>
        <w:ind w:firstLine="386"/>
        <w:spacing w:after="0" w:line="282" w:lineRule="auto"/>
        <w:rPr>
          <w:sz w:val="20"/>
          <w:szCs w:val="20"/>
          <w:color w:val="auto"/>
        </w:rPr>
      </w:pPr>
      <w:r>
        <w:rPr>
          <w:rFonts w:ascii="Arial" w:cs="Arial" w:eastAsia="Arial" w:hAnsi="Arial"/>
          <w:sz w:val="17"/>
          <w:szCs w:val="17"/>
          <w:color w:val="auto"/>
        </w:rPr>
        <w:t>In November 2012, we entered into a non-cancellable lease agreement commencing February 2013 to lease laboratory space in Austin, Texas. The lease expires in July 2018.</w:t>
      </w:r>
    </w:p>
    <w:p>
      <w:pPr>
        <w:spacing w:after="0" w:line="170" w:lineRule="exact"/>
        <w:rPr>
          <w:sz w:val="20"/>
          <w:szCs w:val="20"/>
          <w:color w:val="auto"/>
        </w:rPr>
      </w:pPr>
    </w:p>
    <w:p>
      <w:pPr>
        <w:jc w:val="both"/>
        <w:ind w:firstLine="361"/>
        <w:spacing w:after="0" w:line="315" w:lineRule="auto"/>
        <w:rPr>
          <w:sz w:val="20"/>
          <w:szCs w:val="20"/>
          <w:color w:val="auto"/>
        </w:rPr>
      </w:pPr>
      <w:r>
        <w:rPr>
          <w:rFonts w:ascii="Arial" w:cs="Arial" w:eastAsia="Arial" w:hAnsi="Arial"/>
          <w:sz w:val="16"/>
          <w:szCs w:val="16"/>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jc w:val="both"/>
        <w:ind w:firstLine="507"/>
        <w:spacing w:after="0" w:line="311"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We had cash and cash equivalents of $14.0 million and $20.7 million as of December 31, 2012 and June 30, 2013, respectively,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28"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color w:val="auto"/>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87"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85"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7"/>
          <w:szCs w:val="17"/>
          <w:color w:val="auto"/>
        </w:rPr>
        <w:t xml:space="preserve">In February 2013, the FASB issued Accounting Standards Update (ASU) No. 2013-02, </w:t>
      </w:r>
      <w:r>
        <w:rPr>
          <w:rFonts w:ascii="Arial" w:cs="Arial" w:eastAsia="Arial" w:hAnsi="Arial"/>
          <w:sz w:val="17"/>
          <w:szCs w:val="17"/>
          <w:i w:val="1"/>
          <w:iCs w:val="1"/>
          <w:color w:val="auto"/>
        </w:rPr>
        <w:t>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This ASU requires reporting and disclosure about changes in accumulated other comprehensive income balances and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We adopted this guidance as of January 1, 2013 on a prospective basis and the adoption did not have a material effect on our financial statements as we do not have comprehensive income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$17.1 million for the trailing twelve months ending June 30, 2013.</w:t>
      </w:r>
    </w:p>
    <w:p>
      <w:pPr>
        <w:spacing w:after="0" w:line="187"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helping to predict outcomes and guide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90" w:lineRule="exact"/>
        <w:rPr>
          <w:sz w:val="20"/>
          <w:szCs w:val="20"/>
          <w:color w:val="auto"/>
        </w:rPr>
      </w:pPr>
    </w:p>
    <w:p>
      <w:pPr>
        <w:jc w:val="both"/>
        <w:ind w:firstLine="523"/>
        <w:spacing w:after="0" w:line="280" w:lineRule="auto"/>
        <w:rPr>
          <w:sz w:val="20"/>
          <w:szCs w:val="20"/>
          <w:color w:val="auto"/>
        </w:rPr>
      </w:pPr>
      <w:r>
        <w:rPr>
          <w:rFonts w:ascii="Arial" w:cs="Arial" w:eastAsia="Arial" w:hAnsi="Arial"/>
          <w:sz w:val="16"/>
          <w:szCs w:val="16"/>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broad range of areas including thyroid, pulmonology, dermatology and reproductive endocrinology. We estimate that the use of molecular diagnostic solutions in thyroid and in three potential expansion areas could represent an approximately $4.0 billion opportunity. This estimate is based on our internal market assessment, from which we estimated the number of patients with ambiguous diagnostic results that we believe could benefit from using genomic tests, and the estimated price of such tests, which price takes into account the estimated cost savings to payers from avoidance of surgery.</w:t>
      </w:r>
    </w:p>
    <w:p>
      <w:pPr>
        <w:spacing w:after="0" w:line="175"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7"/>
          <w:szCs w:val="17"/>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provides meaningful diagnostic information. We position our diagnostic solution as an alternative to an invasive procedure and attempt to efficiently validate the accuracy of our diagnostic tests during product development by comparing our results to those obtained using the more invasive approach.</w:t>
      </w:r>
    </w:p>
    <w:p>
      <w:pPr>
        <w:spacing w:after="0" w:line="170" w:lineRule="exact"/>
        <w:rPr>
          <w:sz w:val="20"/>
          <w:szCs w:val="20"/>
          <w:color w:val="auto"/>
        </w:rPr>
      </w:pPr>
    </w:p>
    <w:p>
      <w:pPr>
        <w:jc w:val="both"/>
        <w:ind w:firstLine="338"/>
        <w:spacing w:after="0" w:line="260" w:lineRule="auto"/>
        <w:rPr>
          <w:sz w:val="20"/>
          <w:szCs w:val="20"/>
          <w:color w:val="auto"/>
        </w:rPr>
      </w:pPr>
      <w:r>
        <w:rPr>
          <w:rFonts w:ascii="Arial" w:cs="Arial" w:eastAsia="Arial" w:hAnsi="Arial"/>
          <w:sz w:val="17"/>
          <w:szCs w:val="17"/>
          <w:color w:val="auto"/>
        </w:rPr>
        <w:t>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According to an abstract presented at the American Association of Endocrine Surgeons 2013 Annual Meeting, approximately 525,000 thyroid FNAs were performed in the United States in 2011. The American Thyroid Association, or ATA, guidelines indicate that 15% to 30% of FNAs yield indeterminate results, meaning they cannot be diagnosed as definitively benign or malignant by cytopathology alone. Because the risk of malignancy ranges from 20% to 30%, as referenced in the ATA guidelines for an indeterminate diagnosis, clinical practice guidelines have historically recommended that patients with indeterminate cytopathology results undergo surgery to remove part or all of their thyroid to obtain an accurate pathology diagnosis. Accordingly, in 70%-80% of these cases, the thyroid nodule proves to be benign for cancer. We estimate the average cost of surgery to be $15,000, and surgery can result in complications and leave a patient in need of hormone replacement therapy for life.</w:t>
      </w:r>
    </w:p>
    <w:p>
      <w:pPr>
        <w:spacing w:after="0" w:line="190" w:lineRule="exact"/>
        <w:rPr>
          <w:sz w:val="20"/>
          <w:szCs w:val="20"/>
          <w:color w:val="auto"/>
        </w:rPr>
      </w:pPr>
    </w:p>
    <w:p>
      <w:pPr>
        <w:jc w:val="both"/>
        <w:ind w:firstLine="365"/>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According to a clinical validity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the GEC reduces the number of unnecessary diagnostic surgeries by analyzing the genomic signature of FNA samples judged to be indeterminate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cytopathology and reclassifies 52% of those nodules to a benign diagnosis. The study authors concluded that the GEC could be useful to physicians in making important 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2012 covered 368 patients from 51 different endocrinologists. Each of these patients had both a cytopathology indeterminate result and a GEC-benign result. This study found that physicians recommended surgery in only 7.6% of these cases, compared with a historical surgery rate of 74% for patients with indeterminate cytopathology results alone, representing an approximate 90% reduction in surgeries for the 52% of patients receiving a GEC benign result. In other words, approximately 90% of the 52% of patients receiving a GEC benign result make the decision to avoid a surgery. We believe the GEC is currently the only diagnostic test that meets the criteria of the National Comprehensive Cancer Network, or NCCN, for safely monitoring patients with indeterminate cytopathology results in lieu of surgery.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147955</wp:posOffset>
            </wp:positionV>
            <wp:extent cx="5694045" cy="31216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940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thyroid nodule diagnosis, inherent ambiguity in evaluation of cytopathology samples often results in unnecessary costs and procedures that would be avoidable if a molecular diagnostic test could refine diagnoses reached by cytopathology alone. We are currently developing the Afirma Malignant GEC test to identify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Disease Diagnosis Today</w:t>
      </w:r>
    </w:p>
    <w:p>
      <w:pPr>
        <w:spacing w:after="0" w:line="228" w:lineRule="exact"/>
        <w:rPr>
          <w:sz w:val="20"/>
          <w:szCs w:val="20"/>
          <w:color w:val="auto"/>
        </w:rPr>
      </w:pPr>
    </w:p>
    <w:p>
      <w:pPr>
        <w:jc w:val="both"/>
        <w:ind w:firstLine="384"/>
        <w:spacing w:after="0" w:line="299" w:lineRule="auto"/>
        <w:rPr>
          <w:sz w:val="20"/>
          <w:szCs w:val="20"/>
          <w:color w:val="auto"/>
        </w:rPr>
      </w:pPr>
      <w:r>
        <w:rPr>
          <w:rFonts w:ascii="Arial" w:cs="Arial" w:eastAsia="Arial" w:hAnsi="Arial"/>
          <w:sz w:val="15"/>
          <w:szCs w:val="15"/>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patient care would be meaningfully improved with lower costs if that diagnosis could be provided without surgery.</w:t>
      </w:r>
    </w:p>
    <w:p>
      <w:pPr>
        <w:spacing w:after="0" w:line="224" w:lineRule="exact"/>
        <w:rPr>
          <w:sz w:val="20"/>
          <w:szCs w:val="20"/>
          <w:color w:val="auto"/>
        </w:rPr>
      </w:pPr>
    </w:p>
    <w:p>
      <w:pPr>
        <w:jc w:val="both"/>
        <w:ind w:firstLine="414"/>
        <w:spacing w:after="0" w:line="262" w:lineRule="auto"/>
        <w:rPr>
          <w:sz w:val="20"/>
          <w:szCs w:val="20"/>
          <w:color w:val="auto"/>
        </w:rPr>
      </w:pPr>
      <w:r>
        <w:rPr>
          <w:rFonts w:ascii="Arial" w:cs="Arial" w:eastAsia="Arial" w:hAnsi="Arial"/>
          <w:sz w:val="17"/>
          <w:szCs w:val="17"/>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88" w:lineRule="exact"/>
        <w:rPr>
          <w:sz w:val="20"/>
          <w:szCs w:val="20"/>
          <w:color w:val="auto"/>
        </w:rPr>
      </w:pPr>
    </w:p>
    <w:p>
      <w:pPr>
        <w:jc w:val="both"/>
        <w:ind w:firstLine="435"/>
        <w:spacing w:after="0" w:line="28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7"/>
          <w:szCs w:val="17"/>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firstLine="497"/>
        <w:spacing w:after="0" w:line="278"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76" w:lineRule="exact"/>
        <w:rPr>
          <w:sz w:val="20"/>
          <w:szCs w:val="20"/>
          <w:color w:val="auto"/>
        </w:rPr>
      </w:pPr>
    </w:p>
    <w:p>
      <w:pPr>
        <w:jc w:val="both"/>
        <w:ind w:firstLine="404"/>
        <w:spacing w:after="0" w:line="281" w:lineRule="auto"/>
        <w:rPr>
          <w:sz w:val="20"/>
          <w:szCs w:val="20"/>
          <w:color w:val="auto"/>
        </w:rPr>
      </w:pPr>
      <w:r>
        <w:rPr>
          <w:rFonts w:ascii="Arial" w:cs="Arial" w:eastAsia="Arial" w:hAnsi="Arial"/>
          <w:sz w:val="16"/>
          <w:szCs w:val="16"/>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partner with key opinion leaders to design and execute clinical studies that specifically validate the key attributes we believe will be required for broad adoption and reimbursement of our products.</w:t>
      </w:r>
    </w:p>
    <w:p>
      <w:pPr>
        <w:spacing w:after="0" w:line="170" w:lineRule="exact"/>
        <w:rPr>
          <w:sz w:val="20"/>
          <w:szCs w:val="20"/>
          <w:color w:val="auto"/>
        </w:rPr>
      </w:pPr>
    </w:p>
    <w:p>
      <w:pPr>
        <w:jc w:val="both"/>
        <w:ind w:firstLine="439"/>
        <w:spacing w:after="0" w:line="261" w:lineRule="auto"/>
        <w:rPr>
          <w:sz w:val="20"/>
          <w:szCs w:val="20"/>
          <w:color w:val="auto"/>
        </w:rPr>
      </w:pPr>
      <w:r>
        <w:rPr>
          <w:rFonts w:ascii="Arial" w:cs="Arial" w:eastAsia="Arial" w:hAnsi="Arial"/>
          <w:sz w:val="17"/>
          <w:szCs w:val="17"/>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90"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helps guide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8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 and requirements, which informs our strategy across disease selection, clinical study design, marketing and sales.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Thyroid Cancer Diagnostic Market</w:t>
      </w:r>
    </w:p>
    <w:p>
      <w:pPr>
        <w:spacing w:after="0" w:line="228" w:lineRule="exact"/>
        <w:rPr>
          <w:sz w:val="20"/>
          <w:szCs w:val="20"/>
          <w:color w:val="auto"/>
        </w:rPr>
      </w:pPr>
    </w:p>
    <w:p>
      <w:pPr>
        <w:jc w:val="both"/>
        <w:ind w:firstLine="415"/>
        <w:spacing w:after="0" w:line="282" w:lineRule="auto"/>
        <w:rPr>
          <w:sz w:val="20"/>
          <w:szCs w:val="20"/>
          <w:color w:val="auto"/>
        </w:rPr>
      </w:pPr>
      <w:r>
        <w:rPr>
          <w:rFonts w:ascii="Arial" w:cs="Arial" w:eastAsia="Arial" w:hAnsi="Arial"/>
          <w:sz w:val="17"/>
          <w:szCs w:val="17"/>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83" w:lineRule="exact"/>
        <w:rPr>
          <w:sz w:val="20"/>
          <w:szCs w:val="20"/>
          <w:color w:val="auto"/>
        </w:rPr>
      </w:pPr>
    </w:p>
    <w:p>
      <w:pPr>
        <w:jc w:val="both"/>
        <w:ind w:left="1060" w:hanging="531"/>
        <w:spacing w:after="0" w:line="278"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Large, growing market. </w:t>
      </w:r>
      <w:r>
        <w:rPr>
          <w:rFonts w:ascii="Arial" w:cs="Arial" w:eastAsia="Arial" w:hAnsi="Arial"/>
          <w:sz w:val="16"/>
          <w:szCs w:val="16"/>
          <w:color w:val="auto"/>
        </w:rPr>
        <w:t>Thyroid cancer is the fastest growing cancer in the United States according to the American Cancer Society, and screening of</w:t>
      </w:r>
      <w:r>
        <w:rPr>
          <w:rFonts w:ascii="Arial" w:cs="Arial" w:eastAsia="Arial" w:hAnsi="Arial"/>
          <w:sz w:val="16"/>
          <w:szCs w:val="16"/>
          <w:i w:val="1"/>
          <w:iCs w:val="1"/>
          <w:color w:val="auto"/>
        </w:rPr>
        <w:t xml:space="preserve"> </w:t>
      </w:r>
      <w:r>
        <w:rPr>
          <w:rFonts w:ascii="Arial" w:cs="Arial" w:eastAsia="Arial" w:hAnsi="Arial"/>
          <w:sz w:val="16"/>
          <w:szCs w:val="16"/>
          <w:color w:val="auto"/>
        </w:rPr>
        <w:t>nodules suspicious 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$40 million related to a molecular cytology test for malignant thyroid FNA samples. Our estimates are based on the product of FNA volumes and the estimated reimbursement per test for both cytology and the GEC. Based on our research of our primary international target markets, we believe that there is an estimated $300 million market opportunity for the GEC internationally. We believe we can effectively market Afirma with a small specialty sales force in part because Afirma represents a significant innovation in the underserved thyroid cancer diagnostic market. Because Afirma represents a significant innovation for this underserved and relatively concentrated base of physicians, we believe we can effectively market Afirma with a small specialty sales force.</w:t>
      </w:r>
    </w:p>
    <w:p>
      <w:pPr>
        <w:spacing w:after="0" w:line="202" w:lineRule="exact"/>
        <w:rPr>
          <w:rFonts w:ascii="Arial" w:cs="Arial" w:eastAsia="Arial" w:hAnsi="Arial"/>
          <w:sz w:val="16"/>
          <w:szCs w:val="16"/>
          <w:color w:val="auto"/>
        </w:rPr>
      </w:pPr>
    </w:p>
    <w:p>
      <w:pPr>
        <w:ind w:left="1060" w:hanging="531"/>
        <w:spacing w:after="0" w:line="352" w:lineRule="auto"/>
        <w:tabs>
          <w:tab w:leader="none" w:pos="106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High costs of unnecessary surgery for patients and payers. </w:t>
      </w:r>
      <w:r>
        <w:rPr>
          <w:rFonts w:ascii="Arial" w:cs="Arial" w:eastAsia="Arial" w:hAnsi="Arial"/>
          <w:sz w:val="15"/>
          <w:szCs w:val="15"/>
          <w:color w:val="auto"/>
        </w:rPr>
        <w:t>The biology of thyroid cells is complex. Microscopic analysis by a cytopathologist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in 15% to 30% of diagnoses being deemed indeterminate, meaning they cannot be diagnosed as definitively benign or malignant by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70" w:lineRule="auto"/>
        <w:rPr>
          <w:sz w:val="20"/>
          <w:szCs w:val="20"/>
          <w:color w:val="auto"/>
        </w:rPr>
      </w:pPr>
      <w:r>
        <w:rPr>
          <w:rFonts w:ascii="Arial" w:cs="Arial" w:eastAsia="Arial" w:hAnsi="Arial"/>
          <w:sz w:val="17"/>
          <w:szCs w:val="17"/>
          <w:color w:val="auto"/>
        </w:rPr>
        <w:t>cytopathology alone. This ambiguity results in confusion for doctors and patients. The 2011 NCCN Guidelines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92" w:lineRule="exact"/>
        <w:rPr>
          <w:sz w:val="20"/>
          <w:szCs w:val="20"/>
          <w:color w:val="auto"/>
        </w:rPr>
      </w:pPr>
    </w:p>
    <w:p>
      <w:pPr>
        <w:jc w:val="both"/>
        <w:ind w:left="1060" w:hanging="531"/>
        <w:spacing w:after="0" w:line="265"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Concentrated base of customers. </w:t>
      </w:r>
      <w:r>
        <w:rPr>
          <w:rFonts w:ascii="Arial" w:cs="Arial" w:eastAsia="Arial" w:hAnsi="Arial"/>
          <w:sz w:val="17"/>
          <w:szCs w:val="17"/>
          <w:color w:val="auto"/>
        </w:rPr>
        <w:t>We estimate that approximately 3,500 endocrinologists specialize in thyroid disease. While endocrinologists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211"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Highly fragmented thyroid FNA cytopathology market. </w:t>
      </w:r>
      <w:r>
        <w:rPr>
          <w:rFonts w:ascii="Arial" w:cs="Arial" w:eastAsia="Arial" w:hAnsi="Arial"/>
          <w:sz w:val="17"/>
          <w:szCs w:val="17"/>
          <w:color w:val="auto"/>
        </w:rPr>
        <w:t>We believe the analysis of thyroid FNAs is highly fragmented among local cytopathologists</w:t>
      </w:r>
      <w:r>
        <w:rPr>
          <w:rFonts w:ascii="Arial" w:cs="Arial" w:eastAsia="Arial" w:hAnsi="Arial"/>
          <w:sz w:val="17"/>
          <w:szCs w:val="17"/>
          <w:i w:val="1"/>
          <w:iCs w:val="1"/>
          <w:color w:val="auto"/>
        </w:rPr>
        <w:t xml:space="preserve"> </w:t>
      </w:r>
      <w:r>
        <w:rPr>
          <w:rFonts w:ascii="Arial" w:cs="Arial" w:eastAsia="Arial" w:hAnsi="Arial"/>
          <w:sz w:val="17"/>
          <w:szCs w:val="17"/>
          <w:color w:val="auto"/>
        </w:rPr>
        <w:t>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Afirma Thyroid FNA Analysis</w:t>
      </w:r>
    </w:p>
    <w:p>
      <w:pPr>
        <w:spacing w:after="0" w:line="228" w:lineRule="exact"/>
        <w:rPr>
          <w:sz w:val="20"/>
          <w:szCs w:val="20"/>
          <w:color w:val="auto"/>
        </w:rPr>
      </w:pPr>
    </w:p>
    <w:p>
      <w:pPr>
        <w:jc w:val="both"/>
        <w:ind w:firstLine="463"/>
        <w:spacing w:after="0" w:line="270" w:lineRule="auto"/>
        <w:rPr>
          <w:sz w:val="20"/>
          <w:szCs w:val="20"/>
          <w:color w:val="auto"/>
        </w:rPr>
      </w:pPr>
      <w:r>
        <w:rPr>
          <w:rFonts w:ascii="Arial" w:cs="Arial" w:eastAsia="Arial" w:hAnsi="Arial"/>
          <w:sz w:val="17"/>
          <w:szCs w:val="17"/>
          <w:color w:val="auto"/>
        </w:rPr>
        <w:t>Afirma Thyroid FNA Analysis is our comprehensive laboratory-developed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79" w:lineRule="exact"/>
        <w:rPr>
          <w:sz w:val="20"/>
          <w:szCs w:val="20"/>
          <w:color w:val="auto"/>
        </w:rPr>
      </w:pPr>
    </w:p>
    <w:p>
      <w:pPr>
        <w:jc w:val="both"/>
        <w:ind w:firstLine="378"/>
        <w:spacing w:after="0" w:line="300" w:lineRule="auto"/>
        <w:rPr>
          <w:sz w:val="20"/>
          <w:szCs w:val="20"/>
          <w:color w:val="auto"/>
        </w:rPr>
      </w:pPr>
      <w:r>
        <w:rPr>
          <w:rFonts w:ascii="Arial" w:cs="Arial" w:eastAsia="Arial" w:hAnsi="Arial"/>
          <w:sz w:val="15"/>
          <w:szCs w:val="15"/>
          <w:color w:val="auto"/>
        </w:rPr>
        <w:t>The majority of our customers practice in the community setting. Our community-based customers send both the cytopathology and the GEC samples overnight to our CLIA-certified laboratory for analysis. After we receive samples and accession them into our laboratory information system, the GEC samples are stored in a freezer while the cytopathology samples are prepared and stained for review by Thyroid Cytology Partners, or TCP, a specialized practice that provides cytopathology professional diagnoses on these samples. For additional information with respect to our relationship with TCP, please see "Business–Third-party Relationships".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63"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color w:val="auto"/>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79"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79"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Whether the final result is rendered by cytopathology alone or a combination of cytopathology and the GEC, physicians receive an actionable answer based on samples collected in a single patient visit.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147955</wp:posOffset>
            </wp:positionV>
            <wp:extent cx="5544185" cy="31464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4418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Advantages of Afirma for Stakeholders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w:t>
      </w:r>
    </w:p>
    <w:p>
      <w:pPr>
        <w:spacing w:after="0" w:line="224" w:lineRule="exact"/>
        <w:rPr>
          <w:sz w:val="20"/>
          <w:szCs w:val="20"/>
          <w:color w:val="auto"/>
        </w:rPr>
      </w:pPr>
    </w:p>
    <w:p>
      <w:pPr>
        <w:jc w:val="both"/>
        <w:ind w:firstLine="482"/>
        <w:spacing w:after="0" w:line="306" w:lineRule="auto"/>
        <w:rPr>
          <w:sz w:val="20"/>
          <w:szCs w:val="20"/>
          <w:color w:val="auto"/>
        </w:rPr>
      </w:pPr>
      <w:r>
        <w:rPr>
          <w:rFonts w:ascii="Arial" w:cs="Arial" w:eastAsia="Arial" w:hAnsi="Arial"/>
          <w:sz w:val="15"/>
          <w:szCs w:val="15"/>
          <w:color w:val="auto"/>
        </w:rPr>
        <w:t>With the GEC, approximately half of the patients with indeterminate cytology results that are reclassified to benign may avoid invasive diagnostic surgery. Patients who obtain an Afirma benign result avoid the potential for surgery-related complications, the effects of life-long hormone replacement therapy and the associated costs. Of the approximately 525,000 FNAs performed in the United States in 2011, we estimate that approximately 115,000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Physicians</w:t>
      </w:r>
    </w:p>
    <w:p>
      <w:pPr>
        <w:spacing w:after="0" w:line="224" w:lineRule="exact"/>
        <w:rPr>
          <w:sz w:val="20"/>
          <w:szCs w:val="20"/>
          <w:color w:val="auto"/>
        </w:rPr>
      </w:pPr>
    </w:p>
    <w:p>
      <w:pPr>
        <w:jc w:val="both"/>
        <w:ind w:firstLine="416"/>
        <w:spacing w:after="0" w:line="278" w:lineRule="auto"/>
        <w:rPr>
          <w:sz w:val="20"/>
          <w:szCs w:val="20"/>
          <w:color w:val="auto"/>
        </w:rPr>
      </w:pPr>
      <w:r>
        <w:rPr>
          <w:rFonts w:ascii="Arial" w:cs="Arial" w:eastAsia="Arial" w:hAnsi="Arial"/>
          <w:sz w:val="16"/>
          <w:szCs w:val="16"/>
          <w:color w:val="auto"/>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conducted by Sermo, a third party, and commissioned by us and Genzyme, a survey of 229 endocrinologists indicated that over 96% of 102 Afirma users reported that they were either somewhat satisfied, very satisfied or extremely satisfied with the services of TCP. We participated in preparation of the questions used in the survey. We did not compensate Genzyme for the study. Genzyme is a party to our global co-promotion agreement for Afirma. For additional information with respect to our strategic relationship with Genzyme, please see "Business–Third-party Relationships". Sermo was subsequently acquired by WorldOne,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Payers</w:t>
      </w:r>
    </w:p>
    <w:p>
      <w:pPr>
        <w:spacing w:after="0" w:line="22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xml:space="preserve"> in 2011, concluded that routine use of the GEC in the United States would prevent tens of thousands of surgeries each year. Based on our estimate of the average costs of surgery of $15,000 as well as the findings from this study and the clinical utility study published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in 2012, we believe full adoption of Afirma would result in over $500 million in direct cost savings to the healthcare system over five years.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generate significant cost savings for the healthcare system.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Key initiatives driving our strategy include:</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growth of Afirma. </w:t>
      </w:r>
      <w:r>
        <w:rPr>
          <w:rFonts w:ascii="Arial" w:cs="Arial" w:eastAsia="Arial" w:hAnsi="Arial"/>
          <w:sz w:val="17"/>
          <w:szCs w:val="17"/>
          <w:color w:val="auto"/>
        </w:rPr>
        <w:t>We will continue to drive rapid adoption of Afirma by expanding our base of prescribing physicians and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broader reimbursement. We plan to selectively grow our sales force in high-volume geographies domestically and leverage our marketing relationship with Genzyme to accelerate Afirma growth both in the United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214"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Market our novel molecular diagnostic tests as the centerpiece of a comprehensive patient-care solution. </w:t>
      </w:r>
      <w:r>
        <w:rPr>
          <w:rFonts w:ascii="Arial" w:cs="Arial" w:eastAsia="Arial" w:hAnsi="Arial"/>
          <w:sz w:val="15"/>
          <w:szCs w:val="15"/>
          <w:color w:val="auto"/>
        </w:rPr>
        <w:t>In each disease area we pursue, we intend to</w:t>
      </w:r>
      <w:r>
        <w:rPr>
          <w:rFonts w:ascii="Arial" w:cs="Arial" w:eastAsia="Arial" w:hAnsi="Arial"/>
          <w:sz w:val="15"/>
          <w:szCs w:val="15"/>
          <w:i w:val="1"/>
          <w:iCs w:val="1"/>
          <w:color w:val="auto"/>
        </w:rPr>
        <w:t xml:space="preserve"> </w:t>
      </w:r>
      <w:r>
        <w:rPr>
          <w:rFonts w:ascii="Arial" w:cs="Arial" w:eastAsia="Arial" w:hAnsi="Arial"/>
          <w:sz w:val="15"/>
          <w:szCs w:val="15"/>
          <w:color w:val="auto"/>
        </w:rPr>
        <w:t>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67" w:lineRule="exact"/>
        <w:rPr>
          <w:rFonts w:ascii="Arial" w:cs="Arial" w:eastAsia="Arial" w:hAnsi="Arial"/>
          <w:sz w:val="15"/>
          <w:szCs w:val="15"/>
          <w:color w:val="auto"/>
        </w:rPr>
      </w:pPr>
    </w:p>
    <w:p>
      <w:pPr>
        <w:jc w:val="both"/>
        <w:ind w:left="1060" w:hanging="531"/>
        <w:spacing w:after="0" w:line="26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Drive cost and capital efficiencies by offering turnkey solutions to physicians in specialty markets. </w:t>
      </w:r>
      <w:r>
        <w:rPr>
          <w:rFonts w:ascii="Arial" w:cs="Arial" w:eastAsia="Arial" w:hAnsi="Arial"/>
          <w:sz w:val="17"/>
          <w:szCs w:val="17"/>
          <w:color w:val="auto"/>
        </w:rPr>
        <w:t>The infrastructure we have built to make Afirma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available 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201"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Broaden our addressable market in endocrinology. </w:t>
      </w:r>
      <w:r>
        <w:rPr>
          <w:rFonts w:ascii="Arial" w:cs="Arial" w:eastAsia="Arial" w:hAnsi="Arial"/>
          <w:sz w:val="17"/>
          <w:szCs w:val="17"/>
          <w:color w:val="auto"/>
        </w:rPr>
        <w:t>Our product development pipeline includes additional genomic tests to complement Afirma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serve our current 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help guide surgical strategy for the treatment of medullary thyroid cancer and other rare and metastatic forms of thyroid cancer.</w:t>
      </w:r>
    </w:p>
    <w:p>
      <w:pPr>
        <w:spacing w:after="0" w:line="213"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Expand molecular cytology to additional diseases. </w:t>
      </w:r>
      <w:r>
        <w:rPr>
          <w:rFonts w:ascii="Arial" w:cs="Arial" w:eastAsia="Arial" w:hAnsi="Arial"/>
          <w:sz w:val="17"/>
          <w:szCs w:val="17"/>
          <w:color w:val="auto"/>
        </w:rPr>
        <w:t>We intend to apply our core competencies we have developed in disease selection, genomic</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product in 2016 and believe this product will serve as the foundational application to expand our molecular cytology platform within the pulmonology vertical.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Afirma Gene Expression Classifier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224"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7"/>
          <w:szCs w:val="17"/>
          <w:i w:val="1"/>
          <w:iCs w:val="1"/>
          <w:color w:val="auto"/>
        </w:rPr>
        <w:t>Journal of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Endocrinology and Metabolism.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Validation</w:t>
      </w:r>
    </w:p>
    <w:p>
      <w:pPr>
        <w:spacing w:after="0" w:line="224"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Preoperative Diagnosis of Benign Thyroid Nodules with Indeterminate Cytology (The New England Journal of Medicine, 2012)</w:t>
      </w:r>
    </w:p>
    <w:p>
      <w:pPr>
        <w:spacing w:after="0" w:line="224"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In this study, which was sponsored by us and conducted with the support of institutional research grants from us,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87" w:lineRule="exact"/>
        <w:rPr>
          <w:sz w:val="20"/>
          <w:szCs w:val="20"/>
          <w:color w:val="auto"/>
        </w:rPr>
      </w:pPr>
    </w:p>
    <w:p>
      <w:pPr>
        <w:jc w:val="both"/>
        <w:ind w:firstLine="724"/>
        <w:spacing w:after="0" w:line="280"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Molecular Classification of Thyroid Nodules using High-Dimensionality Genomic Data (Journal of Clinical Endocrinology and Metabolism, 2010)</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this study, which we sponsored,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88"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Utility and Cost Effectiveness</w:t>
      </w:r>
    </w:p>
    <w:p>
      <w:pPr>
        <w:spacing w:after="0" w:line="224" w:lineRule="exact"/>
        <w:rPr>
          <w:sz w:val="20"/>
          <w:szCs w:val="20"/>
          <w:color w:val="auto"/>
        </w:rPr>
      </w:pPr>
    </w:p>
    <w:p>
      <w:pPr>
        <w:jc w:val="both"/>
        <w:ind w:firstLine="443"/>
        <w:spacing w:after="0" w:line="278" w:lineRule="auto"/>
        <w:rPr>
          <w:sz w:val="20"/>
          <w:szCs w:val="20"/>
          <w:color w:val="auto"/>
        </w:rPr>
      </w:pPr>
      <w:r>
        <w:rPr>
          <w:rFonts w:ascii="Arial" w:cs="Arial" w:eastAsia="Arial" w:hAnsi="Arial"/>
          <w:sz w:val="16"/>
          <w:szCs w:val="16"/>
          <w:color w:val="auto"/>
        </w:rPr>
        <w:t xml:space="preserve">We collaborated with clinicians to demonstrate the clinical utility of the GEC, which refers to the effect of the GEC result on treatment decision-making and patient outcomes. The clinical utility of the GEC is based on preventing surgery on cytologically indeterminate but benign thyroid nodules that would otherwise be referred for a diagnostic thyroid surgery. Because thyroid nodules with indeterminate FNA cytopathology have a 20%-30% risk of malignancy when resected, approximately 70% to 80% of these operations will likely be on nodules determined to be benign post-operatively. According to a study published in </w:t>
      </w:r>
      <w:r>
        <w:rPr>
          <w:rFonts w:ascii="Arial" w:cs="Arial" w:eastAsia="Arial" w:hAnsi="Arial"/>
          <w:sz w:val="16"/>
          <w:szCs w:val="16"/>
          <w:i w:val="1"/>
          <w:iCs w:val="1"/>
          <w:color w:val="auto"/>
        </w:rPr>
        <w:t>PloS Currents: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Evidence of Genomic Tests </w:t>
      </w:r>
      <w:r>
        <w:rPr>
          <w:rFonts w:ascii="Arial" w:cs="Arial" w:eastAsia="Arial" w:hAnsi="Arial"/>
          <w:sz w:val="16"/>
          <w:szCs w:val="16"/>
          <w:color w:val="auto"/>
        </w:rPr>
        <w:t>in 2013, thyroid surgery is associated with potential complications, including temporary and permanent hypocalcemia, recurrent laryngeal</w:t>
      </w:r>
      <w:r>
        <w:rPr>
          <w:rFonts w:ascii="Arial" w:cs="Arial" w:eastAsia="Arial" w:hAnsi="Arial"/>
          <w:sz w:val="16"/>
          <w:szCs w:val="16"/>
          <w:i w:val="1"/>
          <w:iCs w:val="1"/>
          <w:color w:val="auto"/>
        </w:rPr>
        <w:t xml:space="preserve"> </w:t>
      </w:r>
      <w:r>
        <w:rPr>
          <w:rFonts w:ascii="Arial" w:cs="Arial" w:eastAsia="Arial" w:hAnsi="Arial"/>
          <w:sz w:val="16"/>
          <w:szCs w:val="16"/>
          <w:color w:val="auto"/>
        </w:rPr>
        <w:t>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utility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70"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5"/>
          <w:szCs w:val="15"/>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Arial" w:cs="Arial" w:eastAsia="Arial" w:hAnsi="Arial"/>
          <w:sz w:val="15"/>
          <w:szCs w:val="15"/>
          <w:i w:val="1"/>
          <w:iCs w:val="1"/>
          <w:color w:val="auto"/>
        </w:rPr>
        <w:t>Thyroid</w:t>
      </w:r>
      <w:r>
        <w:rPr>
          <w:rFonts w:ascii="Arial" w:cs="Arial" w:eastAsia="Arial" w:hAnsi="Arial"/>
          <w:sz w:val="15"/>
          <w:szCs w:val="15"/>
          <w:color w:val="auto"/>
        </w:rPr>
        <w:t xml:space="preserve"> in 2011, a 90% reduction in the decision to operate (p &lt; 0.001). Additionally, this 7.6% rate of surgery is similar to the 9.0% rate of surgery associated with cytology benign FNA results reflects other factors considered by physicians, including the size and growth rate of the nodule, the presence of other suspicious or malignant nodules, and the presence of other symptoms. The study demonstrates the effect of the GEC on clinical decision making for patients with indeterminate thyroid nodules. The graph below sets forth the results of the study: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Afirma Gene Expression Classifier:</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143510</wp:posOffset>
            </wp:positionV>
            <wp:extent cx="3071495" cy="30302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71495" cy="303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66"/>
        <w:spacing w:after="0" w:line="315" w:lineRule="auto"/>
        <w:rPr>
          <w:sz w:val="20"/>
          <w:szCs w:val="20"/>
          <w:color w:val="auto"/>
        </w:rPr>
      </w:pPr>
      <w:r>
        <w:rPr>
          <w:rFonts w:ascii="Arial" w:cs="Arial" w:eastAsia="Arial" w:hAnsi="Arial"/>
          <w:sz w:val="16"/>
          <w:szCs w:val="16"/>
          <w:color w:val="auto"/>
        </w:rPr>
        <w:t>In addition, such results were consistent with results from an earlier unpublished study, which reported the results of a web- and mail-based opinion survey of 32 physician practices, with a mean of 89% of physicians reporting that they recommended watchful waiting for patients with cytologically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 xml:space="preserve">indeterminate FNAs but benign GEC results. The study, entitled </w:t>
      </w:r>
      <w:r>
        <w:rPr>
          <w:rFonts w:ascii="Arial" w:cs="Arial" w:eastAsia="Arial" w:hAnsi="Arial"/>
          <w:sz w:val="16"/>
          <w:szCs w:val="16"/>
          <w:i w:val="1"/>
          <w:iCs w:val="1"/>
          <w:color w:val="auto"/>
        </w:rPr>
        <w:t>Clinical Practice Impact of a Novel mRNA-based Gene Expression Classifier in Thyroid Nodules with</w:t>
      </w:r>
      <w:r>
        <w:rPr>
          <w:rFonts w:ascii="Arial" w:cs="Arial" w:eastAsia="Arial" w:hAnsi="Arial"/>
          <w:sz w:val="16"/>
          <w:szCs w:val="16"/>
          <w:color w:val="auto"/>
        </w:rPr>
        <w:t xml:space="preserve"> </w:t>
      </w:r>
      <w:r>
        <w:rPr>
          <w:rFonts w:ascii="Arial" w:cs="Arial" w:eastAsia="Arial" w:hAnsi="Arial"/>
          <w:sz w:val="16"/>
          <w:szCs w:val="16"/>
          <w:i w:val="1"/>
          <w:iCs w:val="1"/>
          <w:color w:val="auto"/>
        </w:rPr>
        <w:t>Indeterminate Fine Needle Aspiration Cytopathology</w:t>
      </w:r>
      <w:r>
        <w:rPr>
          <w:rFonts w:ascii="Arial" w:cs="Arial" w:eastAsia="Arial" w:hAnsi="Arial"/>
          <w:sz w:val="16"/>
          <w:szCs w:val="16"/>
          <w:color w:val="auto"/>
        </w:rPr>
        <w:t>, was presented at the American Thyroid Association annual scientific meeting in 2011.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economics</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Cost-effectiveness of a Novel Molecular Test for Cytologically Indeterminate Thyroid Nodules (Journal of Clinical Endocrinology and Metabolism, 2011) ©The Endocrine Society*</w:t>
      </w:r>
    </w:p>
    <w:p>
      <w:pPr>
        <w:spacing w:after="0" w:line="170"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7"/>
          <w:szCs w:val="17"/>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79" w:lineRule="exact"/>
        <w:rPr>
          <w:sz w:val="20"/>
          <w:szCs w:val="20"/>
          <w:color w:val="auto"/>
        </w:rPr>
      </w:pPr>
    </w:p>
    <w:p>
      <w:pPr>
        <w:jc w:val="both"/>
        <w:ind w:firstLine="429"/>
        <w:spacing w:after="0" w:line="277" w:lineRule="auto"/>
        <w:rPr>
          <w:sz w:val="20"/>
          <w:szCs w:val="20"/>
          <w:color w:val="auto"/>
        </w:rPr>
      </w:pPr>
      <w:r>
        <w:rPr>
          <w:rFonts w:ascii="Arial" w:cs="Arial" w:eastAsia="Arial" w:hAnsi="Arial"/>
          <w:sz w:val="16"/>
          <w:szCs w:val="16"/>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81" w:lineRule="exact"/>
        <w:rPr>
          <w:sz w:val="20"/>
          <w:szCs w:val="20"/>
          <w:color w:val="auto"/>
        </w:rPr>
      </w:pPr>
    </w:p>
    <w:p>
      <w:pPr>
        <w:jc w:val="both"/>
        <w:ind w:firstLine="384"/>
        <w:spacing w:after="0" w:line="315" w:lineRule="auto"/>
        <w:rPr>
          <w:sz w:val="20"/>
          <w:szCs w:val="20"/>
          <w:color w:val="auto"/>
        </w:rPr>
      </w:pPr>
      <w:r>
        <w:rPr>
          <w:rFonts w:ascii="Arial" w:cs="Arial" w:eastAsia="Arial" w:hAnsi="Arial"/>
          <w:sz w:val="16"/>
          <w:szCs w:val="16"/>
          <w:color w:val="auto"/>
        </w:rPr>
        <w:t xml:space="preserve">The cost savings estimate in the Johns Hopkins model was based on an estimated 14% rate of surgery on a GEC benign nodule, which rate is almost double the 7.6% subsequently reported in the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described above. Based on the rate of surgery on GEC benign nodules reported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1898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hanging="515"/>
        <w:spacing w:after="0" w:line="282"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co-author of this study is a consultant and member of our clinical advisory board, and owns shares of our common stock. This study was conducted with the support of institutional research grants by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Thyroid</w:t>
      </w:r>
      <w:r>
        <w:rPr>
          <w:rFonts w:ascii="Arial" w:cs="Arial" w:eastAsia="Arial" w:hAnsi="Arial"/>
          <w:sz w:val="17"/>
          <w:szCs w:val="17"/>
          <w:color w:val="auto"/>
        </w:rPr>
        <w:t>, this study found that each GEC test would save approximately $2,600. The graph below sets forth the results of the study: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Impact on Patient Quality-Adjusted Life Years (QALY) and Cost</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143510</wp:posOffset>
            </wp:positionV>
            <wp:extent cx="3696335" cy="258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9633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Analytical Validity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Analytical Performance Verification of a Molecular Diagnostic for Cytology-Indeterminate Thyroid Nodules (Journal of Clinical Endocrinology and Metabolism, 2012)</w:t>
      </w:r>
    </w:p>
    <w:p>
      <w:pPr>
        <w:spacing w:after="0" w:line="170"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79" w:lineRule="exact"/>
        <w:rPr>
          <w:sz w:val="20"/>
          <w:szCs w:val="20"/>
          <w:color w:val="auto"/>
        </w:rPr>
      </w:pPr>
    </w:p>
    <w:p>
      <w:pPr>
        <w:jc w:val="both"/>
        <w:ind w:firstLine="352"/>
        <w:spacing w:after="0" w:line="300" w:lineRule="auto"/>
        <w:rPr>
          <w:sz w:val="20"/>
          <w:szCs w:val="20"/>
          <w:color w:val="auto"/>
        </w:rPr>
      </w:pPr>
      <w:r>
        <w:rPr>
          <w:rFonts w:ascii="Arial" w:cs="Arial" w:eastAsia="Arial" w:hAnsi="Arial"/>
          <w:sz w:val="15"/>
          <w:szCs w:val="15"/>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Afirma clinical studies that have been performed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Study</w:t>
      </w:r>
      <w:r>
        <w:rPr>
          <w:sz w:val="20"/>
          <w:szCs w:val="20"/>
          <w:color w:val="auto"/>
        </w:rPr>
        <w:tab/>
      </w:r>
      <w:r>
        <w:rPr>
          <w:rFonts w:ascii="Arial" w:cs="Arial" w:eastAsia="Arial" w:hAnsi="Arial"/>
          <w:sz w:val="13"/>
          <w:szCs w:val="13"/>
          <w:b w:val="1"/>
          <w:bCs w:val="1"/>
          <w:color w:val="auto"/>
        </w:rPr>
        <w:t>Publication/ Presentation</w:t>
      </w:r>
      <w:r>
        <w:rPr>
          <w:sz w:val="20"/>
          <w:szCs w:val="20"/>
          <w:color w:val="auto"/>
        </w:rPr>
        <w:tab/>
      </w:r>
      <w:r>
        <w:rPr>
          <w:rFonts w:ascii="Arial" w:cs="Arial" w:eastAsia="Arial" w:hAnsi="Arial"/>
          <w:sz w:val="12"/>
          <w:szCs w:val="12"/>
          <w:b w:val="1"/>
          <w:bCs w:val="1"/>
          <w:color w:val="auto"/>
        </w:rPr>
        <w:t>Main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Validity</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Preoperative Diagnosis of Benign Thyroid Nodules with Indeterminate Cytology</w:t>
      </w:r>
      <w:r>
        <w:rPr>
          <w:rFonts w:ascii="Arial" w:cs="Arial" w:eastAsia="Arial" w:hAnsi="Arial"/>
          <w:sz w:val="21"/>
          <w:szCs w:val="21"/>
          <w:color w:val="auto"/>
          <w:vertAlign w:val="superscript"/>
        </w:rPr>
        <w:t>(1)(2)</w:t>
      </w:r>
    </w:p>
    <w:p>
      <w:pPr>
        <w:spacing w:after="0" w:line="325"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Molecular Classification of Thyroid Nodules Using High-Dimensionality Genomic Data</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Utility</w:t>
      </w:r>
    </w:p>
    <w:p>
      <w:pPr>
        <w:spacing w:after="0" w:line="5" w:lineRule="exact"/>
        <w:rPr>
          <w:sz w:val="20"/>
          <w:szCs w:val="20"/>
          <w:color w:val="auto"/>
        </w:rPr>
      </w:pPr>
    </w:p>
    <w:p>
      <w:pPr>
        <w:ind w:right="200"/>
        <w:spacing w:after="0" w:line="246" w:lineRule="auto"/>
        <w:rPr>
          <w:sz w:val="20"/>
          <w:szCs w:val="20"/>
          <w:color w:val="auto"/>
        </w:rPr>
      </w:pPr>
      <w:r>
        <w:rPr>
          <w:rFonts w:ascii="Arial" w:cs="Arial" w:eastAsia="Arial" w:hAnsi="Arial"/>
          <w:sz w:val="12"/>
          <w:szCs w:val="12"/>
          <w:color w:val="auto"/>
        </w:rPr>
        <w:t>The Impact of Benign Gene Expression Classifier Test Results on the Endocrinologist-Patient Decision to Operate on Patients with Thyroid Nodules with</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Indeterminate Fine-Needle Aspiration Cytopathology</w:t>
      </w:r>
      <w:r>
        <w:rPr>
          <w:rFonts w:ascii="Arial" w:cs="Arial" w:eastAsia="Arial" w:hAnsi="Arial"/>
          <w:sz w:val="17"/>
          <w:szCs w:val="17"/>
          <w:color w:val="auto"/>
          <w:vertAlign w:val="superscript"/>
        </w:rPr>
        <w:t>(1)(2)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200" w:lineRule="exact"/>
        <w:rPr>
          <w:sz w:val="20"/>
          <w:szCs w:val="20"/>
          <w:color w:val="auto"/>
        </w:rPr>
      </w:pPr>
    </w:p>
    <w:p>
      <w:pPr>
        <w:spacing w:after="0" w:line="257"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(December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Thyroid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(October 2012)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Pivotal clinical validation study (prospective, multicenter, double-blind)</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 GEC benign result is comparable in accuracy to a benign cytology</w:t>
      </w:r>
    </w:p>
    <w:p>
      <w:pPr>
        <w:ind w:left="180"/>
        <w:spacing w:after="0" w:line="224" w:lineRule="auto"/>
        <w:rPr>
          <w:sz w:val="20"/>
          <w:szCs w:val="20"/>
          <w:color w:val="auto"/>
        </w:rPr>
      </w:pPr>
      <w:r>
        <w:rPr>
          <w:rFonts w:ascii="Arial" w:cs="Arial" w:eastAsia="Arial" w:hAnsi="Arial"/>
          <w:sz w:val="13"/>
          <w:szCs w:val="13"/>
          <w:color w:val="auto"/>
        </w:rPr>
        <w:t>result</w:t>
      </w: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First prospective, multicenter, double-blind validation study</w:t>
      </w:r>
    </w:p>
    <w:p>
      <w:pPr>
        <w:spacing w:after="0" w:line="160" w:lineRule="exact"/>
        <w:rPr>
          <w:sz w:val="20"/>
          <w:szCs w:val="20"/>
          <w:color w:val="auto"/>
        </w:rPr>
      </w:pPr>
    </w:p>
    <w:p>
      <w:pPr>
        <w:jc w:val="right"/>
        <w:spacing w:after="0" w:line="189" w:lineRule="auto"/>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Even in the presence of degraded RNA, bloody samples, or malignant</w:t>
      </w:r>
      <w:r>
        <w:rPr>
          <w:rFonts w:ascii="Arial" w:cs="Arial" w:eastAsia="Arial" w:hAnsi="Arial"/>
          <w:sz w:val="20"/>
          <w:szCs w:val="20"/>
          <w:color w:val="auto"/>
        </w:rPr>
        <w:t xml:space="preserve"> </w:t>
      </w:r>
      <w:r>
        <w:rPr>
          <w:rFonts w:ascii="Arial" w:cs="Arial" w:eastAsia="Arial" w:hAnsi="Arial"/>
          <w:sz w:val="12"/>
          <w:szCs w:val="12"/>
          <w:color w:val="auto"/>
        </w:rPr>
        <w:t>samples diluted up to 80% with aspirate material from benign nodules, the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GEC correctly recognizes benign nodules and does not miss malignancy in the majority of FNA samples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Large multicenter study of endocrinologists' practices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Approximately one surgery was avoided for every two GEC tests run on</w:t>
      </w:r>
    </w:p>
    <w:p>
      <w:pPr>
        <w:ind w:left="180"/>
        <w:spacing w:after="0" w:line="224" w:lineRule="auto"/>
        <w:rPr>
          <w:sz w:val="20"/>
          <w:szCs w:val="20"/>
          <w:color w:val="auto"/>
        </w:rPr>
      </w:pPr>
      <w:r>
        <w:rPr>
          <w:rFonts w:ascii="Arial" w:cs="Arial" w:eastAsia="Arial" w:hAnsi="Arial"/>
          <w:sz w:val="13"/>
          <w:szCs w:val="13"/>
          <w:color w:val="auto"/>
        </w:rPr>
        <w:t>thyroid FNAs with indeterminate cytology</w:t>
      </w:r>
    </w:p>
    <w:p>
      <w:pPr>
        <w:spacing w:after="0" w:line="1"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Clinical Practice Impact of a Novel mRNA–based Gene</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w w:val="99"/>
              </w:rPr>
              <w:t xml:space="preserve">American Thyroid Association </w:t>
            </w:r>
            <w:r>
              <w:rPr>
                <w:rFonts w:ascii="Arial" w:cs="Arial" w:eastAsia="Arial" w:hAnsi="Arial"/>
                <w:sz w:val="13"/>
                <w:szCs w:val="13"/>
                <w:color w:val="auto"/>
                <w:w w:val="99"/>
              </w:rPr>
              <w:t>(</w:t>
            </w:r>
            <w:r>
              <w:rPr>
                <w:rFonts w:ascii="Arial" w:cs="Arial" w:eastAsia="Arial" w:hAnsi="Arial"/>
                <w:sz w:val="13"/>
                <w:szCs w:val="13"/>
                <w:i w:val="1"/>
                <w:iCs w:val="1"/>
                <w:color w:val="auto"/>
                <w:w w:val="99"/>
              </w:rPr>
              <w:t>Abstract Poster</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Expression Classifier in Thyroid Nodules with</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rPr>
              <w:t>Presentation</w:t>
            </w:r>
            <w:r>
              <w:rPr>
                <w:rFonts w:ascii="Arial" w:cs="Arial" w:eastAsia="Arial" w:hAnsi="Arial"/>
                <w:sz w:val="13"/>
                <w:szCs w:val="13"/>
                <w:color w:val="auto"/>
              </w:rPr>
              <w:t>)</w:t>
            </w:r>
          </w:p>
        </w:tc>
      </w:tr>
      <w:tr>
        <w:trPr>
          <w:trHeight w:val="283"/>
        </w:trPr>
        <w:tc>
          <w:tcPr>
            <w:tcW w:w="3360" w:type="dxa"/>
            <w:vAlign w:val="bottom"/>
          </w:tcPr>
          <w:p>
            <w:pPr>
              <w:spacing w:after="0"/>
              <w:rPr>
                <w:sz w:val="20"/>
                <w:szCs w:val="20"/>
                <w:color w:val="auto"/>
              </w:rPr>
            </w:pPr>
            <w:r>
              <w:rPr>
                <w:rFonts w:ascii="Arial" w:cs="Arial" w:eastAsia="Arial" w:hAnsi="Arial"/>
                <w:sz w:val="13"/>
                <w:szCs w:val="13"/>
                <w:color w:val="auto"/>
                <w:w w:val="99"/>
              </w:rPr>
              <w:t>Indeterminate Fine Needle Aspiration Cytopathology</w:t>
            </w:r>
            <w:r>
              <w:rPr>
                <w:rFonts w:ascii="Arial" w:cs="Arial" w:eastAsia="Arial" w:hAnsi="Arial"/>
                <w:sz w:val="21"/>
                <w:szCs w:val="21"/>
                <w:color w:val="auto"/>
                <w:w w:val="99"/>
                <w:vertAlign w:val="superscript"/>
              </w:rPr>
              <w:t>(1)(2)</w:t>
            </w:r>
          </w:p>
        </w:tc>
        <w:tc>
          <w:tcPr>
            <w:tcW w:w="3000" w:type="dxa"/>
            <w:vAlign w:val="bottom"/>
          </w:tcPr>
          <w:p>
            <w:pPr>
              <w:ind w:left="300"/>
              <w:spacing w:after="0"/>
              <w:rPr>
                <w:sz w:val="20"/>
                <w:szCs w:val="20"/>
                <w:color w:val="auto"/>
              </w:rPr>
            </w:pPr>
            <w:r>
              <w:rPr>
                <w:rFonts w:ascii="Arial" w:cs="Arial" w:eastAsia="Arial" w:hAnsi="Arial"/>
                <w:sz w:val="13"/>
                <w:szCs w:val="13"/>
                <w:color w:val="auto"/>
              </w:rPr>
              <w:t>(October 2011)</w:t>
            </w:r>
          </w:p>
        </w:tc>
      </w:tr>
      <w:tr>
        <w:trPr>
          <w:trHeight w:val="652"/>
        </w:trPr>
        <w:tc>
          <w:tcPr>
            <w:tcW w:w="3360" w:type="dxa"/>
            <w:vAlign w:val="bottom"/>
          </w:tcPr>
          <w:p>
            <w:pPr>
              <w:spacing w:after="0"/>
              <w:rPr>
                <w:sz w:val="20"/>
                <w:szCs w:val="20"/>
                <w:color w:val="auto"/>
              </w:rPr>
            </w:pPr>
            <w:r>
              <w:rPr>
                <w:rFonts w:ascii="Arial" w:cs="Arial" w:eastAsia="Arial" w:hAnsi="Arial"/>
                <w:sz w:val="13"/>
                <w:szCs w:val="13"/>
                <w:b w:val="1"/>
                <w:bCs w:val="1"/>
                <w:i w:val="1"/>
                <w:iCs w:val="1"/>
                <w:color w:val="auto"/>
              </w:rPr>
              <w:t>Health Economics</w:t>
            </w:r>
          </w:p>
        </w:tc>
        <w:tc>
          <w:tcPr>
            <w:tcW w:w="3000" w:type="dxa"/>
            <w:vAlign w:val="bottom"/>
          </w:tcPr>
          <w:p>
            <w:pPr>
              <w:spacing w:after="0"/>
              <w:rPr>
                <w:sz w:val="24"/>
                <w:szCs w:val="24"/>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Cost-Effectiveness of a Novel Molecular Test for</w:t>
            </w:r>
          </w:p>
        </w:tc>
        <w:tc>
          <w:tcPr>
            <w:tcW w:w="3000" w:type="dxa"/>
            <w:vAlign w:val="bottom"/>
          </w:tcPr>
          <w:p>
            <w:pPr>
              <w:ind w:left="300"/>
              <w:spacing w:after="0" w:line="144" w:lineRule="exact"/>
              <w:rPr>
                <w:sz w:val="20"/>
                <w:szCs w:val="20"/>
                <w:color w:val="auto"/>
              </w:rPr>
            </w:pPr>
            <w:r>
              <w:rPr>
                <w:rFonts w:ascii="Arial" w:cs="Arial" w:eastAsia="Arial" w:hAnsi="Arial"/>
                <w:sz w:val="13"/>
                <w:szCs w:val="13"/>
                <w:i w:val="1"/>
                <w:iCs w:val="1"/>
                <w:color w:val="auto"/>
                <w:w w:val="94"/>
              </w:rPr>
              <w:t>Journal of Clinical Endocrinology and Metabolism</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 xml:space="preserve">Cytologically Indeterminate Thyroid Nodules </w:t>
            </w:r>
            <w:r>
              <w:rPr>
                <w:rFonts w:ascii="Arial" w:cs="Arial" w:eastAsia="Arial" w:hAnsi="Arial"/>
                <w:sz w:val="13"/>
                <w:szCs w:val="13"/>
                <w:i w:val="1"/>
                <w:iCs w:val="1"/>
                <w:color w:val="auto"/>
              </w:rPr>
              <w:t>©The</w:t>
            </w:r>
          </w:p>
        </w:tc>
        <w:tc>
          <w:tcPr>
            <w:tcW w:w="3000" w:type="dxa"/>
            <w:vAlign w:val="bottom"/>
          </w:tcPr>
          <w:p>
            <w:pPr>
              <w:ind w:left="300"/>
              <w:spacing w:after="0" w:line="139" w:lineRule="exact"/>
              <w:rPr>
                <w:sz w:val="20"/>
                <w:szCs w:val="20"/>
                <w:color w:val="auto"/>
              </w:rPr>
            </w:pPr>
            <w:r>
              <w:rPr>
                <w:rFonts w:ascii="Arial" w:cs="Arial" w:eastAsia="Arial" w:hAnsi="Arial"/>
                <w:sz w:val="13"/>
                <w:szCs w:val="13"/>
                <w:color w:val="auto"/>
              </w:rPr>
              <w:t>(November 2011)</w:t>
            </w: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3"/>
                <w:szCs w:val="13"/>
                <w:i w:val="1"/>
                <w:iCs w:val="1"/>
                <w:color w:val="auto"/>
              </w:rPr>
              <w:t>Endocrine Society</w:t>
            </w:r>
            <w:r>
              <w:rPr>
                <w:rFonts w:ascii="Arial" w:cs="Arial" w:eastAsia="Arial" w:hAnsi="Arial"/>
                <w:sz w:val="20"/>
                <w:szCs w:val="20"/>
                <w:color w:val="auto"/>
                <w:vertAlign w:val="superscript"/>
              </w:rPr>
              <w:t>(2)(4)</w:t>
            </w:r>
          </w:p>
        </w:tc>
        <w:tc>
          <w:tcPr>
            <w:tcW w:w="3000" w:type="dxa"/>
            <w:vAlign w:val="bottom"/>
          </w:tcPr>
          <w:p>
            <w:pPr>
              <w:spacing w:after="0"/>
              <w:rPr>
                <w:sz w:val="15"/>
                <w:szCs w:val="15"/>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b w:val="1"/>
                <w:bCs w:val="1"/>
                <w:i w:val="1"/>
                <w:iCs w:val="1"/>
                <w:color w:val="auto"/>
              </w:rPr>
              <w:t>Analytical Validity</w:t>
            </w:r>
          </w:p>
        </w:tc>
        <w:tc>
          <w:tcPr>
            <w:tcW w:w="3000" w:type="dxa"/>
            <w:vAlign w:val="bottom"/>
          </w:tcPr>
          <w:p>
            <w:pPr>
              <w:spacing w:after="0"/>
              <w:rPr>
                <w:sz w:val="12"/>
                <w:szCs w:val="12"/>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Analytical Performance Verification of a Molecular</w:t>
            </w:r>
          </w:p>
        </w:tc>
        <w:tc>
          <w:tcPr>
            <w:tcW w:w="3000" w:type="dxa"/>
            <w:vAlign w:val="bottom"/>
          </w:tcPr>
          <w:p>
            <w:pPr>
              <w:ind w:left="300"/>
              <w:spacing w:after="0" w:line="144" w:lineRule="exact"/>
              <w:rPr>
                <w:sz w:val="20"/>
                <w:szCs w:val="20"/>
                <w:color w:val="auto"/>
              </w:rPr>
            </w:pPr>
            <w:r>
              <w:rPr>
                <w:rFonts w:ascii="Arial" w:cs="Arial" w:eastAsia="Arial" w:hAnsi="Arial"/>
                <w:sz w:val="13"/>
                <w:szCs w:val="13"/>
                <w:i w:val="1"/>
                <w:iCs w:val="1"/>
                <w:color w:val="auto"/>
                <w:w w:val="94"/>
              </w:rPr>
              <w:t>Journal of Clinical Endocrinology and Metabolism</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Diagnostic for Cytology-Indeterminate Thyroid</w:t>
            </w:r>
          </w:p>
        </w:tc>
        <w:tc>
          <w:tcPr>
            <w:tcW w:w="3000" w:type="dxa"/>
            <w:vAlign w:val="bottom"/>
          </w:tcPr>
          <w:p>
            <w:pPr>
              <w:ind w:left="300"/>
              <w:spacing w:after="0" w:line="139" w:lineRule="exact"/>
              <w:rPr>
                <w:sz w:val="20"/>
                <w:szCs w:val="20"/>
                <w:color w:val="auto"/>
              </w:rPr>
            </w:pPr>
            <w:r>
              <w:rPr>
                <w:rFonts w:ascii="Arial" w:cs="Arial" w:eastAsia="Arial" w:hAnsi="Arial"/>
                <w:sz w:val="13"/>
                <w:szCs w:val="13"/>
                <w:color w:val="auto"/>
              </w:rPr>
              <w:t>(October 2012)</w:t>
            </w:r>
          </w:p>
        </w:tc>
      </w:tr>
      <w:tr>
        <w:trPr>
          <w:trHeight w:val="214"/>
        </w:trPr>
        <w:tc>
          <w:tcPr>
            <w:tcW w:w="3360" w:type="dxa"/>
            <w:vAlign w:val="bottom"/>
          </w:tcPr>
          <w:p>
            <w:pPr>
              <w:spacing w:after="0" w:line="215" w:lineRule="exact"/>
              <w:rPr>
                <w:sz w:val="20"/>
                <w:szCs w:val="20"/>
                <w:color w:val="auto"/>
              </w:rPr>
            </w:pPr>
            <w:r>
              <w:rPr>
                <w:rFonts w:ascii="Arial" w:cs="Arial" w:eastAsia="Arial" w:hAnsi="Arial"/>
                <w:sz w:val="13"/>
                <w:szCs w:val="13"/>
                <w:color w:val="auto"/>
              </w:rPr>
              <w:t>Nodules</w:t>
            </w:r>
            <w:r>
              <w:rPr>
                <w:rFonts w:ascii="Arial" w:cs="Arial" w:eastAsia="Arial" w:hAnsi="Arial"/>
                <w:sz w:val="21"/>
                <w:szCs w:val="21"/>
                <w:color w:val="auto"/>
                <w:vertAlign w:val="superscript"/>
              </w:rPr>
              <w:t>(5)</w:t>
            </w:r>
          </w:p>
        </w:tc>
        <w:tc>
          <w:tcPr>
            <w:tcW w:w="3000" w:type="dxa"/>
            <w:vAlign w:val="bottom"/>
          </w:tcPr>
          <w:p>
            <w:pPr>
              <w:spacing w:after="0"/>
              <w:rPr>
                <w:sz w:val="18"/>
                <w:szCs w:val="18"/>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b w:val="1"/>
                <w:bCs w:val="1"/>
                <w:i w:val="1"/>
                <w:iCs w:val="1"/>
                <w:color w:val="auto"/>
              </w:rPr>
              <w:t>Other Studies</w:t>
            </w:r>
          </w:p>
        </w:tc>
        <w:tc>
          <w:tcPr>
            <w:tcW w:w="3000" w:type="dxa"/>
            <w:vAlign w:val="bottom"/>
          </w:tcPr>
          <w:p>
            <w:pPr>
              <w:spacing w:after="0"/>
              <w:rPr>
                <w:sz w:val="12"/>
                <w:szCs w:val="12"/>
                <w:color w:val="auto"/>
              </w:rPr>
            </w:pP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A Large Multicenter Correlation Study of Thyroid Nodule</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rPr>
              <w:t>Thyroid</w:t>
            </w:r>
          </w:p>
        </w:tc>
      </w:tr>
      <w:tr>
        <w:trPr>
          <w:trHeight w:val="283"/>
        </w:trPr>
        <w:tc>
          <w:tcPr>
            <w:tcW w:w="3360" w:type="dxa"/>
            <w:vAlign w:val="bottom"/>
          </w:tcPr>
          <w:p>
            <w:pPr>
              <w:spacing w:after="0"/>
              <w:rPr>
                <w:sz w:val="20"/>
                <w:szCs w:val="20"/>
                <w:color w:val="auto"/>
              </w:rPr>
            </w:pPr>
            <w:r>
              <w:rPr>
                <w:rFonts w:ascii="Arial" w:cs="Arial" w:eastAsia="Arial" w:hAnsi="Arial"/>
                <w:sz w:val="13"/>
                <w:szCs w:val="13"/>
                <w:color w:val="auto"/>
              </w:rPr>
              <w:t>Cytopathology and Histopathology</w:t>
            </w:r>
            <w:r>
              <w:rPr>
                <w:rFonts w:ascii="Arial" w:cs="Arial" w:eastAsia="Arial" w:hAnsi="Arial"/>
                <w:sz w:val="21"/>
                <w:szCs w:val="21"/>
                <w:color w:val="auto"/>
                <w:vertAlign w:val="superscript"/>
              </w:rPr>
              <w:t>(1)</w:t>
            </w:r>
          </w:p>
        </w:tc>
        <w:tc>
          <w:tcPr>
            <w:tcW w:w="3000" w:type="dxa"/>
            <w:vAlign w:val="bottom"/>
          </w:tcPr>
          <w:p>
            <w:pPr>
              <w:ind w:left="300"/>
              <w:spacing w:after="0"/>
              <w:rPr>
                <w:sz w:val="20"/>
                <w:szCs w:val="20"/>
                <w:color w:val="auto"/>
              </w:rPr>
            </w:pPr>
            <w:r>
              <w:rPr>
                <w:rFonts w:ascii="Arial" w:cs="Arial" w:eastAsia="Arial" w:hAnsi="Arial"/>
                <w:sz w:val="13"/>
                <w:szCs w:val="13"/>
                <w:color w:val="auto"/>
              </w:rPr>
              <w:t>(March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 w:hanging="515"/>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Supported with institutional research grants from Veracyte.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9"/>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5"/>
              </w:rPr>
              <w:t>Assessed clinical utility by surveying physicians' treatment decisions</w:t>
            </w:r>
            <w:r>
              <w:rPr>
                <w:rFonts w:ascii="Arial" w:cs="Arial" w:eastAsia="Arial" w:hAnsi="Arial"/>
                <w:sz w:val="21"/>
                <w:szCs w:val="21"/>
                <w:color w:val="auto"/>
                <w:w w:val="95"/>
                <w:vertAlign w:val="superscript"/>
              </w:rPr>
              <w:t>(3)</w:t>
            </w:r>
          </w:p>
        </w:tc>
      </w:tr>
      <w:tr>
        <w:trPr>
          <w:trHeight w:val="298"/>
        </w:trPr>
        <w:tc>
          <w:tcPr>
            <w:tcW w:w="780" w:type="dxa"/>
            <w:vAlign w:val="bottom"/>
            <w:gridSpan w:val="2"/>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Applying</w:t>
            </w:r>
          </w:p>
        </w:tc>
        <w:tc>
          <w:tcPr>
            <w:tcW w:w="660" w:type="dxa"/>
            <w:vAlign w:val="bottom"/>
          </w:tcPr>
          <w:p>
            <w:pPr>
              <w:jc w:val="center"/>
              <w:spacing w:after="0"/>
              <w:rPr>
                <w:sz w:val="20"/>
                <w:szCs w:val="20"/>
                <w:color w:val="auto"/>
              </w:rPr>
            </w:pPr>
            <w:r>
              <w:rPr>
                <w:rFonts w:ascii="Arial" w:cs="Arial" w:eastAsia="Arial" w:hAnsi="Arial"/>
                <w:sz w:val="13"/>
                <w:szCs w:val="13"/>
                <w:color w:val="auto"/>
                <w:w w:val="97"/>
              </w:rPr>
              <w:t>the  survey</w:t>
            </w:r>
          </w:p>
        </w:tc>
        <w:tc>
          <w:tcPr>
            <w:tcW w:w="640" w:type="dxa"/>
            <w:vAlign w:val="bottom"/>
          </w:tcPr>
          <w:p>
            <w:pPr>
              <w:ind w:left="80"/>
              <w:spacing w:after="0"/>
              <w:rPr>
                <w:sz w:val="20"/>
                <w:szCs w:val="20"/>
                <w:color w:val="auto"/>
              </w:rPr>
            </w:pPr>
            <w:r>
              <w:rPr>
                <w:rFonts w:ascii="Arial" w:cs="Arial" w:eastAsia="Arial" w:hAnsi="Arial"/>
                <w:sz w:val="13"/>
                <w:szCs w:val="13"/>
                <w:color w:val="auto"/>
                <w:w w:val="95"/>
              </w:rPr>
              <w:t>results  to</w:t>
            </w:r>
          </w:p>
        </w:tc>
        <w:tc>
          <w:tcPr>
            <w:tcW w:w="1280" w:type="dxa"/>
            <w:vAlign w:val="bottom"/>
          </w:tcPr>
          <w:p>
            <w:pPr>
              <w:jc w:val="center"/>
              <w:spacing w:after="0"/>
              <w:rPr>
                <w:sz w:val="20"/>
                <w:szCs w:val="20"/>
                <w:color w:val="auto"/>
              </w:rPr>
            </w:pPr>
            <w:r>
              <w:rPr>
                <w:rFonts w:ascii="Arial" w:cs="Arial" w:eastAsia="Arial" w:hAnsi="Arial"/>
                <w:sz w:val="13"/>
                <w:szCs w:val="13"/>
                <w:color w:val="auto"/>
              </w:rPr>
              <w:t>540  patients  with</w:t>
            </w:r>
          </w:p>
        </w:tc>
        <w:tc>
          <w:tcPr>
            <w:tcW w:w="740" w:type="dxa"/>
            <w:vAlign w:val="bottom"/>
          </w:tcPr>
          <w:p>
            <w:pPr>
              <w:ind w:left="20"/>
              <w:spacing w:after="0"/>
              <w:rPr>
                <w:sz w:val="20"/>
                <w:szCs w:val="20"/>
                <w:color w:val="auto"/>
              </w:rPr>
            </w:pPr>
            <w:r>
              <w:rPr>
                <w:rFonts w:ascii="Arial" w:cs="Arial" w:eastAsia="Arial" w:hAnsi="Arial"/>
                <w:sz w:val="13"/>
                <w:szCs w:val="13"/>
                <w:color w:val="auto"/>
                <w:w w:val="88"/>
              </w:rPr>
              <w:t>indeterminate</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9"/>
              </w:rPr>
              <w:t>cytopathology,   physicians   recommended   watchful   waiting   and</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6"/>
              </w:rPr>
              <w:t>sonographic follow up in lieu of surgery in 89% (234 of 263) of patients</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with a benign GEC result</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3"/>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rPr>
              <w:t>Use of Afirma can potentially avoid almost three-fourths of currently</w:t>
            </w:r>
          </w:p>
        </w:tc>
      </w:tr>
      <w:tr>
        <w:trPr>
          <w:trHeight w:val="165"/>
        </w:trPr>
        <w:tc>
          <w:tcPr>
            <w:tcW w:w="120" w:type="dxa"/>
            <w:vAlign w:val="bottom"/>
          </w:tcPr>
          <w:p>
            <w:pPr>
              <w:spacing w:after="0"/>
              <w:rPr>
                <w:sz w:val="14"/>
                <w:szCs w:val="14"/>
                <w:color w:val="auto"/>
              </w:rPr>
            </w:pPr>
          </w:p>
        </w:tc>
        <w:tc>
          <w:tcPr>
            <w:tcW w:w="3240" w:type="dxa"/>
            <w:vAlign w:val="bottom"/>
            <w:gridSpan w:val="4"/>
          </w:tcPr>
          <w:p>
            <w:pPr>
              <w:ind w:left="60"/>
              <w:spacing w:after="0"/>
              <w:rPr>
                <w:sz w:val="20"/>
                <w:szCs w:val="20"/>
                <w:color w:val="auto"/>
              </w:rPr>
            </w:pPr>
            <w:r>
              <w:rPr>
                <w:rFonts w:ascii="Arial" w:cs="Arial" w:eastAsia="Arial" w:hAnsi="Arial"/>
                <w:sz w:val="13"/>
                <w:szCs w:val="13"/>
                <w:color w:val="auto"/>
              </w:rPr>
              <w:t>performed surgeries in patients with benign nodules</w:t>
            </w:r>
          </w:p>
        </w:tc>
        <w:tc>
          <w:tcPr>
            <w:tcW w:w="740" w:type="dxa"/>
            <w:vAlign w:val="bottom"/>
          </w:tcPr>
          <w:p>
            <w:pPr>
              <w:spacing w:after="0"/>
              <w:rPr>
                <w:sz w:val="14"/>
                <w:szCs w:val="14"/>
                <w:color w:val="auto"/>
              </w:rPr>
            </w:pPr>
          </w:p>
        </w:tc>
      </w:tr>
      <w:tr>
        <w:trPr>
          <w:trHeight w:val="438"/>
        </w:trPr>
        <w:tc>
          <w:tcPr>
            <w:tcW w:w="780" w:type="dxa"/>
            <w:vAlign w:val="bottom"/>
            <w:gridSpan w:val="2"/>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Analytical</w:t>
            </w:r>
          </w:p>
        </w:tc>
        <w:tc>
          <w:tcPr>
            <w:tcW w:w="660" w:type="dxa"/>
            <w:vAlign w:val="bottom"/>
          </w:tcPr>
          <w:p>
            <w:pPr>
              <w:jc w:val="center"/>
              <w:spacing w:after="0"/>
              <w:rPr>
                <w:sz w:val="20"/>
                <w:szCs w:val="20"/>
                <w:color w:val="auto"/>
              </w:rPr>
            </w:pPr>
            <w:r>
              <w:rPr>
                <w:rFonts w:ascii="Arial" w:cs="Arial" w:eastAsia="Arial" w:hAnsi="Arial"/>
                <w:sz w:val="13"/>
                <w:szCs w:val="13"/>
                <w:color w:val="auto"/>
                <w:w w:val="93"/>
              </w:rPr>
              <w:t>sensitivity,</w:t>
            </w:r>
          </w:p>
        </w:tc>
        <w:tc>
          <w:tcPr>
            <w:tcW w:w="640" w:type="dxa"/>
            <w:vAlign w:val="bottom"/>
          </w:tcPr>
          <w:p>
            <w:pPr>
              <w:ind w:left="40"/>
              <w:spacing w:after="0"/>
              <w:rPr>
                <w:sz w:val="20"/>
                <w:szCs w:val="20"/>
                <w:color w:val="auto"/>
              </w:rPr>
            </w:pPr>
            <w:r>
              <w:rPr>
                <w:rFonts w:ascii="Arial" w:cs="Arial" w:eastAsia="Arial" w:hAnsi="Arial"/>
                <w:sz w:val="13"/>
                <w:szCs w:val="13"/>
                <w:color w:val="auto"/>
              </w:rPr>
              <w:t>analytical</w:t>
            </w: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specificity,  robustness,</w:t>
            </w:r>
          </w:p>
        </w:tc>
        <w:tc>
          <w:tcPr>
            <w:tcW w:w="740" w:type="dxa"/>
            <w:vAlign w:val="bottom"/>
          </w:tcPr>
          <w:p>
            <w:pPr>
              <w:ind w:left="80"/>
              <w:spacing w:after="0"/>
              <w:rPr>
                <w:sz w:val="20"/>
                <w:szCs w:val="20"/>
                <w:color w:val="auto"/>
              </w:rPr>
            </w:pPr>
            <w:r>
              <w:rPr>
                <w:rFonts w:ascii="Arial" w:cs="Arial" w:eastAsia="Arial" w:hAnsi="Arial"/>
                <w:sz w:val="13"/>
                <w:szCs w:val="13"/>
                <w:color w:val="auto"/>
                <w:w w:val="96"/>
              </w:rPr>
              <w:t>and  quality</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4"/>
              </w:rPr>
              <w:t>control of the GEC were successfully verified, indicating its suitability for</w:t>
            </w:r>
          </w:p>
        </w:tc>
      </w:tr>
      <w:tr>
        <w:trPr>
          <w:trHeight w:val="165"/>
        </w:trPr>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auto"/>
                <w:w w:val="91"/>
              </w:rPr>
              <w:t>clinical use</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3"/>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5"/>
              </w:rPr>
              <w:t>Prospective multicenter study and meta-review of 11 recently published</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U.S. based pathology series</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12"/>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8"/>
              </w:rPr>
              <w:t>Two-thirds of cytologically indeterminate nodules</w:t>
            </w:r>
            <w:r>
              <w:rPr>
                <w:rFonts w:ascii="Arial" w:cs="Arial" w:eastAsia="Arial" w:hAnsi="Arial"/>
                <w:sz w:val="21"/>
                <w:szCs w:val="21"/>
                <w:color w:val="auto"/>
                <w:w w:val="98"/>
                <w:vertAlign w:val="superscript"/>
              </w:rPr>
              <w:t>(3)</w:t>
            </w:r>
            <w:r>
              <w:rPr>
                <w:rFonts w:ascii="Arial" w:cs="Arial" w:eastAsia="Arial" w:hAnsi="Arial"/>
                <w:sz w:val="13"/>
                <w:szCs w:val="13"/>
                <w:color w:val="auto"/>
                <w:w w:val="98"/>
              </w:rPr>
              <w:t xml:space="preserve"> were found to be</w:t>
            </w:r>
          </w:p>
        </w:tc>
      </w:tr>
      <w:tr>
        <w:trPr>
          <w:trHeight w:val="165"/>
        </w:trPr>
        <w:tc>
          <w:tcPr>
            <w:tcW w:w="12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color w:val="auto"/>
                <w:w w:val="92"/>
              </w:rPr>
              <w:t>benign post-operatively</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99"/>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8"/>
              </w:rPr>
              <w:t>Operated cytology benign nodules were found to have an 11% risk of</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8"/>
              </w:rPr>
              <w:t>malignancy in the prospective study and 6% risk of malignancy in the</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meta-review (range 2%-18%)</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726" w:lineRule="exact"/>
        <w:rPr>
          <w:sz w:val="20"/>
          <w:szCs w:val="20"/>
          <w:color w:val="auto"/>
        </w:rPr>
      </w:pPr>
    </w:p>
    <w:p>
      <w:pPr>
        <w:sectPr>
          <w:pgSz w:w="11900" w:h="16838" w:orient="portrait"/>
          <w:cols w:equalWidth="0" w:num="2">
            <w:col w:w="6600" w:space="720"/>
            <w:col w:w="4100"/>
          </w:cols>
          <w:pgMar w:left="240" w:top="131" w:right="239" w:bottom="1440" w:gutter="0" w:footer="0" w:header="0"/>
          <w:type w:val="continuous"/>
        </w:sectPr>
      </w:pPr>
    </w:p>
    <w:p>
      <w:pPr>
        <w:ind w:left="520" w:hanging="515"/>
        <w:spacing w:after="0"/>
        <w:tabs>
          <w:tab w:leader="none" w:pos="5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Indeterminate results were defined to include any cytological results suspicious for malignancy in addition to AUS/FLUS and SFN/SHN.</w:t>
      </w:r>
    </w:p>
    <w:p>
      <w:pPr>
        <w:spacing w:after="0" w:line="137" w:lineRule="exact"/>
        <w:rPr>
          <w:rFonts w:ascii="Arial" w:cs="Arial" w:eastAsia="Arial" w:hAnsi="Arial"/>
          <w:sz w:val="12"/>
          <w:szCs w:val="12"/>
          <w:color w:val="auto"/>
        </w:rPr>
      </w:pPr>
    </w:p>
    <w:p>
      <w:pPr>
        <w:ind w:left="520" w:hanging="515"/>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co-author of this study is a consultant and member of our clinical advisory board, and owns shares of our common stock.</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Conducted by Veracyte.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review articles related to Afirma that have been published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Publication</w:t>
      </w:r>
      <w:r>
        <w:rPr>
          <w:sz w:val="20"/>
          <w:szCs w:val="20"/>
          <w:color w:val="auto"/>
        </w:rPr>
        <w:tab/>
      </w:r>
      <w:r>
        <w:rPr>
          <w:rFonts w:ascii="Arial" w:cs="Arial" w:eastAsia="Arial" w:hAnsi="Arial"/>
          <w:sz w:val="12"/>
          <w:szCs w:val="12"/>
          <w:b w:val="1"/>
          <w:bCs w:val="1"/>
          <w:color w:val="auto"/>
        </w:rPr>
        <w:t>Summary</w:t>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ind w:right="180"/>
        <w:spacing w:after="0" w:line="252" w:lineRule="auto"/>
        <w:rPr>
          <w:sz w:val="20"/>
          <w:szCs w:val="20"/>
          <w:color w:val="auto"/>
        </w:rPr>
      </w:pPr>
      <w:r>
        <w:rPr>
          <w:rFonts w:ascii="Arial" w:cs="Arial" w:eastAsia="Arial" w:hAnsi="Arial"/>
          <w:sz w:val="12"/>
          <w:szCs w:val="12"/>
          <w:color w:val="auto"/>
        </w:rPr>
        <w:t>Use of the Afirma Gene Expression Classifier for Preoperative Identification of Benign Thyroid Nodules with Indeterminate Fine Needle Aspiration</w:t>
      </w:r>
    </w:p>
    <w:p>
      <w:pPr>
        <w:spacing w:after="0" w:line="216" w:lineRule="auto"/>
        <w:rPr>
          <w:sz w:val="20"/>
          <w:szCs w:val="20"/>
          <w:color w:val="auto"/>
        </w:rPr>
      </w:pPr>
      <w:r>
        <w:rPr>
          <w:rFonts w:ascii="Arial" w:cs="Arial" w:eastAsia="Arial" w:hAnsi="Arial"/>
          <w:sz w:val="13"/>
          <w:szCs w:val="13"/>
          <w:color w:val="auto"/>
        </w:rPr>
        <w:t>Cytopathology</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2"/>
          <w:szCs w:val="12"/>
          <w:color w:val="auto"/>
        </w:rPr>
        <w:t>Minimizing Unnecessary Surgery for Thyroid Nodules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Diagnostic Use of Molecular Markers in the Evaluation of Thyroid Nodules</w:t>
      </w:r>
      <w:r>
        <w:rPr>
          <w:rFonts w:ascii="Arial" w:cs="Arial" w:eastAsia="Arial" w:hAnsi="Arial"/>
          <w:sz w:val="21"/>
          <w:szCs w:val="2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Diagnosis and Management of Differentiated Thyroid Cancer using Molecular Biology</w:t>
      </w:r>
      <w:r>
        <w:rPr>
          <w:rFonts w:ascii="Arial" w:cs="Arial" w:eastAsia="Arial" w:hAnsi="Arial"/>
          <w:sz w:val="21"/>
          <w:szCs w:val="2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Molecular markers in the diagnosis of thyroid nodules</w:t>
      </w:r>
      <w:r>
        <w:rPr>
          <w:rFonts w:ascii="Arial" w:cs="Arial" w:eastAsia="Arial" w:hAnsi="Arial"/>
          <w:sz w:val="19"/>
          <w:szCs w:val="19"/>
          <w:color w:val="auto"/>
          <w:vertAlign w:val="superscript"/>
        </w:rPr>
        <w:t>(2)</w:t>
      </w:r>
    </w:p>
    <w:p>
      <w:pPr>
        <w:spacing w:after="0" w:line="284" w:lineRule="exact"/>
        <w:rPr>
          <w:sz w:val="20"/>
          <w:szCs w:val="20"/>
          <w:color w:val="auto"/>
        </w:rPr>
      </w:pPr>
    </w:p>
    <w:p>
      <w:pPr>
        <w:ind w:right="700"/>
        <w:spacing w:after="0" w:line="312" w:lineRule="auto"/>
        <w:rPr>
          <w:sz w:val="20"/>
          <w:szCs w:val="20"/>
          <w:color w:val="auto"/>
        </w:rPr>
      </w:pPr>
      <w:r>
        <w:rPr>
          <w:rFonts w:ascii="Arial" w:cs="Arial" w:eastAsia="Arial" w:hAnsi="Arial"/>
          <w:sz w:val="12"/>
          <w:szCs w:val="12"/>
          <w:color w:val="auto"/>
        </w:rPr>
        <w:t>Progress in Molecular-based Management of Differentiated Thyroid Cancer</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640"/>
        <w:spacing w:after="0" w:line="256" w:lineRule="auto"/>
        <w:rPr>
          <w:sz w:val="20"/>
          <w:szCs w:val="20"/>
          <w:color w:val="auto"/>
        </w:rPr>
      </w:pPr>
      <w:r>
        <w:rPr>
          <w:rFonts w:ascii="Arial" w:cs="Arial" w:eastAsia="Arial" w:hAnsi="Arial"/>
          <w:sz w:val="13"/>
          <w:szCs w:val="13"/>
          <w:i w:val="1"/>
          <w:iCs w:val="1"/>
          <w:color w:val="auto"/>
        </w:rPr>
        <w:t xml:space="preserve">PLoS Currents: Evidence on Genomic Tests </w:t>
      </w:r>
      <w:r>
        <w:rPr>
          <w:rFonts w:ascii="Arial" w:cs="Arial" w:eastAsia="Arial" w:hAnsi="Arial"/>
          <w:sz w:val="13"/>
          <w:szCs w:val="13"/>
          <w:color w:val="auto"/>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-204470</wp:posOffset>
            </wp:positionV>
            <wp:extent cx="72504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Endocrine Practice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(September/October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&amp; Metabolism </w:t>
      </w:r>
      <w:r>
        <w:rPr>
          <w:rFonts w:ascii="Arial" w:cs="Arial" w:eastAsia="Arial" w:hAnsi="Arial"/>
          <w:sz w:val="13"/>
          <w:szCs w:val="13"/>
          <w:color w:val="auto"/>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Laryngoscope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(April 2013)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i w:val="1"/>
          <w:iCs w:val="1"/>
          <w:color w:val="auto"/>
        </w:rPr>
        <w:t xml:space="preserve">Brazilian Archives of Endocrinology and Metabolism </w:t>
      </w:r>
      <w:r>
        <w:rPr>
          <w:rFonts w:ascii="Arial" w:cs="Arial" w:eastAsia="Arial" w:hAnsi="Arial"/>
          <w:sz w:val="13"/>
          <w:szCs w:val="13"/>
          <w:color w:val="auto"/>
        </w:rPr>
        <w:t>(March 2013)</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Lancet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left="180" w:hanging="180"/>
        <w:spacing w:after="0" w:line="207"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7"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Clinical algorithm recommending monitoring in lieu of diagnostic surgery in patients with indeterminate FNA cytopathology results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Genomic tests exhibit variable performance characteristics and require clinical validation in prospective, multicenter, blinded studies before widespread adoption</w:t>
      </w:r>
    </w:p>
    <w:p>
      <w:pPr>
        <w:spacing w:after="0" w:line="242"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Prospective, large scale validation of Afirma provides the broadest available data among any of the thyroid nodule diagnostic tests</w:t>
      </w:r>
    </w:p>
    <w:p>
      <w:pPr>
        <w:spacing w:after="0" w:line="46"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6"/>
        </w:numPr>
        <w:rPr>
          <w:rFonts w:ascii="Arial" w:cs="Arial" w:eastAsia="Arial" w:hAnsi="Arial"/>
          <w:sz w:val="19"/>
          <w:szCs w:val="19"/>
          <w:color w:val="auto"/>
        </w:rPr>
      </w:pPr>
      <w:r>
        <w:rPr>
          <w:rFonts w:ascii="Arial" w:cs="Arial" w:eastAsia="Arial" w:hAnsi="Arial"/>
          <w:sz w:val="12"/>
          <w:szCs w:val="12"/>
          <w:color w:val="auto"/>
        </w:rPr>
        <w:t>Clinical implementation of genomic tests requires robust demonstration of analytic validity, as reported for Afirma in Walsh et al JCEM 2012</w:t>
      </w:r>
    </w:p>
    <w:p>
      <w:pPr>
        <w:spacing w:after="0" w:line="241" w:lineRule="exact"/>
        <w:rPr>
          <w:rFonts w:ascii="Arial" w:cs="Arial" w:eastAsia="Arial" w:hAnsi="Arial"/>
          <w:sz w:val="19"/>
          <w:szCs w:val="19"/>
          <w:color w:val="auto"/>
        </w:rPr>
      </w:pPr>
    </w:p>
    <w:p>
      <w:pPr>
        <w:ind w:left="180" w:hanging="180"/>
        <w:spacing w:after="0" w:line="208" w:lineRule="auto"/>
        <w:tabs>
          <w:tab w:leader="none" w:pos="180" w:val="left"/>
        </w:tabs>
        <w:numPr>
          <w:ilvl w:val="0"/>
          <w:numId w:val="36"/>
        </w:numPr>
        <w:rPr>
          <w:rFonts w:ascii="Arial" w:cs="Arial" w:eastAsia="Arial" w:hAnsi="Arial"/>
          <w:sz w:val="19"/>
          <w:szCs w:val="19"/>
          <w:color w:val="auto"/>
        </w:rPr>
      </w:pPr>
      <w:r>
        <w:rPr>
          <w:rFonts w:ascii="Arial" w:cs="Arial" w:eastAsia="Arial" w:hAnsi="Arial"/>
          <w:sz w:val="12"/>
          <w:szCs w:val="12"/>
          <w:color w:val="auto"/>
        </w:rPr>
        <w:t>As many as 30-40% of thyroid carcinomas do not display known somatic oncogene mutations and may harbor novel genetic alterations</w:t>
      </w:r>
    </w:p>
    <w:p>
      <w:pPr>
        <w:spacing w:after="0" w:line="254" w:lineRule="exact"/>
        <w:rPr>
          <w:rFonts w:ascii="Arial" w:cs="Arial" w:eastAsia="Arial" w:hAnsi="Arial"/>
          <w:sz w:val="19"/>
          <w:szCs w:val="19"/>
          <w:color w:val="auto"/>
        </w:rPr>
      </w:pPr>
    </w:p>
    <w:p>
      <w:pPr>
        <w:jc w:val="both"/>
        <w:ind w:left="180" w:hanging="180"/>
        <w:spacing w:after="0" w:line="201"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The mutation assessment test may serve best as a diagnostic algorithm to identify suspected malignancy with an NPV of up to 95%, Afirma may serve to exclude malignancy</w:t>
      </w:r>
    </w:p>
    <w:p>
      <w:pPr>
        <w:spacing w:after="0" w:line="45" w:lineRule="exact"/>
        <w:rPr>
          <w:rFonts w:ascii="Arial" w:cs="Arial" w:eastAsia="Arial" w:hAnsi="Arial"/>
          <w:sz w:val="21"/>
          <w:szCs w:val="21"/>
          <w:color w:val="auto"/>
        </w:rPr>
      </w:pPr>
    </w:p>
    <w:p>
      <w:pPr>
        <w:jc w:val="both"/>
        <w:ind w:left="180" w:hanging="180"/>
        <w:spacing w:after="0" w:line="219" w:lineRule="auto"/>
        <w:tabs>
          <w:tab w:leader="none" w:pos="180" w:val="left"/>
        </w:tabs>
        <w:numPr>
          <w:ilvl w:val="0"/>
          <w:numId w:val="36"/>
        </w:numPr>
        <w:rPr>
          <w:rFonts w:ascii="Arial" w:cs="Arial" w:eastAsia="Arial" w:hAnsi="Arial"/>
          <w:sz w:val="19"/>
          <w:szCs w:val="19"/>
          <w:color w:val="auto"/>
        </w:rPr>
      </w:pPr>
      <w:r>
        <w:rPr>
          <w:rFonts w:ascii="Arial" w:cs="Arial" w:eastAsia="Arial" w:hAnsi="Arial"/>
          <w:sz w:val="12"/>
          <w:szCs w:val="12"/>
          <w:color w:val="auto"/>
        </w:rPr>
        <w:t>Molecular markers can be classified broadly into those with high positive predictive value (BRAF, RET/PTC, PAX8/PPARc) and those with potentially high negative predictive value (gene expression microarrays)</w:t>
      </w:r>
    </w:p>
    <w:p>
      <w:pPr>
        <w:spacing w:after="0" w:line="243"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Gene expression microarrays may eliminate the need for unnecessary diagnostic lobectomy in 60% to 90% of cases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The Afirma GEC raises specificity on indeterminate cytology thyroid nodules from 0% to 52%, effectively reducing the need to operate by one-half</w:t>
      </w:r>
    </w:p>
    <w:p>
      <w:pPr>
        <w:spacing w:after="0" w:line="45" w:lineRule="exact"/>
        <w:rPr>
          <w:rFonts w:ascii="Arial" w:cs="Arial" w:eastAsia="Arial" w:hAnsi="Arial"/>
          <w:sz w:val="21"/>
          <w:szCs w:val="21"/>
          <w:color w:val="auto"/>
        </w:rPr>
      </w:pPr>
    </w:p>
    <w:p>
      <w:pPr>
        <w:jc w:val="both"/>
        <w:ind w:left="180" w:hanging="180"/>
        <w:spacing w:after="0" w:line="214"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13"/>
          <w:szCs w:val="13"/>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180"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ind w:left="520" w:hanging="51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Co-authored and sponsored by a research grant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co-author of this study has received research support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Two co-authors are Veracyte consultants.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Practice Guidelines</w:t>
      </w:r>
    </w:p>
    <w:p>
      <w:pPr>
        <w:spacing w:after="0" w:line="22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2013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24" w:lineRule="exact"/>
        <w:rPr>
          <w:sz w:val="20"/>
          <w:szCs w:val="20"/>
          <w:color w:val="auto"/>
        </w:rPr>
      </w:pPr>
    </w:p>
    <w:p>
      <w:pPr>
        <w:jc w:val="both"/>
        <w:ind w:firstLine="411"/>
        <w:spacing w:after="0" w:line="311"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68" w:lineRule="exact"/>
        <w:rPr>
          <w:sz w:val="20"/>
          <w:szCs w:val="20"/>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reduction of unnecessary thyroid surgeries;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lower healthcare costs;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actionable information from a single patient visit.</w:t>
      </w:r>
    </w:p>
    <w:p>
      <w:pPr>
        <w:spacing w:after="0" w:line="224"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5"/>
          <w:szCs w:val="15"/>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24"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7"/>
          <w:szCs w:val="17"/>
          <w:color w:val="auto"/>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experienced a high level of customer retention. Of the physicians who ordered five or more tests in 2011, more than 80% remain customers today.</w:t>
      </w:r>
    </w:p>
    <w:p>
      <w:pPr>
        <w:spacing w:after="0" w:line="236" w:lineRule="exact"/>
        <w:rPr>
          <w:sz w:val="20"/>
          <w:szCs w:val="20"/>
          <w:color w:val="auto"/>
        </w:rPr>
      </w:pPr>
    </w:p>
    <w:p>
      <w:pPr>
        <w:jc w:val="both"/>
        <w:ind w:firstLine="511"/>
        <w:spacing w:after="0" w:line="282" w:lineRule="auto"/>
        <w:rPr>
          <w:sz w:val="20"/>
          <w:szCs w:val="20"/>
          <w:color w:val="auto"/>
        </w:rPr>
      </w:pPr>
      <w:r>
        <w:rPr>
          <w:rFonts w:ascii="Arial" w:cs="Arial" w:eastAsia="Arial" w:hAnsi="Arial"/>
          <w:sz w:val="17"/>
          <w:szCs w:val="17"/>
          <w:color w:val="auto"/>
        </w:rPr>
        <w:t>We, together with Genzyme, are in the early stages of commercializing Afirma internationally. We intend to selectively target attractive markets for entry beginning in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Relationships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Genzyme</w:t>
      </w:r>
    </w:p>
    <w:p>
      <w:pPr>
        <w:spacing w:after="0" w:line="224" w:lineRule="exact"/>
        <w:rPr>
          <w:sz w:val="20"/>
          <w:szCs w:val="20"/>
          <w:color w:val="auto"/>
        </w:rPr>
      </w:pPr>
    </w:p>
    <w:p>
      <w:pPr>
        <w:jc w:val="both"/>
        <w:ind w:firstLine="477"/>
        <w:spacing w:after="0" w:line="261" w:lineRule="auto"/>
        <w:rPr>
          <w:sz w:val="20"/>
          <w:szCs w:val="20"/>
          <w:color w:val="auto"/>
        </w:rPr>
      </w:pPr>
      <w:r>
        <w:rPr>
          <w:rFonts w:ascii="Arial" w:cs="Arial" w:eastAsia="Arial" w:hAnsi="Arial"/>
          <w:sz w:val="17"/>
          <w:szCs w:val="17"/>
          <w:color w:val="auto"/>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 (thyrotropin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87"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88" w:lineRule="exact"/>
        <w:rPr>
          <w:sz w:val="20"/>
          <w:szCs w:val="20"/>
          <w:color w:val="auto"/>
        </w:rPr>
      </w:pPr>
    </w:p>
    <w:p>
      <w:pPr>
        <w:jc w:val="both"/>
        <w:ind w:firstLine="354"/>
        <w:spacing w:after="0" w:line="262" w:lineRule="auto"/>
        <w:rPr>
          <w:sz w:val="20"/>
          <w:szCs w:val="20"/>
          <w:color w:val="auto"/>
        </w:rPr>
      </w:pPr>
      <w:r>
        <w:rPr>
          <w:rFonts w:ascii="Arial" w:cs="Arial" w:eastAsia="Arial" w:hAnsi="Arial"/>
          <w:sz w:val="17"/>
          <w:szCs w:val="17"/>
          <w:color w:val="auto"/>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TCP</w:t>
      </w:r>
    </w:p>
    <w:p>
      <w:pPr>
        <w:spacing w:after="0" w:line="224"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We rely on Thyroid Cytology Partners, P.A., or TCP,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We have also agreed to allow TCP to co-locate in a portion of our facilities in Austin, Texas. TCP has agreed to reimburse us for a portion of our actual out-of-pocket rental and related operating expense costs. Our agreement with TCP is effective until December 2015 and thereafter automatically renews every year unless either party provides notice of intent not to renew at least twelve months prior to the end of the then-current 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w:t>
      </w:r>
    </w:p>
    <w:p>
      <w:pPr>
        <w:spacing w:after="0" w:line="228" w:lineRule="exact"/>
        <w:rPr>
          <w:sz w:val="20"/>
          <w:szCs w:val="20"/>
          <w:color w:val="auto"/>
        </w:rPr>
      </w:pPr>
    </w:p>
    <w:p>
      <w:pPr>
        <w:jc w:val="both"/>
        <w:ind w:firstLine="414"/>
        <w:spacing w:after="0" w:line="282" w:lineRule="auto"/>
        <w:rPr>
          <w:sz w:val="20"/>
          <w:szCs w:val="20"/>
          <w:color w:val="auto"/>
        </w:rPr>
      </w:pPr>
      <w:r>
        <w:rPr>
          <w:rFonts w:ascii="Arial" w:cs="Arial" w:eastAsia="Arial" w:hAnsi="Arial"/>
          <w:sz w:val="17"/>
          <w:szCs w:val="17"/>
          <w:color w:val="auto"/>
        </w:rPr>
        <w:t>Revenue for Afirma comes from several sources, including commercial third-party payers, such as insurance companies and health maintenance organizations, government payers, such as Medicare and Medicaid,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 Landscape for Afirma</w:t>
      </w:r>
    </w:p>
    <w:p>
      <w:pPr>
        <w:spacing w:after="0" w:line="224"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7"/>
          <w:szCs w:val="17"/>
          <w:color w:val="auto"/>
        </w:rPr>
        <w:t>Reimbursement for Afirma is comprised of two separate components: routine cytopathology and, when cytopathology yields an indeterminate result, reimbursement for the GEC. Substantially all patient 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85"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85"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Dependence on Certain Third-party Payers</w:t>
      </w:r>
    </w:p>
    <w:p>
      <w:pPr>
        <w:spacing w:after="0" w:line="224"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We rely on a small number of third-party payers for a significant portion of our revenue. 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The loss of one or more of these payers would have a negative effect on our business and our revenue.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Reimbursement Strategy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employ a multi-pronged strategy designed to achieve broad coverage and reimbursement for Afirma:</w:t>
      </w:r>
    </w:p>
    <w:p>
      <w:pPr>
        <w:spacing w:after="0" w:line="224"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7"/>
          <w:szCs w:val="17"/>
          <w:i w:val="1"/>
          <w:iCs w:val="1"/>
          <w:color w:val="auto"/>
        </w:rPr>
        <w:t xml:space="preserve">Meet the evidence standards necessary to be consistent with leading clinical guidelines. </w:t>
      </w:r>
      <w:r>
        <w:rPr>
          <w:rFonts w:ascii="Arial" w:cs="Arial" w:eastAsia="Arial" w:hAnsi="Arial"/>
          <w:sz w:val="17"/>
          <w:szCs w:val="17"/>
          <w:color w:val="auto"/>
        </w:rPr>
        <w:t>We believe inclusion in leading clinical practice guidelines plays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role in payers' 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i w:val="1"/>
          <w:iCs w:val="1"/>
          <w:color w:val="auto"/>
        </w:rPr>
        <w:t xml:space="preserve">Execute an internal managed care policy and claims adjudication function as part of our core business operations. </w:t>
      </w:r>
      <w:r>
        <w:rPr>
          <w:rFonts w:ascii="Arial" w:cs="Arial" w:eastAsia="Arial" w:hAnsi="Arial"/>
          <w:sz w:val="17"/>
          <w:szCs w:val="17"/>
          <w:color w:val="auto"/>
        </w:rPr>
        <w:t>We believe that obtaining adequate and</w:t>
      </w:r>
      <w:r>
        <w:rPr>
          <w:rFonts w:ascii="Arial" w:cs="Arial" w:eastAsia="Arial" w:hAnsi="Arial"/>
          <w:sz w:val="17"/>
          <w:szCs w:val="17"/>
          <w:i w:val="1"/>
          <w:iCs w:val="1"/>
          <w:color w:val="auto"/>
        </w:rPr>
        <w:t xml:space="preserve"> </w:t>
      </w:r>
      <w:r>
        <w:rPr>
          <w:rFonts w:ascii="Arial" w:cs="Arial" w:eastAsia="Arial" w:hAnsi="Arial"/>
          <w:sz w:val="17"/>
          <w:szCs w:val="17"/>
          <w:color w:val="auto"/>
        </w:rPr>
        <w:t>widespread 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i w:val="1"/>
          <w:iCs w:val="1"/>
          <w:color w:val="auto"/>
        </w:rPr>
        <w:t xml:space="preserve">Cultivate a network of key opinion leaders. </w:t>
      </w:r>
      <w:r>
        <w:rPr>
          <w:rFonts w:ascii="Arial" w:cs="Arial" w:eastAsia="Arial" w:hAnsi="Arial"/>
          <w:sz w:val="17"/>
          <w:szCs w:val="17"/>
          <w:color w:val="auto"/>
        </w:rPr>
        <w:t>Key opinion leaders are able to influence clinical practice by publishing research and determining whether new tests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79"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i w:val="1"/>
          <w:iCs w:val="1"/>
          <w:color w:val="auto"/>
        </w:rPr>
        <w:t xml:space="preserve">Compile a growing library of peer-reviewed studies that demonstrate the test is effective. </w:t>
      </w:r>
      <w:r>
        <w:rPr>
          <w:rFonts w:ascii="Arial" w:cs="Arial" w:eastAsia="Arial" w:hAnsi="Arial"/>
          <w:sz w:val="17"/>
          <w:szCs w:val="17"/>
          <w:color w:val="auto"/>
        </w:rPr>
        <w:t>To date, several peer-reviewed articles and review papers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published and have helped support our efforts aimed at widespread adoption and reimbursement of Afirma. In each disease area we pursue, we intend to conduct studies in order to develop similar supporting literature.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28"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7"/>
          <w:szCs w:val="17"/>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Afirma Malignant GEC</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help direct the patient to the right surgery the first time. We intend to introduce this product in the second quarter of 2014, which will expand the number of patients for which we can perform testing using the Afirma solution.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Idiopathic Pulmonary Fibrosis and Nodules Suspicious for Lung Cancer</w:t>
      </w:r>
    </w:p>
    <w:p>
      <w:pPr>
        <w:spacing w:after="0" w:line="224" w:lineRule="exact"/>
        <w:rPr>
          <w:sz w:val="20"/>
          <w:szCs w:val="20"/>
          <w:color w:val="auto"/>
        </w:rPr>
      </w:pPr>
    </w:p>
    <w:p>
      <w:pPr>
        <w:jc w:val="both"/>
        <w:ind w:firstLine="375"/>
        <w:spacing w:after="0" w:line="281" w:lineRule="auto"/>
        <w:rPr>
          <w:sz w:val="20"/>
          <w:szCs w:val="20"/>
          <w:color w:val="auto"/>
        </w:rPr>
      </w:pPr>
      <w:r>
        <w:rPr>
          <w:rFonts w:ascii="Arial" w:cs="Arial" w:eastAsia="Arial" w:hAnsi="Arial"/>
          <w:sz w:val="16"/>
          <w:szCs w:val="16"/>
          <w:color w:val="auto"/>
        </w:rPr>
        <w:t xml:space="preserve">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According to a joint industry statement published in the </w:t>
      </w:r>
      <w:r>
        <w:rPr>
          <w:rFonts w:ascii="Arial" w:cs="Arial" w:eastAsia="Arial" w:hAnsi="Arial"/>
          <w:sz w:val="16"/>
          <w:szCs w:val="16"/>
          <w:i w:val="1"/>
          <w:iCs w:val="1"/>
          <w:color w:val="auto"/>
        </w:rPr>
        <w:t>American Journal of Respiratory and Critical Care Medicine</w:t>
      </w:r>
      <w:r>
        <w:rPr>
          <w:rFonts w:ascii="Arial" w:cs="Arial" w:eastAsia="Arial" w:hAnsi="Arial"/>
          <w:sz w:val="16"/>
          <w:szCs w:val="16"/>
          <w:color w:val="auto"/>
        </w:rPr>
        <w:t xml:space="preserve"> in 2011, bronchoscopy, a minimally invasive procedure often used to diagnose lung cancer, is typically inadequate for definitive diagnosis of ILDs. As a result, tens of thousands of patients undergo expensive and invasive diagnostic surgeries in an effort to obtain a diagnosis.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119380</wp:posOffset>
            </wp:positionV>
            <wp:extent cx="5677535" cy="2680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7753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technology platform offers a number of key attributes:</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Core expertise in whole genome analysis. </w:t>
      </w:r>
      <w:r>
        <w:rPr>
          <w:rFonts w:ascii="Arial" w:cs="Arial" w:eastAsia="Arial" w:hAnsi="Arial"/>
          <w:sz w:val="17"/>
          <w:szCs w:val="17"/>
          <w:color w:val="auto"/>
        </w:rPr>
        <w:t>Our team of bioinformatics and computational scientists possess extensive knowledge of both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205"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Proprietary capabilities in analyzing small, heterogeneous cytology samples.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201"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Technology agnostic discovery platform. </w:t>
      </w:r>
      <w:r>
        <w:rPr>
          <w:rFonts w:ascii="Arial" w:cs="Arial" w:eastAsia="Arial" w:hAnsi="Arial"/>
          <w:sz w:val="17"/>
          <w:szCs w:val="17"/>
          <w:color w:val="auto"/>
        </w:rPr>
        <w:t>We are not reliant on specific formats and are able to take advantage of a multitude of genomic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in developing future tests. When we developed the GEC in 2008, microarray technologies were a cost-effective discovery technology compared to other approaches that were nascent at the time. More recently, the rapid cost reductions achieved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in next generation sequencing platforms has allowed us to pursue our whole genome approach to biomarker discovery using a range of technologies, including gene expression and DNA methylation, as well as DNA and RNA sequencing.</w:t>
      </w:r>
    </w:p>
    <w:p>
      <w:pPr>
        <w:spacing w:after="0" w:line="170" w:lineRule="exact"/>
        <w:rPr>
          <w:sz w:val="20"/>
          <w:szCs w:val="20"/>
          <w:color w:val="auto"/>
        </w:rPr>
      </w:pPr>
    </w:p>
    <w:p>
      <w:pPr>
        <w:jc w:val="both"/>
        <w:ind w:firstLine="493"/>
        <w:spacing w:after="0" w:line="282" w:lineRule="auto"/>
        <w:rPr>
          <w:sz w:val="20"/>
          <w:szCs w:val="20"/>
          <w:color w:val="auto"/>
        </w:rPr>
      </w:pPr>
      <w:r>
        <w:rPr>
          <w:rFonts w:ascii="Arial" w:cs="Arial" w:eastAsia="Arial" w:hAnsi="Arial"/>
          <w:sz w:val="17"/>
          <w:szCs w:val="17"/>
          <w:color w:val="auto"/>
        </w:rPr>
        <w:t>Our research and development expenses for the years ended December 31, 2011 and 2012 and for the six months ended June 30, 2013 were $6.7 million, $6.6 million and $3.9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Laboratory Operations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GEC testing. Beginning in May 2013, our customers began shipping samples to our CLIA-registered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have sufficient laboratory capacity to process Afirma tests for at least the next 24 months.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 Assurance</w:t>
      </w:r>
    </w:p>
    <w:p>
      <w:pPr>
        <w:spacing w:after="0" w:line="228" w:lineRule="exact"/>
        <w:rPr>
          <w:sz w:val="20"/>
          <w:szCs w:val="20"/>
          <w:color w:val="auto"/>
        </w:rPr>
      </w:pPr>
    </w:p>
    <w:p>
      <w:pPr>
        <w:jc w:val="both"/>
        <w:ind w:firstLine="415"/>
        <w:spacing w:after="0" w:line="263" w:lineRule="auto"/>
        <w:rPr>
          <w:sz w:val="20"/>
          <w:szCs w:val="20"/>
          <w:color w:val="auto"/>
        </w:rPr>
      </w:pPr>
      <w:r>
        <w:rPr>
          <w:rFonts w:ascii="Arial" w:cs="Arial" w:eastAsia="Arial" w:hAnsi="Arial"/>
          <w:sz w:val="17"/>
          <w:szCs w:val="17"/>
          <w:color w:val="auto"/>
        </w:rPr>
        <w:t>Our quality assurance function oversees the quality of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 include:</w:t>
      </w:r>
    </w:p>
    <w:p>
      <w:pPr>
        <w:spacing w:after="0" w:line="237" w:lineRule="exact"/>
        <w:rPr>
          <w:sz w:val="20"/>
          <w:szCs w:val="20"/>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quality and strength of clinical and analytical validation data;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confidence in diagnostic results;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extent of reimbursement;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inclusion in practice guidelines;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cost-effectiveness;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compete favorably on the factors described above.</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85" w:lineRule="exact"/>
        <w:rPr>
          <w:sz w:val="20"/>
          <w:szCs w:val="20"/>
          <w:color w:val="auto"/>
        </w:rPr>
      </w:pPr>
    </w:p>
    <w:p>
      <w:pPr>
        <w:jc w:val="both"/>
        <w:ind w:firstLine="400"/>
        <w:spacing w:after="0" w:line="315"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Corporation, which is currently expected to be acquired by Thermo Fisher Scientific Inc., and 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55"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In addition, competitors may develop their own versions of our solution in countries where we do not have patents or where our intellectual property rights are not recognized and compete with us in those countries.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9"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As of October 1, 2013, we had six pending United States nonprovisional patent applications and one patent which expires on January 3, 2031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7"/>
          <w:szCs w:val="17"/>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hold registered trademarks in the United States for "Veracyte" and "Afirma".</w:t>
      </w:r>
    </w:p>
    <w:p>
      <w:pPr>
        <w:spacing w:after="0" w:line="22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Near-term Plan of Operation</w:t>
      </w:r>
    </w:p>
    <w:p>
      <w:pPr>
        <w:spacing w:after="0" w:line="228" w:lineRule="exact"/>
        <w:rPr>
          <w:sz w:val="20"/>
          <w:szCs w:val="20"/>
          <w:color w:val="auto"/>
        </w:rPr>
      </w:pPr>
    </w:p>
    <w:p>
      <w:pPr>
        <w:jc w:val="both"/>
        <w:ind w:firstLine="380"/>
        <w:spacing w:after="0" w:line="303" w:lineRule="auto"/>
        <w:rPr>
          <w:sz w:val="20"/>
          <w:szCs w:val="20"/>
          <w:color w:val="auto"/>
        </w:rPr>
      </w:pPr>
      <w:r>
        <w:rPr>
          <w:rFonts w:ascii="Arial" w:cs="Arial" w:eastAsia="Arial" w:hAnsi="Arial"/>
          <w:sz w:val="15"/>
          <w:szCs w:val="15"/>
          <w:color w:val="auto"/>
        </w:rPr>
        <w:t>Over the next 12 months, we plan to focus on increasing adoption of, and reimbursement for, Afirma, as well as developing products complementary to Afirma, including our Afirma Malignant GEC, and advancing our lung program. Specifically, we plan to increase the body of clinical and pharmacoeconomic evidence to support Afirma's inclusion in additional clinical practice guidelines to expand our base of prescribing physicians and to achieve broader reimbursement for Afirma. In addition, we plan to focus our research and development efforts on evaluating the ways in which we can further leverage our molecular cytology platform to address other diseases. Our key strategic initiatives are set forth in "Business—Our Strategy", our plans for increasing reimbursement levels for Afirma are set forth in "Business—Reimbursement Strategy" and our plans for developing additional products can be found in "Business—Our Product Pipeline".</w:t>
      </w:r>
    </w:p>
    <w:p>
      <w:pPr>
        <w:spacing w:after="0" w:line="162" w:lineRule="exact"/>
        <w:rPr>
          <w:sz w:val="20"/>
          <w:szCs w:val="20"/>
          <w:color w:val="auto"/>
        </w:rPr>
      </w:pPr>
    </w:p>
    <w:p>
      <w:pPr>
        <w:jc w:val="both"/>
        <w:ind w:firstLine="449"/>
        <w:spacing w:after="0" w:line="278" w:lineRule="auto"/>
        <w:rPr>
          <w:sz w:val="20"/>
          <w:szCs w:val="20"/>
          <w:color w:val="auto"/>
        </w:rPr>
      </w:pPr>
      <w:r>
        <w:rPr>
          <w:rFonts w:ascii="Arial" w:cs="Arial" w:eastAsia="Arial" w:hAnsi="Arial"/>
          <w:sz w:val="16"/>
          <w:szCs w:val="16"/>
          <w:color w:val="auto"/>
        </w:rPr>
        <w:t>We anticipate that our expenditures will increase over the next 12 months in connection with the implementation of our strategy. Specifically, we expect our research and development expenses will increase as we invest in activities related to developing additional products, as well as the continued development and support of Afirma. We also expect our selling and marketing expenses will increase as a result of co-promotion fees payable to Genzyme, which fees increase as cash receipts from Afirma increase, the costs associated with hiring additional internal sales personnel in connection with our planned expansion, and additional marketing and education efforts in order to promote Afirma and to educate physicians about our tests. Additionally, we also expect that our general and administrative expenses will increase as we incur additional expenses related to operating as a public company and expand our billing and client services functions to support anticipated increased demand for our tests. We believe that the estimated net proceeds from this offering, together with our existing cash and cash equivalents, will exceed those additional expenditures and our current cash usage rates and will be sufficient to meet our anticipated cash requirements for at least the next 12 months, and as such, we do not expect it will be necessary to raise additional capital during that period.</w:t>
      </w:r>
    </w:p>
    <w:p>
      <w:pPr>
        <w:spacing w:after="0" w:line="179"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5"/>
          <w:szCs w:val="15"/>
          <w:color w:val="auto"/>
        </w:rPr>
        <w:t>Over the next 12 months we expect to continue our research and development efforts, including additional research and development expenditures with respect to our Afirma Malignant GEC test, which we plan to introduce in the second quarter of 2014. In addition, we expect to continue our research with respect to our lung program, including continuing to invest in the collection of prospective samples and advancing the program into product development. We also plan to conduct early biomarker discovery to help resolve indeterminate diagnoses in other disease areas. We do not record or maintain information regarding costs incurred in research and development on a program-specific basis. Our research and development staff and associated infrastructure resources are deployed across several programs. Many of our costs are thus not attributable to individual programs. As a result, we are unable to determine the duration and completion costs of our research and development programs. Additional information with respect to our research and development plans can be found in "Business—Research and Development".</w:t>
      </w:r>
    </w:p>
    <w:p>
      <w:pPr>
        <w:spacing w:after="0" w:line="164" w:lineRule="exact"/>
        <w:rPr>
          <w:sz w:val="20"/>
          <w:szCs w:val="20"/>
          <w:color w:val="auto"/>
        </w:rPr>
      </w:pPr>
    </w:p>
    <w:p>
      <w:pPr>
        <w:jc w:val="both"/>
        <w:ind w:firstLine="370"/>
        <w:spacing w:after="0" w:line="261" w:lineRule="auto"/>
        <w:rPr>
          <w:sz w:val="20"/>
          <w:szCs w:val="20"/>
          <w:color w:val="auto"/>
        </w:rPr>
      </w:pPr>
      <w:r>
        <w:rPr>
          <w:rFonts w:ascii="Arial" w:cs="Arial" w:eastAsia="Arial" w:hAnsi="Arial"/>
          <w:sz w:val="17"/>
          <w:szCs w:val="17"/>
          <w:color w:val="auto"/>
        </w:rPr>
        <w:t>Over the next 12 months, we do not expect to incur any material expenditures for laboratory build-out expenses or equipment acquisitions, nor do we believe we will need additional office or laboratory space, as we believe that our office and laboratory capacity will be sufficient to meet our needs in the near-term. Additionally, we plan to continue hiring employees to support the anticipated growth in our business, including in selling and marketing, laboratory operations, research and development and clinical development, and general and administrative functions. From June 30, 2013 through October 1, 2013, our headcount increased from 98 employees to 107. In addition, we expect to increase our headcount by approximately 10 full-time employees per quarter through June 30, 2014. We believe our largest headcount additions will be in general and administrative functions, primarily billing and client services, followed by sales and marketing and clinical laboratory operations.</w:t>
      </w:r>
    </w:p>
    <w:p>
      <w:pPr>
        <w:spacing w:after="0" w:line="190" w:lineRule="exact"/>
        <w:rPr>
          <w:sz w:val="20"/>
          <w:szCs w:val="20"/>
          <w:color w:val="auto"/>
        </w:rPr>
      </w:pPr>
    </w:p>
    <w:p>
      <w:pPr>
        <w:jc w:val="both"/>
        <w:ind w:firstLine="399"/>
        <w:spacing w:after="0" w:line="315" w:lineRule="auto"/>
        <w:rPr>
          <w:sz w:val="20"/>
          <w:szCs w:val="20"/>
          <w:color w:val="auto"/>
        </w:rPr>
      </w:pPr>
      <w:r>
        <w:rPr>
          <w:rFonts w:ascii="Arial" w:cs="Arial" w:eastAsia="Arial" w:hAnsi="Arial"/>
          <w:sz w:val="16"/>
          <w:szCs w:val="16"/>
          <w:color w:val="auto"/>
        </w:rPr>
        <w:t>Our expectations with respect to our near term operating plan and ability to effectively execute on this plan are subject to a number of risks, and many of these risks are outside of our control. If one or more of these events were to occur in the near term, it may be necessary for us to shift our priorities and our plans,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abandon or delay one or more of our planned activities, or otherwise adjust our proposed near- and long-term business plans. Please see "Risk Factors" for a discussion of these risks and events, and their potential effects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Laboratory Improvement Amendments of 1988, or CLIA</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9" w:lineRule="exact"/>
        <w:rPr>
          <w:sz w:val="20"/>
          <w:szCs w:val="20"/>
          <w:color w:val="auto"/>
        </w:rPr>
      </w:pPr>
    </w:p>
    <w:p>
      <w:pPr>
        <w:jc w:val="both"/>
        <w:ind w:firstLine="475"/>
        <w:spacing w:after="0" w:line="265" w:lineRule="auto"/>
        <w:rPr>
          <w:sz w:val="20"/>
          <w:szCs w:val="20"/>
          <w:color w:val="auto"/>
        </w:rPr>
      </w:pPr>
      <w:r>
        <w:rPr>
          <w:rFonts w:ascii="Arial" w:cs="Arial" w:eastAsia="Arial" w:hAnsi="Arial"/>
          <w:sz w:val="17"/>
          <w:szCs w:val="17"/>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Food and Drug Administration: Diagnostic Kits</w:t>
      </w:r>
    </w:p>
    <w:p>
      <w:pPr>
        <w:spacing w:after="0" w:line="224" w:lineRule="exact"/>
        <w:rPr>
          <w:sz w:val="20"/>
          <w:szCs w:val="20"/>
          <w:color w:val="auto"/>
        </w:rPr>
      </w:pPr>
    </w:p>
    <w:p>
      <w:pPr>
        <w:jc w:val="both"/>
        <w:ind w:firstLine="428"/>
        <w:spacing w:after="0" w:line="306" w:lineRule="auto"/>
        <w:rPr>
          <w:sz w:val="20"/>
          <w:szCs w:val="20"/>
          <w:color w:val="auto"/>
        </w:rPr>
      </w:pPr>
      <w:r>
        <w:rPr>
          <w:rFonts w:ascii="Arial" w:cs="Arial" w:eastAsia="Arial" w:hAnsi="Arial"/>
          <w:sz w:val="15"/>
          <w:szCs w:val="15"/>
          <w:color w:val="auto"/>
        </w:rPr>
        <w:t>Diagnostic kits, including collection systems,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59" w:lineRule="exact"/>
        <w:rPr>
          <w:sz w:val="20"/>
          <w:szCs w:val="20"/>
          <w:color w:val="auto"/>
        </w:rPr>
      </w:pPr>
    </w:p>
    <w:p>
      <w:pPr>
        <w:jc w:val="both"/>
        <w:ind w:firstLine="406"/>
        <w:spacing w:after="0" w:line="283"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74" w:lineRule="exact"/>
        <w:rPr>
          <w:sz w:val="20"/>
          <w:szCs w:val="20"/>
          <w:color w:val="auto"/>
        </w:rPr>
      </w:pPr>
    </w:p>
    <w:p>
      <w:pPr>
        <w:jc w:val="both"/>
        <w:ind w:firstLine="537"/>
        <w:spacing w:after="0" w:line="315"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4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 we provide for collection and transport of FNA samples from a physician to our clinical reference laboratory is listed with the FDA as a Class I medical device and is subject to regulation by the FDA. If the FDA were to determine that our sample collection container is a Class II medical device, we would be required to obtain FDA clearance to use the container.</w:t>
      </w:r>
    </w:p>
    <w:p>
      <w:pPr>
        <w:spacing w:after="0" w:line="192"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3"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recall or seizure of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Oversight of Laboratory Developed Tests and Research Use Only Products</w:t>
      </w:r>
    </w:p>
    <w:p>
      <w:pPr>
        <w:spacing w:after="0" w:line="224" w:lineRule="exact"/>
        <w:rPr>
          <w:sz w:val="20"/>
          <w:szCs w:val="20"/>
          <w:color w:val="auto"/>
        </w:rPr>
      </w:pPr>
    </w:p>
    <w:p>
      <w:pPr>
        <w:jc w:val="both"/>
        <w:ind w:firstLine="502"/>
        <w:spacing w:after="0" w:line="277" w:lineRule="auto"/>
        <w:rPr>
          <w:sz w:val="20"/>
          <w:szCs w:val="20"/>
          <w:color w:val="auto"/>
        </w:rPr>
      </w:pPr>
      <w:r>
        <w:rPr>
          <w:rFonts w:ascii="Arial" w:cs="Arial" w:eastAsia="Arial" w:hAnsi="Arial"/>
          <w:sz w:val="16"/>
          <w:szCs w:val="16"/>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 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2,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76"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Labeled for Research Use Only or Investigational Use Only." Aspects of this draft guidance, which has not been finalized, are controversial.</w:t>
      </w:r>
    </w:p>
    <w:p>
      <w:pPr>
        <w:spacing w:after="0" w:line="224"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74"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187" w:lineRule="exact"/>
        <w:rPr>
          <w:sz w:val="20"/>
          <w:szCs w:val="20"/>
          <w:color w:val="auto"/>
        </w:rPr>
      </w:pPr>
    </w:p>
    <w:p>
      <w:pPr>
        <w:jc w:val="both"/>
        <w:ind w:firstLine="351"/>
        <w:spacing w:after="0" w:line="299" w:lineRule="auto"/>
        <w:rPr>
          <w:sz w:val="20"/>
          <w:szCs w:val="20"/>
          <w:color w:val="auto"/>
        </w:rPr>
      </w:pPr>
      <w:r>
        <w:rPr>
          <w:rFonts w:ascii="Arial" w:cs="Arial" w:eastAsia="Arial" w:hAnsi="Arial"/>
          <w:sz w:val="15"/>
          <w:szCs w:val="15"/>
          <w:color w:val="auto"/>
        </w:rPr>
        <w:t>If premarket review, including approval,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Insurance Portability and Accountability Act</w:t>
      </w:r>
    </w:p>
    <w:p>
      <w:pPr>
        <w:spacing w:after="0" w:line="224"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85" w:lineRule="exact"/>
        <w:rPr>
          <w:sz w:val="20"/>
          <w:szCs w:val="20"/>
          <w:color w:val="auto"/>
        </w:rPr>
      </w:pPr>
    </w:p>
    <w:p>
      <w:pPr>
        <w:jc w:val="both"/>
        <w:ind w:firstLine="390"/>
        <w:spacing w:after="0" w:line="315"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Physician Self-referral Prohibitions</w:t>
      </w:r>
    </w:p>
    <w:p>
      <w:pPr>
        <w:spacing w:after="0" w:line="224" w:lineRule="exact"/>
        <w:rPr>
          <w:sz w:val="20"/>
          <w:szCs w:val="20"/>
          <w:color w:val="auto"/>
        </w:rPr>
      </w:pPr>
    </w:p>
    <w:p>
      <w:pPr>
        <w:jc w:val="both"/>
        <w:ind w:firstLine="461"/>
        <w:spacing w:after="0" w:line="265" w:lineRule="auto"/>
        <w:rPr>
          <w:sz w:val="20"/>
          <w:szCs w:val="20"/>
          <w:color w:val="auto"/>
        </w:rPr>
      </w:pPr>
      <w:r>
        <w:rPr>
          <w:rFonts w:ascii="Arial" w:cs="Arial" w:eastAsia="Arial" w:hAnsi="Arial"/>
          <w:sz w:val="17"/>
          <w:szCs w:val="17"/>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85"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9" w:lineRule="exact"/>
        <w:rPr>
          <w:sz w:val="20"/>
          <w:szCs w:val="20"/>
          <w:color w:val="auto"/>
        </w:rPr>
      </w:pPr>
    </w:p>
    <w:p>
      <w:pPr>
        <w:jc w:val="both"/>
        <w:ind w:firstLine="373"/>
        <w:spacing w:after="0" w:line="315"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Sanctions for a violation of the Stark Law include the following:</w:t>
      </w:r>
    </w:p>
    <w:p>
      <w:pPr>
        <w:spacing w:after="0" w:line="237" w:lineRule="exact"/>
        <w:rPr>
          <w:sz w:val="20"/>
          <w:szCs w:val="20"/>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denial of payment for the services provided in violation of the prohibition;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refunds of amounts collected by an entity in violation of the Stark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civil penalty of up to $15,000 for each service arising out of the prohibited referral;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possible exclusion from federal healthcare programs, including Medicare and Medicaid;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civil penalty of up to $100,000 against parties that enter into a scheme to circumvent the Stark Law's prohibition.</w:t>
      </w:r>
    </w:p>
    <w:p>
      <w:pPr>
        <w:spacing w:after="0" w:line="224"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70"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Anti-kickback Laws</w:t>
      </w:r>
    </w:p>
    <w:p>
      <w:pPr>
        <w:spacing w:after="0" w:line="224" w:lineRule="exact"/>
        <w:rPr>
          <w:sz w:val="20"/>
          <w:szCs w:val="20"/>
          <w:color w:val="auto"/>
        </w:rPr>
      </w:pPr>
    </w:p>
    <w:p>
      <w:pPr>
        <w:jc w:val="both"/>
        <w:ind w:firstLine="359"/>
        <w:spacing w:after="0" w:line="263" w:lineRule="auto"/>
        <w:rPr>
          <w:sz w:val="20"/>
          <w:szCs w:val="20"/>
          <w:color w:val="auto"/>
        </w:rPr>
      </w:pPr>
      <w:r>
        <w:rPr>
          <w:rFonts w:ascii="Arial" w:cs="Arial" w:eastAsia="Arial" w:hAnsi="Arial"/>
          <w:sz w:val="17"/>
          <w:szCs w:val="17"/>
          <w:color w:val="auto"/>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9" w:lineRule="exact"/>
        <w:rPr>
          <w:sz w:val="20"/>
          <w:szCs w:val="20"/>
          <w:color w:val="auto"/>
        </w:rPr>
      </w:pPr>
    </w:p>
    <w:p>
      <w:pPr>
        <w:jc w:val="both"/>
        <w:ind w:firstLine="364"/>
        <w:spacing w:after="0" w:line="262" w:lineRule="auto"/>
        <w:rPr>
          <w:sz w:val="20"/>
          <w:szCs w:val="20"/>
          <w:color w:val="auto"/>
        </w:rPr>
      </w:pPr>
      <w:r>
        <w:rPr>
          <w:rFonts w:ascii="Arial" w:cs="Arial" w:eastAsia="Arial" w:hAnsi="Arial"/>
          <w:sz w:val="17"/>
          <w:szCs w:val="17"/>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88" w:lineRule="exact"/>
        <w:rPr>
          <w:sz w:val="20"/>
          <w:szCs w:val="20"/>
          <w:color w:val="auto"/>
        </w:rPr>
      </w:pPr>
    </w:p>
    <w:p>
      <w:pPr>
        <w:jc w:val="both"/>
        <w:ind w:firstLine="348"/>
        <w:spacing w:after="0" w:line="283"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4"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9"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5" w:lineRule="exact"/>
        <w:rPr>
          <w:sz w:val="20"/>
          <w:szCs w:val="20"/>
          <w:color w:val="auto"/>
        </w:rPr>
      </w:pPr>
    </w:p>
    <w:p>
      <w:pPr>
        <w:jc w:val="both"/>
        <w:ind w:firstLine="410"/>
        <w:spacing w:after="0" w:line="261" w:lineRule="auto"/>
        <w:rPr>
          <w:sz w:val="20"/>
          <w:szCs w:val="20"/>
          <w:color w:val="auto"/>
        </w:rPr>
      </w:pPr>
      <w:r>
        <w:rPr>
          <w:rFonts w:ascii="Arial" w:cs="Arial" w:eastAsia="Arial" w:hAnsi="Arial"/>
          <w:sz w:val="17"/>
          <w:szCs w:val="17"/>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7"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Federal and State Fraud and Abuse Laws</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3" w:lineRule="exact"/>
        <w:rPr>
          <w:sz w:val="20"/>
          <w:szCs w:val="20"/>
          <w:color w:val="auto"/>
        </w:rPr>
      </w:pPr>
    </w:p>
    <w:p>
      <w:pPr>
        <w:jc w:val="both"/>
        <w:ind w:firstLine="417"/>
        <w:spacing w:after="0" w:line="261" w:lineRule="auto"/>
        <w:rPr>
          <w:sz w:val="20"/>
          <w:szCs w:val="20"/>
          <w:color w:val="auto"/>
        </w:rPr>
      </w:pPr>
      <w:r>
        <w:rPr>
          <w:rFonts w:ascii="Arial" w:cs="Arial" w:eastAsia="Arial" w:hAnsi="Arial"/>
          <w:sz w:val="17"/>
          <w:szCs w:val="17"/>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Laboratory Licensing</w:t>
      </w:r>
    </w:p>
    <w:p>
      <w:pPr>
        <w:spacing w:after="0" w:line="224"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5"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York Laboratory Licensing</w:t>
      </w:r>
    </w:p>
    <w:p>
      <w:pPr>
        <w:spacing w:after="0" w:line="224" w:lineRule="exact"/>
        <w:rPr>
          <w:sz w:val="20"/>
          <w:szCs w:val="20"/>
          <w:color w:val="auto"/>
        </w:rPr>
      </w:pPr>
    </w:p>
    <w:p>
      <w:pPr>
        <w:jc w:val="both"/>
        <w:ind w:firstLine="452"/>
        <w:spacing w:after="0" w:line="282" w:lineRule="auto"/>
        <w:rPr>
          <w:sz w:val="20"/>
          <w:szCs w:val="20"/>
          <w:color w:val="auto"/>
        </w:rPr>
      </w:pPr>
      <w:r>
        <w:rPr>
          <w:rFonts w:ascii="Arial" w:cs="Arial" w:eastAsia="Arial" w:hAnsi="Arial"/>
          <w:sz w:val="17"/>
          <w:szCs w:val="17"/>
          <w:color w:val="auto"/>
        </w:rPr>
        <w:t>Because we receive specimens from New York State, our clinical reference laboratories are required to be licensed by New York, under New York laws and regulations, which establish standards for:</w:t>
      </w:r>
    </w:p>
    <w:p>
      <w:pPr>
        <w:spacing w:after="0" w:line="183"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day-to-day operation of a clinical laboratory, including training and skill levels required of laboratory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physical requirements of a facility;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equipment;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validation and quality control.</w:t>
      </w:r>
    </w:p>
    <w:p>
      <w:pPr>
        <w:spacing w:after="0" w:line="224"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States' Laboratory Licensing</w:t>
      </w:r>
    </w:p>
    <w:p>
      <w:pPr>
        <w:spacing w:after="0" w:line="22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79"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w:t>
      </w:r>
    </w:p>
    <w:p>
      <w:pPr>
        <w:spacing w:after="0" w:line="224"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2015 and automatically renews on an annual basis unless either party provides notice of intent not to renew.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As of October 1, 2013, we had 107 employees, of which 25 work in laboratory operations, 20 in research and development and clinical development, 15 in selling and marketing, 47 in general and administrative including 23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at least the next 12 months and that additional space will be available on commercially reasonable terms, if required.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 and Suppliers</w:t>
      </w:r>
    </w:p>
    <w:p>
      <w:pPr>
        <w:spacing w:after="0" w:line="228"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We procure reagents, equipment, chips and other materials we use to perform the GEC from sole suppliers such as NuGEN Technologies, Inc. and Affymetrix, Inc.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our business would be negatively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legal proceedings.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officers, directors and key employees, and their ages and positions as of October 1, 2013, are as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640" w:type="dxa"/>
            <w:vAlign w:val="bottom"/>
          </w:tcPr>
          <w:p>
            <w:pPr>
              <w:spacing w:after="0"/>
              <w:rPr>
                <w:sz w:val="13"/>
                <w:szCs w:val="1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558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Position</w:t>
            </w:r>
          </w:p>
        </w:tc>
      </w:tr>
      <w:tr>
        <w:trPr>
          <w:trHeight w:val="203"/>
        </w:trPr>
        <w:tc>
          <w:tcPr>
            <w:tcW w:w="1160" w:type="dxa"/>
            <w:vAlign w:val="bottom"/>
            <w:tcBorders>
              <w:right w:val="single" w:sz="8" w:color="CCEEFF"/>
            </w:tcBorders>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Executive Officers and Key Employees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Bonnie H. Anderson</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558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Shelly D. Guyer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 and Secretary</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Christopher M. Hall</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45</w:t>
            </w:r>
          </w:p>
        </w:tc>
        <w:tc>
          <w:tcPr>
            <w:tcW w:w="5580" w:type="dxa"/>
            <w:vAlign w:val="bottom"/>
          </w:tcPr>
          <w:p>
            <w:pPr>
              <w:spacing w:after="0"/>
              <w:rPr>
                <w:sz w:val="20"/>
                <w:szCs w:val="20"/>
                <w:color w:val="auto"/>
              </w:rPr>
            </w:pPr>
            <w:r>
              <w:rPr>
                <w:rFonts w:ascii="Arial" w:cs="Arial" w:eastAsia="Arial" w:hAnsi="Arial"/>
                <w:sz w:val="17"/>
                <w:szCs w:val="17"/>
                <w:color w:val="auto"/>
              </w:rPr>
              <w:t>Chief Commercial Officer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Giulia C. Kennedy, Ph.D.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Scientific Officer</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Richard B. Lanman, M.D.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5580" w:type="dxa"/>
            <w:vAlign w:val="bottom"/>
          </w:tcPr>
          <w:p>
            <w:pPr>
              <w:spacing w:after="0"/>
              <w:rPr>
                <w:sz w:val="20"/>
                <w:szCs w:val="20"/>
                <w:color w:val="auto"/>
              </w:rPr>
            </w:pPr>
            <w:r>
              <w:rPr>
                <w:rFonts w:ascii="Arial" w:cs="Arial" w:eastAsia="Arial" w:hAnsi="Arial"/>
                <w:sz w:val="17"/>
                <w:szCs w:val="17"/>
                <w:color w:val="auto"/>
              </w:rPr>
              <w:t>Chief Medical Officer</w:t>
            </w:r>
          </w:p>
        </w:tc>
      </w:tr>
      <w:tr>
        <w:trPr>
          <w:trHeight w:val="419"/>
        </w:trPr>
        <w:tc>
          <w:tcPr>
            <w:tcW w:w="1160" w:type="dxa"/>
            <w:vAlign w:val="bottom"/>
            <w:tcBorders>
              <w:right w:val="single" w:sz="8" w:color="CCEEFF"/>
            </w:tcBorders>
          </w:tcPr>
          <w:p>
            <w:pPr>
              <w:spacing w:after="0"/>
              <w:rPr>
                <w:sz w:val="24"/>
                <w:szCs w:val="2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(1)(3)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5580" w:type="dxa"/>
            <w:vAlign w:val="bottom"/>
          </w:tcPr>
          <w:p>
            <w:pPr>
              <w:spacing w:after="0"/>
              <w:rPr>
                <w:sz w:val="20"/>
                <w:szCs w:val="20"/>
                <w:color w:val="auto"/>
              </w:rPr>
            </w:pPr>
            <w:r>
              <w:rPr>
                <w:rFonts w:ascii="Arial" w:cs="Arial" w:eastAsia="Arial" w:hAnsi="Arial"/>
                <w:sz w:val="17"/>
                <w:szCs w:val="17"/>
                <w:color w:val="auto"/>
              </w:rPr>
              <w:t>Chairman of Board and 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54"/>
        </w:trPr>
        <w:tc>
          <w:tcPr>
            <w:tcW w:w="11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520" w:hanging="515"/>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4" w:lineRule="exact"/>
        <w:rPr>
          <w:sz w:val="20"/>
          <w:szCs w:val="20"/>
          <w:color w:val="auto"/>
        </w:rPr>
      </w:pPr>
    </w:p>
    <w:p>
      <w:pPr>
        <w:jc w:val="both"/>
        <w:ind w:firstLine="498"/>
        <w:spacing w:after="0" w:line="280"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Shelly D. Guyer </w:t>
      </w:r>
      <w:r>
        <w:rPr>
          <w:rFonts w:ascii="Arial" w:cs="Arial" w:eastAsia="Arial" w:hAnsi="Arial"/>
          <w:sz w:val="17"/>
          <w:szCs w:val="17"/>
          <w:color w:val="auto"/>
        </w:rPr>
        <w:t>has served as our Chief Financial Officer and Secretary since April 2013. Prior to joining us, Ms. Guyer served as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88"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Commercial Officer since March 2010. Prior to joining us, Mr. Hall served as Chief Business Officer of Celera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diagnostics company focusing on personalized disease management, from October 2008 to February 2010. From August 2002 to February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7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Giulia C. Kennedy, Ph.D., </w:t>
      </w:r>
      <w:r>
        <w:rPr>
          <w:rFonts w:ascii="Arial" w:cs="Arial" w:eastAsia="Arial" w:hAnsi="Arial"/>
          <w:sz w:val="17"/>
          <w:szCs w:val="17"/>
          <w:color w:val="auto"/>
        </w:rPr>
        <w:t>has served as our Chief Scientific Officer since September 2008 and served as our Senior Vice President of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88"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i w:val="1"/>
          <w:iCs w:val="1"/>
          <w:color w:val="auto"/>
        </w:rPr>
        <w:t xml:space="preserve">Richard B. Lanman, M.D., </w:t>
      </w:r>
      <w:r>
        <w:rPr>
          <w:rFonts w:ascii="Arial" w:cs="Arial" w:eastAsia="Arial" w:hAnsi="Arial"/>
          <w:sz w:val="15"/>
          <w:szCs w:val="15"/>
          <w:color w:val="auto"/>
        </w:rPr>
        <w:t>has served as our Chief Medical Officer since July 2008. Prior to joining us, Dr. Lanman served as Executive Vice President and Chief</w:t>
      </w:r>
      <w:r>
        <w:rPr>
          <w:rFonts w:ascii="Arial" w:cs="Arial" w:eastAsia="Arial" w:hAnsi="Arial"/>
          <w:sz w:val="15"/>
          <w:szCs w:val="15"/>
          <w:i w:val="1"/>
          <w:iCs w:val="1"/>
          <w:color w:val="auto"/>
        </w:rPr>
        <w:t xml:space="preserve"> </w:t>
      </w:r>
      <w:r>
        <w:rPr>
          <w:rFonts w:ascii="Arial" w:cs="Arial" w:eastAsia="Arial" w:hAnsi="Arial"/>
          <w:sz w:val="15"/>
          <w:szCs w:val="15"/>
          <w:color w:val="auto"/>
        </w:rPr>
        <w:t>Medical Officer of 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64" w:lineRule="exact"/>
        <w:rPr>
          <w:sz w:val="20"/>
          <w:szCs w:val="20"/>
          <w:color w:val="auto"/>
        </w:rPr>
      </w:pPr>
    </w:p>
    <w:p>
      <w:pPr>
        <w:jc w:val="both"/>
        <w:ind w:firstLine="433"/>
        <w:spacing w:after="0" w:line="260" w:lineRule="auto"/>
        <w:rPr>
          <w:sz w:val="20"/>
          <w:szCs w:val="20"/>
          <w:color w:val="auto"/>
        </w:rPr>
      </w:pPr>
      <w:r>
        <w:rPr>
          <w:rFonts w:ascii="Arial" w:cs="Arial" w:eastAsia="Arial" w:hAnsi="Arial"/>
          <w:sz w:val="17"/>
          <w:szCs w:val="17"/>
          <w:i w:val="1"/>
          <w:iCs w:val="1"/>
          <w:color w:val="auto"/>
        </w:rPr>
        <w:t xml:space="preserve">Brian G. Atwood </w:t>
      </w:r>
      <w:r>
        <w:rPr>
          <w:rFonts w:ascii="Arial" w:cs="Arial" w:eastAsia="Arial" w:hAnsi="Arial"/>
          <w:sz w:val="17"/>
          <w:szCs w:val="17"/>
          <w:color w:val="auto"/>
        </w:rPr>
        <w:t>has served as Chairman of our board of directors since February 2008 and as a director since December 2006. Since 1999, Mr. Atwood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Managing 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and Five Prime Therapeutics, Inc. and a number of privately held companies. Mr. Atwood served as a director of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90" w:lineRule="exact"/>
        <w:rPr>
          <w:sz w:val="20"/>
          <w:szCs w:val="20"/>
          <w:color w:val="auto"/>
        </w:rPr>
      </w:pPr>
    </w:p>
    <w:p>
      <w:pPr>
        <w:jc w:val="both"/>
        <w:ind w:firstLine="406"/>
        <w:spacing w:after="0" w:line="261" w:lineRule="auto"/>
        <w:rPr>
          <w:sz w:val="20"/>
          <w:szCs w:val="20"/>
          <w:color w:val="auto"/>
        </w:rPr>
      </w:pPr>
      <w:r>
        <w:rPr>
          <w:rFonts w:ascii="Arial" w:cs="Arial" w:eastAsia="Arial" w:hAnsi="Arial"/>
          <w:sz w:val="17"/>
          <w:szCs w:val="17"/>
          <w:i w:val="1"/>
          <w:iCs w:val="1"/>
          <w:color w:val="auto"/>
        </w:rPr>
        <w:t xml:space="preserve">Brook H. Byers </w:t>
      </w:r>
      <w:r>
        <w:rPr>
          <w:rFonts w:ascii="Arial" w:cs="Arial" w:eastAsia="Arial" w:hAnsi="Arial"/>
          <w:sz w:val="17"/>
          <w:szCs w:val="17"/>
          <w:color w:val="auto"/>
        </w:rPr>
        <w:t>has served as a member of our board of directors since January 2007. Mr. Byers is a Managing Partner of Kleiner Perkins Caufield &amp; Byers,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which he joined in 1977. Mr. Byers currently serves as a director of Foundation Medicine, Inc. and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9"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has served as a member our board of directors since January 2007. Dr. Cohen is a partner at TPG, a private equity firm he joined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and serves as 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Five Prime Therapeutics,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77"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has served as a member our board of directors since December 2006. Since 1999, Mr. Colella has served as a Managing Director of Versant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77"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6"/>
          <w:szCs w:val="16"/>
          <w:i w:val="1"/>
          <w:iCs w:val="1"/>
          <w:color w:val="auto"/>
        </w:rPr>
        <w:t xml:space="preserve">Karin Eastham </w:t>
      </w:r>
      <w:r>
        <w:rPr>
          <w:rFonts w:ascii="Arial" w:cs="Arial" w:eastAsia="Arial" w:hAnsi="Arial"/>
          <w:sz w:val="16"/>
          <w:szCs w:val="16"/>
          <w:color w:val="auto"/>
        </w:rPr>
        <w:t>has served as a member our board of directors since December 2012. Ms. Eastham serves on the boards of directors of several life sciences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79"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a member of our board of directors since February 2008. Mr. Jones has served since 2007 as Managing Member of jVen Capital, LLC, a</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Fluidigm Corporation and Foundation Medicine, Inc. Mr. Jones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received a B.A. in Biotechnology from the University of Colorado and an M.B.A. from The Wharton School at the University 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79" w:lineRule="exact"/>
        <w:rPr>
          <w:sz w:val="20"/>
          <w:szCs w:val="20"/>
          <w:color w:val="auto"/>
        </w:rPr>
      </w:pPr>
    </w:p>
    <w:p>
      <w:pPr>
        <w:jc w:val="both"/>
        <w:ind w:firstLine="406"/>
        <w:spacing w:after="0" w:line="279" w:lineRule="auto"/>
        <w:rPr>
          <w:sz w:val="20"/>
          <w:szCs w:val="20"/>
          <w:color w:val="auto"/>
        </w:rPr>
      </w:pPr>
      <w:r>
        <w:rPr>
          <w:rFonts w:ascii="Arial" w:cs="Arial" w:eastAsia="Arial" w:hAnsi="Arial"/>
          <w:sz w:val="16"/>
          <w:szCs w:val="16"/>
          <w:i w:val="1"/>
          <w:iCs w:val="1"/>
          <w:color w:val="auto"/>
        </w:rPr>
        <w:t xml:space="preserve">Jesse I. Treu, Ph.D., </w:t>
      </w:r>
      <w:r>
        <w:rPr>
          <w:rFonts w:ascii="Arial" w:cs="Arial" w:eastAsia="Arial" w:hAnsi="Arial"/>
          <w:sz w:val="16"/>
          <w:szCs w:val="16"/>
          <w:color w:val="auto"/>
        </w:rPr>
        <w:t>has served as a member our board of directors since June 2010. Dr. Treu has been a partner at Domain Associates,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since its inception in 1985. Dr. Treu currently serves as a director of Regado Biosciences, Inc., a biopharmaceutical company, Tandem Diabetes Care, Inc., a privately held company, and a number of other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Our board of directors will initially consist of eight directors. The authorized number of directors may be changed by resolution of our board of directors. Vacancies on our board of directors can be filled by resolution of our board of directors. Upon the closing of this offering, our board of directors will be divided into three classes, each serving staggered, three-year terms:</w:t>
      </w:r>
    </w:p>
    <w:p>
      <w:pPr>
        <w:spacing w:after="0" w:line="192" w:lineRule="exact"/>
        <w:rPr>
          <w:sz w:val="20"/>
          <w:szCs w:val="20"/>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Class I directors will be Bonnie H. Anderson and Evan Jones and their terms will expire at the first annual meeting of stockholders following the date of this prospectus;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Class II directors will be Brook H. Byers, Fred E. Cohen, M.D., D. Phil. and Samuel D. Colella and their terms will expire at the second annual meeting of stockholders following the date of this prospectus;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Class III directors will be Brian G. Atwood, Karin Eastham and Jesse I. Treu, Ph.D. and their terms will expire at the third annual meeting of stockholders following the date of this prospectus.</w:t>
      </w:r>
    </w:p>
    <w:p>
      <w:pPr>
        <w:spacing w:after="0" w:line="170"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As a result, only one class of directors will be elected at each annual meeting of stockholders, with the other classes continuing for the remainder of their respective terms.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7"/>
          <w:szCs w:val="17"/>
          <w:color w:val="auto"/>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the closing of this offering, the code of business conduct and ethics and the code of ethics for senior financial officers will each be posted on our website.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Our board of directors determined that all directors other than Bonnie H. Anderson are "independent directors" as defined under the rules of The NASDAQ Stock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228"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color w:val="auto"/>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85" w:lineRule="exact"/>
        <w:rPr>
          <w:sz w:val="20"/>
          <w:szCs w:val="20"/>
          <w:color w:val="auto"/>
        </w:rPr>
      </w:pPr>
    </w:p>
    <w:p>
      <w:pPr>
        <w:jc w:val="both"/>
        <w:ind w:firstLine="419"/>
        <w:spacing w:after="0" w:line="28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Mr. Atwood, Dr. Cohen and Ms. Eastham serve on our audit committee. Ms. Eastham is the chair of this committee. Our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Ms. Eastham is an audit committee financial expert, as defined by the rules promulgated by the SEC, and has the requisite financial sophistication as defined under the applicable rules and regulations of The NASDAQ Stock Market.</w:t>
      </w:r>
    </w:p>
    <w:p>
      <w:pPr>
        <w:spacing w:after="0" w:line="17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Messrs. Byers, Colella and Jones serve on our compensation committee. Mr. Jones is the chair of this committee. Our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55" w:lineRule="exact"/>
        <w:rPr>
          <w:sz w:val="20"/>
          <w:szCs w:val="20"/>
          <w:color w:val="auto"/>
        </w:rPr>
      </w:pPr>
    </w:p>
    <w:p>
      <w:pPr>
        <w:jc w:val="both"/>
        <w:ind w:firstLine="446"/>
        <w:spacing w:after="0" w:line="311" w:lineRule="auto"/>
        <w:rPr>
          <w:sz w:val="20"/>
          <w:szCs w:val="20"/>
          <w:color w:val="auto"/>
        </w:rPr>
      </w:pPr>
      <w:r>
        <w:rPr>
          <w:rFonts w:ascii="Arial" w:cs="Arial" w:eastAsia="Arial" w:hAnsi="Arial"/>
          <w:sz w:val="15"/>
          <w:szCs w:val="15"/>
          <w:i w:val="1"/>
          <w:iCs w:val="1"/>
          <w:color w:val="auto"/>
        </w:rPr>
        <w:t xml:space="preserve">Nominating and corporate governance committee. </w:t>
      </w:r>
      <w:r>
        <w:rPr>
          <w:rFonts w:ascii="Arial" w:cs="Arial" w:eastAsia="Arial" w:hAnsi="Arial"/>
          <w:sz w:val="15"/>
          <w:szCs w:val="15"/>
          <w:color w:val="auto"/>
        </w:rPr>
        <w:t>Messrs. Atwood and Byers and Dr. Treu serve on our nominating and corporate governance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Dr. Treu is the chair of 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44"/>
        <w:spacing w:after="0" w:line="261" w:lineRule="auto"/>
        <w:rPr>
          <w:sz w:val="20"/>
          <w:szCs w:val="20"/>
          <w:color w:val="auto"/>
        </w:rPr>
      </w:pPr>
      <w:r>
        <w:rPr>
          <w:rFonts w:ascii="Arial" w:cs="Arial" w:eastAsia="Arial" w:hAnsi="Arial"/>
          <w:sz w:val="17"/>
          <w:szCs w:val="17"/>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 In 2012, certain of our non-employee directors received cash compensation and options to purchase shares of our common stock pursuant to our 2008 Stock Plan. See "2012 Director Compensation". Additionally, on October 2, 2013, our board of directors granted an option to purchase 33,750 shares of our common stock at an exercise price of $12.12 per share to Karin Eastham. The option grant made to Ms. Eastham is immediately exercisable, and our right of repurchase as to the shares underlying the option lapses as to 25% of those shares on the first anniversary of the date of grant, and as to the remaining shares in equal monthly installments over the following three years.</w:t>
      </w:r>
    </w:p>
    <w:p>
      <w:pPr>
        <w:spacing w:after="0" w:line="190"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6"/>
          <w:szCs w:val="16"/>
          <w:color w:val="auto"/>
        </w:rPr>
        <w:t>Following the closing of this offering, our non-employee directors will receive an annual cash retainer of $35,000 for their service on our board of directors and any committee thereof. Members of our audit committee, compensation committee and nominating and corporate governance committee, other than the chair of each such committee, will receive an additional annual cash retainer of $7,500, $6,000 and $4,500, respectively. The chair of our audit committee, compensation committee and nominating and corporate governance committee will each receive an additional annual cash retainer of $15,000, $10,000 and $7,500, respectively. Additionally, the individual acting as Chairman of the Board will receive an additional annual cash retainer of $20,000. All annual cash retainers will be payable quarterly and pro-rated for partial service in any year. We will also continue to reimburse our non-employee directors for their reasonable out-of-pocket costs and travel expenses in connection with their attendance at board of directors and committee meetings in accordance with our travel policy.</w:t>
      </w:r>
    </w:p>
    <w:p>
      <w:pPr>
        <w:spacing w:after="0" w:line="175" w:lineRule="exact"/>
        <w:rPr>
          <w:sz w:val="20"/>
          <w:szCs w:val="20"/>
          <w:color w:val="auto"/>
        </w:rPr>
      </w:pPr>
    </w:p>
    <w:p>
      <w:pPr>
        <w:jc w:val="both"/>
        <w:ind w:firstLine="424"/>
        <w:spacing w:after="0" w:line="260" w:lineRule="auto"/>
        <w:rPr>
          <w:sz w:val="20"/>
          <w:szCs w:val="20"/>
          <w:color w:val="auto"/>
        </w:rPr>
      </w:pPr>
      <w:r>
        <w:rPr>
          <w:rFonts w:ascii="Arial" w:cs="Arial" w:eastAsia="Arial" w:hAnsi="Arial"/>
          <w:sz w:val="17"/>
          <w:szCs w:val="17"/>
          <w:color w:val="auto"/>
        </w:rPr>
        <w:t>Following the closing of this offering, nondiscretionary, automatic grants of nonstatutory stock options will be made to our non-employee directors. Any non-employee director who first joins our board of directors on or after the effective date of our 2013 Stock Incentive Plan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our stockholders, each non-employee director who continues to serve on our board of directors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2012 Director Compensation</w:t>
      </w:r>
    </w:p>
    <w:p>
      <w:pPr>
        <w:spacing w:after="0" w:line="224"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1"/>
              </w:rPr>
              <w:t>Fees Earned or Paid</w:t>
            </w: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Option Awards ($)</w:t>
            </w:r>
            <w:r>
              <w:rPr>
                <w:rFonts w:ascii="Arial" w:cs="Arial" w:eastAsia="Arial" w:hAnsi="Arial"/>
                <w:sz w:val="21"/>
                <w:szCs w:val="21"/>
                <w:b w:val="1"/>
                <w:bCs w:val="1"/>
                <w:color w:val="auto"/>
                <w:w w:val="91"/>
                <w:vertAlign w:val="superscript"/>
              </w:rPr>
              <w:t>(2)(3)</w:t>
            </w:r>
          </w:p>
        </w:tc>
        <w:tc>
          <w:tcPr>
            <w:tcW w:w="14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3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3"/>
              </w:rPr>
              <w:t>in Cash ($)</w:t>
            </w:r>
          </w:p>
        </w:tc>
        <w:tc>
          <w:tcPr>
            <w:tcW w:w="76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Karin Eastham</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1,712</w:t>
            </w:r>
            <w:r>
              <w:rPr>
                <w:rFonts w:ascii="Arial" w:cs="Arial" w:eastAsia="Arial" w:hAnsi="Arial"/>
                <w:sz w:val="14"/>
                <w:szCs w:val="14"/>
                <w:color w:val="auto"/>
              </w:rPr>
              <w:t>(1)</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18,333</w:t>
            </w:r>
          </w:p>
        </w:tc>
        <w:tc>
          <w:tcPr>
            <w:tcW w:w="0" w:type="dxa"/>
            <w:vAlign w:val="bottom"/>
          </w:tcPr>
          <w:p>
            <w:pPr>
              <w:spacing w:after="0"/>
              <w:rPr>
                <w:sz w:val="1"/>
                <w:szCs w:val="1"/>
                <w:color w:val="auto"/>
              </w:rPr>
            </w:pPr>
          </w:p>
        </w:tc>
      </w:tr>
      <w:tr>
        <w:trPr>
          <w:trHeight w:val="216"/>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Evan Jones</w:t>
            </w:r>
          </w:p>
        </w:tc>
        <w:tc>
          <w:tcPr>
            <w:tcW w:w="10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99"/>
        </w:trPr>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left="1680" w:hanging="533"/>
        <w:spacing w:after="0" w:line="266" w:lineRule="auto"/>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following table sets forth outstanding equity awards held by non-employee directors as of December 31, 2012:</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4"/>
        </w:trPr>
        <w:tc>
          <w:tcPr>
            <w:tcW w:w="29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1"/>
                <w:szCs w:val="21"/>
                <w:b w:val="1"/>
                <w:bCs w:val="1"/>
                <w:color w:val="auto"/>
                <w:vertAlign w:val="superscript"/>
              </w:rPr>
              <w:t>(1)</w:t>
            </w:r>
          </w:p>
        </w:tc>
        <w:tc>
          <w:tcPr>
            <w:tcW w:w="94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170"/>
        </w:trPr>
        <w:tc>
          <w:tcPr>
            <w:tcW w:w="2920" w:type="dxa"/>
            <w:vAlign w:val="bottom"/>
            <w:gridSpan w:val="4"/>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Arial" w:cs="Arial" w:eastAsia="Arial" w:hAnsi="Arial"/>
                <w:sz w:val="12"/>
                <w:szCs w:val="12"/>
                <w:b w:val="1"/>
                <w:bCs w:val="1"/>
                <w:color w:val="auto"/>
                <w:w w:val="96"/>
              </w:rPr>
              <w:t>Price</w:t>
            </w:r>
            <w:r>
              <w:rPr>
                <w:rFonts w:ascii="Arial" w:cs="Arial" w:eastAsia="Arial" w:hAnsi="Arial"/>
                <w:sz w:val="19"/>
                <w:szCs w:val="19"/>
                <w:b w:val="1"/>
                <w:bCs w:val="1"/>
                <w:color w:val="auto"/>
                <w:w w:val="96"/>
                <w:vertAlign w:val="superscript"/>
              </w:rPr>
              <w:t>(2)</w:t>
            </w:r>
            <w:r>
              <w:rPr>
                <w:rFonts w:ascii="Arial" w:cs="Arial" w:eastAsia="Arial" w:hAnsi="Arial"/>
                <w:sz w:val="12"/>
                <w:szCs w:val="12"/>
                <w:b w:val="1"/>
                <w:bCs w:val="1"/>
                <w:color w:val="auto"/>
                <w:w w:val="96"/>
              </w:rPr>
              <w:t>($/sh)</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Karin Eastham</w:t>
            </w: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0"/>
                <w:szCs w:val="10"/>
                <w:color w:val="auto"/>
              </w:rPr>
              <w:t>12/06/12</w:t>
            </w:r>
            <w:r>
              <w:rPr>
                <w:rFonts w:ascii="Arial" w:cs="Arial" w:eastAsia="Arial" w:hAnsi="Arial"/>
                <w:sz w:val="15"/>
                <w:szCs w:val="15"/>
                <w:color w:val="auto"/>
                <w:vertAlign w:val="superscript"/>
              </w:rPr>
              <w:t>(3)</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6,250</w:t>
            </w:r>
          </w:p>
        </w:tc>
        <w:tc>
          <w:tcPr>
            <w:tcW w:w="2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12/05/22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3"/>
                <w:szCs w:val="13"/>
                <w:color w:val="auto"/>
              </w:rPr>
              <w:t>Evan Jones</w:t>
            </w:r>
          </w:p>
        </w:tc>
        <w:tc>
          <w:tcPr>
            <w:tcW w:w="94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07/08/08</w:t>
            </w:r>
            <w:r>
              <w:rPr>
                <w:rFonts w:ascii="Arial" w:cs="Arial" w:eastAsia="Arial" w:hAnsi="Arial"/>
                <w:sz w:val="21"/>
                <w:szCs w:val="21"/>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40,000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0.08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07/07/18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jc w:val="right"/>
              <w:ind w:right="20"/>
              <w:spacing w:after="0" w:line="210" w:lineRule="exact"/>
              <w:rPr>
                <w:sz w:val="20"/>
                <w:szCs w:val="20"/>
                <w:color w:val="auto"/>
              </w:rPr>
            </w:pPr>
            <w:r>
              <w:rPr>
                <w:rFonts w:ascii="Arial" w:cs="Arial" w:eastAsia="Arial" w:hAnsi="Arial"/>
                <w:sz w:val="13"/>
                <w:szCs w:val="13"/>
                <w:color w:val="auto"/>
              </w:rPr>
              <w:t>05/17/11</w:t>
            </w:r>
            <w:r>
              <w:rPr>
                <w:rFonts w:ascii="Arial" w:cs="Arial" w:eastAsia="Arial" w:hAnsi="Arial"/>
                <w:sz w:val="21"/>
                <w:szCs w:val="21"/>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3"/>
                <w:szCs w:val="13"/>
                <w:color w:val="auto"/>
              </w:rPr>
              <w:t>5,000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05/16/21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12/06/12</w:t>
            </w:r>
            <w:r>
              <w:rPr>
                <w:rFonts w:ascii="Arial" w:cs="Arial" w:eastAsia="Arial" w:hAnsi="Arial"/>
                <w:sz w:val="21"/>
                <w:szCs w:val="21"/>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3,333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1,667</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12/05/22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hanging="523"/>
        <w:spacing w:after="0"/>
        <w:tabs>
          <w:tab w:leader="none" w:pos="22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Messrs. Atwood, Byers and Colella and Drs. Cohen and Treu did not hold any outstanding options as of December 31, 2012.</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grant date fair value of the common stock underlying these option awards is equal to the option exercise price on the date of grant.</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grant date.</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option vests as to 25% of the underlying shares on the one year anniversary of the grant date, and the remainder ratably over 36 months thereafter.</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vesting commencement date. The vesting commencement date is May 1, 2012.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94"/>
        <w:spacing w:after="0" w:line="315" w:lineRule="auto"/>
        <w:rPr>
          <w:sz w:val="20"/>
          <w:szCs w:val="20"/>
          <w:color w:val="auto"/>
        </w:rPr>
      </w:pPr>
      <w:r>
        <w:rPr>
          <w:rFonts w:ascii="Arial" w:cs="Arial" w:eastAsia="Arial" w:hAnsi="Arial"/>
          <w:sz w:val="16"/>
          <w:szCs w:val="16"/>
          <w:color w:val="auto"/>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All Other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Name and Principal Position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Salary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Awards ($)</w:t>
            </w:r>
            <w:r>
              <w:rPr>
                <w:rFonts w:ascii="Arial" w:cs="Arial" w:eastAsia="Arial" w:hAnsi="Arial"/>
                <w:sz w:val="20"/>
                <w:szCs w:val="20"/>
                <w:b w:val="1"/>
                <w:bCs w:val="1"/>
                <w:color w:val="auto"/>
                <w:w w:val="86"/>
                <w:vertAlign w:val="superscript"/>
              </w:rPr>
              <w:t>(1)(2)</w:t>
            </w: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Plan Compensation ($)</w:t>
            </w:r>
            <w:r>
              <w:rPr>
                <w:rFonts w:ascii="Arial" w:cs="Arial" w:eastAsia="Arial" w:hAnsi="Arial"/>
                <w:sz w:val="20"/>
                <w:szCs w:val="20"/>
                <w:b w:val="1"/>
                <w:bCs w:val="1"/>
                <w:color w:val="auto"/>
                <w:w w:val="90"/>
                <w:vertAlign w:val="superscript"/>
              </w:rPr>
              <w:t>(3)</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Compensation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37"/>
        </w:trPr>
        <w:tc>
          <w:tcPr>
            <w:tcW w:w="244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Bonnie H. Anderson</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355,000</w:t>
            </w:r>
          </w:p>
        </w:tc>
        <w:tc>
          <w:tcPr>
            <w:tcW w:w="1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302,631</w:t>
            </w:r>
            <w:r>
              <w:rPr>
                <w:rFonts w:ascii="Arial" w:cs="Arial" w:eastAsia="Arial" w:hAnsi="Arial"/>
                <w:sz w:val="15"/>
                <w:szCs w:val="15"/>
                <w:color w:val="auto"/>
                <w:vertAlign w:val="superscript"/>
              </w:rPr>
              <w:t>(4)</w:t>
            </w:r>
          </w:p>
        </w:tc>
        <w:tc>
          <w:tcPr>
            <w:tcW w:w="1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62,500</w:t>
            </w:r>
          </w:p>
        </w:tc>
        <w:tc>
          <w:tcPr>
            <w:tcW w:w="12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720,131</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Executive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332"/>
        </w:trPr>
        <w:tc>
          <w:tcPr>
            <w:tcW w:w="2440" w:type="dxa"/>
            <w:vAlign w:val="bottom"/>
            <w:gridSpan w:val="3"/>
          </w:tcPr>
          <w:p>
            <w:pPr>
              <w:spacing w:after="0"/>
              <w:rPr>
                <w:sz w:val="20"/>
                <w:szCs w:val="20"/>
                <w:color w:val="auto"/>
              </w:rPr>
            </w:pPr>
            <w:r>
              <w:rPr>
                <w:rFonts w:ascii="Arial" w:cs="Arial" w:eastAsia="Arial" w:hAnsi="Arial"/>
                <w:sz w:val="13"/>
                <w:szCs w:val="13"/>
                <w:color w:val="auto"/>
              </w:rPr>
              <w:t>Mark E. Spring</w:t>
            </w:r>
            <w:r>
              <w:rPr>
                <w:rFonts w:ascii="Arial" w:cs="Arial" w:eastAsia="Arial" w:hAnsi="Arial"/>
                <w:sz w:val="21"/>
                <w:szCs w:val="21"/>
                <w:color w:val="auto"/>
                <w:vertAlign w:val="superscript"/>
              </w:rPr>
              <w:t>(5)</w:t>
            </w: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296,250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288,417</w:t>
            </w:r>
            <w:r>
              <w:rPr>
                <w:rFonts w:ascii="Arial" w:cs="Arial" w:eastAsia="Arial" w:hAnsi="Arial"/>
                <w:sz w:val="21"/>
                <w:szCs w:val="21"/>
                <w:color w:val="auto"/>
                <w:vertAlign w:val="superscript"/>
              </w:rPr>
              <w:t>(6)</w:t>
            </w:r>
          </w:p>
        </w:tc>
        <w:tc>
          <w:tcPr>
            <w:tcW w:w="1720" w:type="dxa"/>
            <w:vAlign w:val="bottom"/>
            <w:gridSpan w:val="2"/>
          </w:tcPr>
          <w:p>
            <w:pPr>
              <w:jc w:val="right"/>
              <w:ind w:right="140"/>
              <w:spacing w:after="0"/>
              <w:rPr>
                <w:sz w:val="20"/>
                <w:szCs w:val="20"/>
                <w:color w:val="auto"/>
              </w:rPr>
            </w:pPr>
            <w:r>
              <w:rPr>
                <w:rFonts w:ascii="Arial" w:cs="Arial" w:eastAsia="Arial" w:hAnsi="Arial"/>
                <w:sz w:val="13"/>
                <w:szCs w:val="13"/>
                <w:color w:val="auto"/>
              </w:rPr>
              <w:t>30,000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54,913</w:t>
            </w:r>
            <w:r>
              <w:rPr>
                <w:rFonts w:ascii="Arial" w:cs="Arial" w:eastAsia="Arial" w:hAnsi="Arial"/>
                <w:sz w:val="21"/>
                <w:szCs w:val="21"/>
                <w:color w:val="auto"/>
                <w:vertAlign w:val="superscript"/>
              </w:rPr>
              <w:t>(7)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669,580</w:t>
            </w:r>
          </w:p>
        </w:tc>
      </w:tr>
      <w:tr>
        <w:trPr>
          <w:trHeight w:val="153"/>
        </w:trPr>
        <w:tc>
          <w:tcPr>
            <w:tcW w:w="2440" w:type="dxa"/>
            <w:vAlign w:val="bottom"/>
            <w:gridSpan w:val="3"/>
          </w:tcPr>
          <w:p>
            <w:pPr>
              <w:ind w:left="140"/>
              <w:spacing w:after="0"/>
              <w:rPr>
                <w:sz w:val="20"/>
                <w:szCs w:val="20"/>
                <w:color w:val="auto"/>
              </w:rPr>
            </w:pPr>
            <w:r>
              <w:rPr>
                <w:rFonts w:ascii="Arial" w:cs="Arial" w:eastAsia="Arial" w:hAnsi="Arial"/>
                <w:sz w:val="13"/>
                <w:szCs w:val="13"/>
                <w:color w:val="auto"/>
              </w:rPr>
              <w:t>Former Chief Financial Officer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5"/>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Christopher M. Hall</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304,148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93,082</w:t>
            </w:r>
            <w:r>
              <w:rPr>
                <w:rFonts w:ascii="Arial" w:cs="Arial" w:eastAsia="Arial" w:hAnsi="Arial"/>
                <w:sz w:val="21"/>
                <w:szCs w:val="21"/>
                <w:color w:val="auto"/>
                <w:vertAlign w:val="superscript"/>
              </w:rPr>
              <w:t>(8)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30,500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427,730</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Commercial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fully vested options granted in February 2013 for service in 2012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Reflects the amount approved by our board of directors as cash incentive under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24,112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Mr. Spring's employment with us ended in February 2013. Shelly D. Guyer was appointed our Chief Financial Officer in April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11,574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Consisted of $36,765 for reimbursement of relocation expenses and a tax gross-up for such expenses of $18,148.</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11,767 shares of our common stock granted on February 5, 2013 pursuant to our Executive Bonus Plan.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Bonus Plan</w:t>
      </w:r>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Our board of directors has adopted an Executive Bonus Plan, under which our executive officers are eligible to receive annual incentive compensation if the company achieves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are established and measured annually.</w:t>
      </w:r>
    </w:p>
    <w:p>
      <w:pPr>
        <w:spacing w:after="0" w:line="187" w:lineRule="exact"/>
        <w:rPr>
          <w:sz w:val="20"/>
          <w:szCs w:val="20"/>
          <w:color w:val="auto"/>
        </w:rPr>
      </w:pPr>
    </w:p>
    <w:p>
      <w:pPr>
        <w:jc w:val="both"/>
        <w:ind w:firstLine="460"/>
        <w:spacing w:after="0" w:line="315" w:lineRule="auto"/>
        <w:rPr>
          <w:sz w:val="20"/>
          <w:szCs w:val="20"/>
          <w:color w:val="auto"/>
        </w:rPr>
      </w:pPr>
      <w:r>
        <w:rPr>
          <w:rFonts w:ascii="Arial" w:cs="Arial" w:eastAsia="Arial" w:hAnsi="Arial"/>
          <w:sz w:val="16"/>
          <w:szCs w:val="16"/>
          <w:color w:val="auto"/>
        </w:rPr>
        <w:t>The 2012 bonus pool was funded based on our achievement of Afirma-related goals (test levels, revenue levels, inclusion in clinical practice guidelines and reimbursement progress) along with accomplishment of operational goals and strategic targets relating to the introduction of new products.</w:t>
      </w:r>
    </w:p>
    <w:p>
      <w:pPr>
        <w:spacing w:after="0" w:line="146"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In 2012, the bonus target levels for Bonnie H. Anderson, Christopher M. Hall and Mark E. Spring were 35%, 20% and 20% of base salary, respectively. Our board of directors determined that each of the named executive officer's bonus targets were achieved in full, and determined to pay 50% of the incentive compensation in cash and 50% in fully vested stock options.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For 2013, the bonus pool is funded based on our achievement of Afirma-related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are 40%, 25% and 25% of base salary, respectively.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this offering, our board of directors intends to adopt a new public company bonus plan that will be effective in 2014.</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certain information with respect to outstanding equity awards held by each of our named executive officers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center"/>
              <w:ind w:right="209"/>
              <w:spacing w:after="0" w:line="124" w:lineRule="exact"/>
              <w:rPr>
                <w:sz w:val="20"/>
                <w:szCs w:val="20"/>
                <w:color w:val="auto"/>
              </w:rPr>
            </w:pPr>
            <w:r>
              <w:rPr>
                <w:rFonts w:ascii="Arial" w:cs="Arial" w:eastAsia="Arial" w:hAnsi="Arial"/>
                <w:sz w:val="13"/>
                <w:szCs w:val="13"/>
                <w:b w:val="1"/>
                <w:bCs w:val="1"/>
                <w:color w:val="auto"/>
                <w:w w:val="91"/>
              </w:rPr>
              <w:t>Number of Securities</w:t>
            </w:r>
          </w:p>
        </w:tc>
        <w:tc>
          <w:tcPr>
            <w:tcW w:w="236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1"/>
              </w:rPr>
              <w:t>Number of Securities Underlying</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09"/>
              <w:spacing w:after="0"/>
              <w:rPr>
                <w:sz w:val="20"/>
                <w:szCs w:val="20"/>
                <w:color w:val="auto"/>
              </w:rPr>
            </w:pPr>
            <w:r>
              <w:rPr>
                <w:rFonts w:ascii="Arial" w:cs="Arial" w:eastAsia="Arial" w:hAnsi="Arial"/>
                <w:sz w:val="13"/>
                <w:szCs w:val="13"/>
                <w:b w:val="1"/>
                <w:bCs w:val="1"/>
                <w:color w:val="auto"/>
                <w:w w:val="91"/>
              </w:rPr>
              <w:t>Underlying Unexercised</w:t>
            </w:r>
          </w:p>
        </w:tc>
        <w:tc>
          <w:tcPr>
            <w:tcW w:w="2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Unexercised Options–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Exercise Price of</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Expiration</w:t>
            </w:r>
          </w:p>
        </w:tc>
      </w:tr>
      <w:tr>
        <w:trPr>
          <w:trHeight w:val="17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5"/>
              </w:rPr>
              <w:t>Options–Exercisable</w:t>
            </w:r>
            <w:r>
              <w:rPr>
                <w:rFonts w:ascii="Arial" w:cs="Arial" w:eastAsia="Arial" w:hAnsi="Arial"/>
                <w:sz w:val="19"/>
                <w:szCs w:val="19"/>
                <w:b w:val="1"/>
                <w:bCs w:val="1"/>
                <w:color w:val="auto"/>
                <w:w w:val="95"/>
                <w:vertAlign w:val="superscript"/>
              </w:rPr>
              <w:t>(1)</w:t>
            </w:r>
          </w:p>
        </w:tc>
        <w:tc>
          <w:tcPr>
            <w:tcW w:w="280" w:type="dxa"/>
            <w:vAlign w:val="bottom"/>
          </w:tcPr>
          <w:p>
            <w:pPr>
              <w:spacing w:after="0"/>
              <w:rPr>
                <w:sz w:val="14"/>
                <w:szCs w:val="14"/>
                <w:color w:val="auto"/>
              </w:rPr>
            </w:pPr>
          </w:p>
        </w:tc>
        <w:tc>
          <w:tcPr>
            <w:tcW w:w="20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2"/>
              </w:rPr>
              <w:t>Unexercisable</w:t>
            </w:r>
            <w:r>
              <w:rPr>
                <w:rFonts w:ascii="Arial" w:cs="Arial" w:eastAsia="Arial" w:hAnsi="Arial"/>
                <w:sz w:val="19"/>
                <w:szCs w:val="19"/>
                <w:b w:val="1"/>
                <w:bCs w:val="1"/>
                <w:color w:val="auto"/>
                <w:w w:val="92"/>
                <w:vertAlign w:val="superscript"/>
              </w:rPr>
              <w:t>(1)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9"/>
              </w:rPr>
              <w:t>Date of Options</w:t>
            </w:r>
          </w:p>
        </w:tc>
        <w:tc>
          <w:tcPr>
            <w:tcW w:w="140" w:type="dxa"/>
            <w:vAlign w:val="bottom"/>
          </w:tcPr>
          <w:p>
            <w:pPr>
              <w:spacing w:after="0"/>
              <w:rPr>
                <w:sz w:val="14"/>
                <w:szCs w:val="14"/>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Bonnie H. Anderson</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13,153</w:t>
            </w:r>
            <w:r>
              <w:rPr>
                <w:rFonts w:ascii="Arial" w:cs="Arial" w:eastAsia="Arial" w:hAnsi="Arial"/>
                <w:sz w:val="14"/>
                <w:szCs w:val="14"/>
                <w:color w:val="auto"/>
              </w:rPr>
              <w:t>(2)</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02/02/2020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100,000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18,125</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32,782</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143,750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418"/>
        </w:trPr>
        <w:tc>
          <w:tcPr>
            <w:tcW w:w="2380" w:type="dxa"/>
            <w:vAlign w:val="bottom"/>
            <w:gridSpan w:val="3"/>
          </w:tcPr>
          <w:p>
            <w:pPr>
              <w:spacing w:after="0"/>
              <w:rPr>
                <w:sz w:val="20"/>
                <w:szCs w:val="20"/>
                <w:color w:val="auto"/>
              </w:rPr>
            </w:pPr>
            <w:r>
              <w:rPr>
                <w:rFonts w:ascii="Arial" w:cs="Arial" w:eastAsia="Arial" w:hAnsi="Arial"/>
                <w:sz w:val="17"/>
                <w:szCs w:val="17"/>
                <w:color w:val="auto"/>
              </w:rPr>
              <w:t>Mark E. Spring</w:t>
            </w:r>
          </w:p>
        </w:tc>
        <w:tc>
          <w:tcPr>
            <w:tcW w:w="2000" w:type="dxa"/>
            <w:vAlign w:val="bottom"/>
            <w:gridSpan w:val="3"/>
          </w:tcPr>
          <w:p>
            <w:pPr>
              <w:jc w:val="right"/>
              <w:ind w:right="49"/>
              <w:spacing w:after="0"/>
              <w:rPr>
                <w:sz w:val="20"/>
                <w:szCs w:val="20"/>
                <w:color w:val="auto"/>
              </w:rPr>
            </w:pPr>
            <w:r>
              <w:rPr>
                <w:rFonts w:ascii="Arial" w:cs="Arial" w:eastAsia="Arial" w:hAnsi="Arial"/>
                <w:sz w:val="17"/>
                <w:szCs w:val="17"/>
                <w:color w:val="auto"/>
              </w:rPr>
              <w:t>152,500</w:t>
            </w:r>
            <w:r>
              <w:rPr>
                <w:rFonts w:ascii="Arial" w:cs="Arial" w:eastAsia="Arial" w:hAnsi="Arial"/>
                <w:sz w:val="14"/>
                <w:szCs w:val="14"/>
                <w:color w:val="auto"/>
              </w:rPr>
              <w:t>(3)</w:t>
            </w:r>
          </w:p>
        </w:tc>
        <w:tc>
          <w:tcPr>
            <w:tcW w:w="2360" w:type="dxa"/>
            <w:vAlign w:val="bottom"/>
            <w:gridSpan w:val="2"/>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04/10/2022</w:t>
            </w:r>
          </w:p>
        </w:tc>
      </w:tr>
      <w:tr>
        <w:trPr>
          <w:trHeight w:val="418"/>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M. Hall</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112,500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03/29/2020</w:t>
            </w:r>
          </w:p>
        </w:tc>
      </w:tr>
      <w:tr>
        <w:trPr>
          <w:trHeight w:val="212"/>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12,500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11,000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16,927</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105"/>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Option award vests at a rate of 1/24th of the total number of shares subject to the option each month following the vesting commencement date. The vesting commencement date is January 1, 2010.</w:t>
      </w:r>
    </w:p>
    <w:p>
      <w:pPr>
        <w:spacing w:after="0" w:line="100" w:lineRule="exact"/>
        <w:rPr>
          <w:rFonts w:ascii="Arial" w:cs="Arial" w:eastAsia="Arial" w:hAnsi="Arial"/>
          <w:sz w:val="13"/>
          <w:szCs w:val="13"/>
          <w:color w:val="auto"/>
        </w:rPr>
      </w:pPr>
    </w:p>
    <w:p>
      <w:pPr>
        <w:jc w:val="both"/>
        <w:ind w:left="1680" w:hanging="533"/>
        <w:spacing w:after="0" w:line="274" w:lineRule="auto"/>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Options were fully vested on the date of grant.</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vesting commencement date is September 28, 2010.</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vesting commencement date is March 10,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vesting commencement date is January 5,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vesting commencement date is March 15, 2010.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2013 Option Grants</w:t>
      </w:r>
    </w:p>
    <w:p>
      <w:pPr>
        <w:spacing w:after="0" w:line="224" w:lineRule="exact"/>
        <w:rPr>
          <w:sz w:val="20"/>
          <w:szCs w:val="20"/>
          <w:color w:val="auto"/>
        </w:rPr>
      </w:pPr>
    </w:p>
    <w:p>
      <w:pPr>
        <w:ind w:firstLine="390"/>
        <w:spacing w:after="0" w:line="352" w:lineRule="auto"/>
        <w:rPr>
          <w:sz w:val="20"/>
          <w:szCs w:val="20"/>
          <w:color w:val="auto"/>
        </w:rPr>
      </w:pPr>
      <w:r>
        <w:rPr>
          <w:rFonts w:ascii="Arial" w:cs="Arial" w:eastAsia="Arial" w:hAnsi="Arial"/>
          <w:sz w:val="15"/>
          <w:szCs w:val="15"/>
          <w:color w:val="auto"/>
        </w:rPr>
        <w:t>On February 5, 2013, our board of directors granted Bonnie H. Anderson options to purchase 149,112 shares of our common stock, and granted Christopher M. Hall options to purchase 43,017 shares of our common stock, each with an exercise price of $4.00 per share. As to 112,500 of the shares underlying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one of the options granted to Ms. Anderson, and to 31,250 of the shares underlying one of the options granted to Mr. Hall, such shares vest and become exercisable as to 25% of the shares on the first anniversary of the date of grant, and as to the remaining 75%, in equal monthly installments over the following three years. As to 24,112 of the shares underlying one of the options granted to Ms. Anderson and as to 11,767 of the shares underlying one of the options granted to Mr. Hall, such shares were fully vested on the date of grant. As to the remaining 12,500 shares underlying one of the options granted to Ms. Anderson, such shares vest only in the event we are acquired in 2013 or complete an initial public offering in 2013. On June 20, 2013, our board of directors granted Shelly D. Guyer an option to purchase 150,000 shares of our common stock with an exercise price of $6.04 per share, which option vests as to 25% of the shares on the first anniversary of the date of grant, and as to the remaining 75%, in equal monthly installments over the following three years. The grant to Ms. Guyer was made pursuant to her offer letter.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Bonnie H. Anderson</w:t>
      </w:r>
    </w:p>
    <w:p>
      <w:pPr>
        <w:spacing w:after="0" w:line="224" w:lineRule="exact"/>
        <w:rPr>
          <w:sz w:val="20"/>
          <w:szCs w:val="20"/>
          <w:color w:val="auto"/>
        </w:rPr>
      </w:pPr>
    </w:p>
    <w:p>
      <w:pPr>
        <w:jc w:val="both"/>
        <w:ind w:firstLine="365"/>
        <w:spacing w:after="0" w:line="279" w:lineRule="auto"/>
        <w:rPr>
          <w:sz w:val="20"/>
          <w:szCs w:val="20"/>
          <w:color w:val="auto"/>
        </w:rPr>
      </w:pPr>
      <w:r>
        <w:rPr>
          <w:rFonts w:ascii="Arial" w:cs="Arial" w:eastAsia="Arial" w:hAnsi="Arial"/>
          <w:sz w:val="16"/>
          <w:szCs w:val="16"/>
          <w:color w:val="auto"/>
        </w:rPr>
        <w:t>On February 15, 2008, we entered into an employment agreement with Bonnie H. Anderson, our President and Chief Executive Officer. The agreement provided Ms. Anderson with an initial base salary at an annual rate of $300,000 and provided that Ms. Anderson was eligible to receive an annual bonus targeted at 20% of her base salary. On March 11, 2009, we entered into an amendment to the employment agreement which increased Ms. Anderson's target bonus percentage to 30% of her base salary. Since 2009, our board of directors has reviewed the terms of Ms. Anderson's employment arrangement in connection with its annual compensation review, and has adjusted Ms. Anderson's base salary and target bonus percentages further. Ms. Anderson's base salary for 2012 was $355,000 and her target bonus percentage was 35%, and for 2013 her base salary is $380,000 and her target bonus percentage is 40%.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77" w:lineRule="exact"/>
        <w:rPr>
          <w:sz w:val="20"/>
          <w:szCs w:val="20"/>
          <w:color w:val="auto"/>
        </w:rPr>
      </w:pPr>
    </w:p>
    <w:p>
      <w:pPr>
        <w:jc w:val="both"/>
        <w:ind w:firstLine="535"/>
        <w:spacing w:after="0" w:line="260" w:lineRule="auto"/>
        <w:rPr>
          <w:sz w:val="20"/>
          <w:szCs w:val="20"/>
          <w:color w:val="auto"/>
        </w:rPr>
      </w:pPr>
      <w:r>
        <w:rPr>
          <w:rFonts w:ascii="Arial" w:cs="Arial" w:eastAsia="Arial" w:hAnsi="Arial"/>
          <w:sz w:val="17"/>
          <w:szCs w:val="17"/>
          <w:color w:val="auto"/>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2"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5"/>
          <w:szCs w:val="15"/>
          <w:color w:val="auto"/>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w:t>
      </w:r>
    </w:p>
    <w:p>
      <w:pPr>
        <w:spacing w:after="0" w:line="1" w:lineRule="exact"/>
        <w:rPr>
          <w:sz w:val="20"/>
          <w:szCs w:val="20"/>
          <w:color w:val="auto"/>
        </w:rPr>
      </w:pPr>
    </w:p>
    <w:p>
      <w:pPr>
        <w:ind w:firstLine="5"/>
        <w:spacing w:after="0" w:line="275" w:lineRule="auto"/>
        <w:tabs>
          <w:tab w:leader="none" w:pos="273"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87"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Shelly D. Guyer</w:t>
      </w:r>
    </w:p>
    <w:p>
      <w:pPr>
        <w:spacing w:after="0" w:line="224"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On April 8, 2013, we entered into an offer letter with Shelly D. Guyer, our Chief Financial Officer. The letter agreement provided Ms. Guyer with an initial base salary of $275,000 and provided that Ms. Guyer was eligible to receive an annual bonus targeted at 25% of her base salary. In addition, Ms. Guyer received an option to purchase 150,000 shares of our common stock at an exercise price of $6.04 per share. Ms. Guyer is entitled to participate in all employee benefit plans, including group health care plans and all fringe benefit plans. Ms. Guyer's offer letter provides that she is an at-will employee and her employment may be terminated at any time by her or us.</w:t>
      </w:r>
    </w:p>
    <w:p>
      <w:pPr>
        <w:spacing w:after="0" w:line="187" w:lineRule="exact"/>
        <w:rPr>
          <w:sz w:val="20"/>
          <w:szCs w:val="20"/>
          <w:color w:val="auto"/>
        </w:rPr>
      </w:pPr>
    </w:p>
    <w:p>
      <w:pPr>
        <w:jc w:val="both"/>
        <w:ind w:firstLine="409"/>
        <w:spacing w:after="0" w:line="303" w:lineRule="auto"/>
        <w:rPr>
          <w:sz w:val="20"/>
          <w:szCs w:val="20"/>
          <w:color w:val="auto"/>
        </w:rPr>
      </w:pPr>
      <w:r>
        <w:rPr>
          <w:rFonts w:ascii="Arial" w:cs="Arial" w:eastAsia="Arial" w:hAnsi="Arial"/>
          <w:sz w:val="15"/>
          <w:szCs w:val="15"/>
          <w:color w:val="auto"/>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62"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6"/>
          <w:szCs w:val="16"/>
          <w:color w:val="auto"/>
        </w:rPr>
        <w:t>Further, if Ms. Guyer is terminated by us without cause, or Ms. Guyer terminates her employment for good reason, each during the Change of Control Period, Ms. Guyer is entitled to (i) 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4"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85" w:lineRule="exact"/>
        <w:rPr>
          <w:sz w:val="20"/>
          <w:szCs w:val="20"/>
          <w:color w:val="auto"/>
        </w:rPr>
      </w:pPr>
    </w:p>
    <w:p>
      <w:pPr>
        <w:jc w:val="both"/>
        <w:ind w:firstLine="369"/>
        <w:spacing w:after="0" w:line="282" w:lineRule="auto"/>
        <w:rPr>
          <w:sz w:val="20"/>
          <w:szCs w:val="20"/>
          <w:color w:val="auto"/>
        </w:rPr>
      </w:pPr>
      <w:r>
        <w:rPr>
          <w:rFonts w:ascii="Arial" w:cs="Arial" w:eastAsia="Arial" w:hAnsi="Arial"/>
          <w:sz w:val="17"/>
          <w:szCs w:val="17"/>
          <w:color w:val="auto"/>
        </w:rPr>
        <w:t>Pursuant to the Change of Control and Severance Agreement with Ms. Guyer, following her termination, she will maintain the confidentiality of our confidential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 Hall</w:t>
      </w:r>
    </w:p>
    <w:p>
      <w:pPr>
        <w:spacing w:after="0" w:line="224"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On January 28, 2010, we entered into an offer letter with Christopher M. Hall, our Chief Commercial Officer. The letter agreement provided Mr. Hall with an initial base salary of $290,000 and provided that Mr. Hall was eligible to receive an annual bonus targeted at 20% of his base salary. In addition, Mr. Hall received an option to purchase 112,500 shares of our common stock at an exercise price of $0.80 per share. Mr. Hall is entitled to participate in all employee benefit plans, including group health care plans and all fringe benefit plans. Mr. Hall's offer letter provides that he is an at-will employee and his employment may be terminated at any time by him or us. Since entering into this offer letter, our board of directors has reviewed the terms of Mr. Hall's employment arrangement in connection with its annual compensation review and has adjusted Mr. Hall's base salary and target bonus percentages further. Mr. Hall's base salary for 2012 was $304,148 and his target bonus percentage was 20%, and for 2013 his base salary is $316,314 and his target bonus percentage is 25%.</w:t>
      </w:r>
    </w:p>
    <w:p>
      <w:pPr>
        <w:spacing w:after="0" w:line="175" w:lineRule="exact"/>
        <w:rPr>
          <w:sz w:val="20"/>
          <w:szCs w:val="20"/>
          <w:color w:val="auto"/>
        </w:rPr>
      </w:pPr>
    </w:p>
    <w:p>
      <w:pPr>
        <w:jc w:val="both"/>
        <w:ind w:firstLine="430"/>
        <w:spacing w:after="0" w:line="303" w:lineRule="auto"/>
        <w:rPr>
          <w:sz w:val="20"/>
          <w:szCs w:val="20"/>
          <w:color w:val="auto"/>
        </w:rPr>
      </w:pPr>
      <w:r>
        <w:rPr>
          <w:rFonts w:ascii="Arial" w:cs="Arial" w:eastAsia="Arial" w:hAnsi="Arial"/>
          <w:sz w:val="15"/>
          <w:szCs w:val="15"/>
          <w:color w:val="auto"/>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 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62" w:lineRule="exact"/>
        <w:rPr>
          <w:sz w:val="20"/>
          <w:szCs w:val="20"/>
          <w:color w:val="auto"/>
        </w:rPr>
      </w:pPr>
    </w:p>
    <w:p>
      <w:pPr>
        <w:jc w:val="both"/>
        <w:ind w:firstLine="341"/>
        <w:spacing w:after="0" w:line="296" w:lineRule="auto"/>
        <w:rPr>
          <w:sz w:val="20"/>
          <w:szCs w:val="20"/>
          <w:color w:val="auto"/>
        </w:rPr>
      </w:pPr>
      <w:r>
        <w:rPr>
          <w:rFonts w:ascii="Arial" w:cs="Arial" w:eastAsia="Arial" w:hAnsi="Arial"/>
          <w:sz w:val="15"/>
          <w:szCs w:val="15"/>
          <w:color w:val="auto"/>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w:t>
      </w:r>
    </w:p>
    <w:p>
      <w:pPr>
        <w:jc w:val="both"/>
        <w:ind w:firstLine="5"/>
        <w:spacing w:after="0" w:line="266" w:lineRule="auto"/>
        <w:tabs>
          <w:tab w:leader="none" w:pos="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83"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85"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Pursuant to the Change of Control and Severance Agreement with Mr. Hall, following his termination, he will maintain the confidentiality of our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2008 Stock Plan</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70"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October 1, 2013, 2,950,218 shares of common stock have been authorized for issuance under the 2008 Stock Plan. As of October 1, 2013</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purchase a total of 2,355,579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87"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5"/>
          <w:szCs w:val="15"/>
          <w:i w:val="1"/>
          <w:iCs w:val="1"/>
          <w:color w:val="auto"/>
        </w:rPr>
        <w:t>Administration.</w:t>
      </w:r>
      <w:r>
        <w:rPr>
          <w:sz w:val="20"/>
          <w:szCs w:val="20"/>
          <w:color w:val="auto"/>
        </w:rPr>
        <w:tab/>
      </w:r>
      <w:r>
        <w:rPr>
          <w:rFonts w:ascii="Arial" w:cs="Arial" w:eastAsia="Arial" w:hAnsi="Arial"/>
          <w:sz w:val="15"/>
          <w:szCs w:val="15"/>
          <w:color w:val="auto"/>
        </w:rPr>
        <w:t>Our board of directors administers the 2008 Stock Plan. The board of directors may delegate any of its administrative functions to a committee.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provisions of our 2008 Stock Plan, the administrator may take all actions it deems necessary or advisable for the administration of the 2008 Stock Plan.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actions of the administrator are final and binding on all persons.</w:t>
      </w:r>
    </w:p>
    <w:p>
      <w:pPr>
        <w:spacing w:after="0" w:line="218" w:lineRule="exact"/>
        <w:rPr>
          <w:sz w:val="20"/>
          <w:szCs w:val="20"/>
          <w:color w:val="auto"/>
        </w:rPr>
      </w:pPr>
    </w:p>
    <w:p>
      <w:pPr>
        <w:jc w:val="both"/>
        <w:ind w:firstLine="399"/>
        <w:spacing w:after="0" w:line="297"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The administrator may grant incentive or nonstatutory stock options under our 2008 Stock Plan; provided that incentive stock options are only</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to employees. 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 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Arial" w:cs="Arial" w:eastAsia="Arial" w:hAnsi="Arial"/>
          <w:sz w:val="15"/>
          <w:szCs w:val="15"/>
          <w:i w:val="1"/>
          <w:iCs w:val="1"/>
          <w:color w:val="auto"/>
        </w:rPr>
        <w:t>e.g.</w:t>
      </w:r>
      <w:r>
        <w:rPr>
          <w:rFonts w:ascii="Arial" w:cs="Arial" w:eastAsia="Arial" w:hAnsi="Arial"/>
          <w:sz w:val="15"/>
          <w:szCs w:val="15"/>
          <w:color w:val="auto"/>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69"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The administrator may award restricted shares or grant stock purchase rights under our 2008 Stock Plan. The terms of the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be set 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88"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Our 2008 Stock Plan generally does not allow for options to be transferred in any manner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Notwithstanding the foregoing, to the extent permitted by our board of directors, a nonstatutory stock option may be transferred to a family member or trust to the extent permitted by applicable laws.</w:t>
      </w:r>
    </w:p>
    <w:p>
      <w:pPr>
        <w:spacing w:after="0" w:line="179"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If any change is made in our common stock subject to the 2008 Stock Plan including a subdivision, stock dividend, dividend payable in a form</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stock that has a material effect on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7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Company is a party to a merger or other change of control event, outstanding awards under the 2008 Stock Plan will be treated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85" w:lineRule="exact"/>
        <w:rPr>
          <w:sz w:val="20"/>
          <w:szCs w:val="20"/>
          <w:color w:val="auto"/>
        </w:rPr>
      </w:pPr>
    </w:p>
    <w:p>
      <w:pPr>
        <w:jc w:val="both"/>
        <w:ind w:firstLine="455"/>
        <w:spacing w:after="0" w:line="270" w:lineRule="auto"/>
        <w:rPr>
          <w:sz w:val="20"/>
          <w:szCs w:val="20"/>
          <w:color w:val="auto"/>
        </w:rPr>
      </w:pPr>
      <w:r>
        <w:rPr>
          <w:rFonts w:ascii="Arial" w:cs="Arial" w:eastAsia="Arial" w:hAnsi="Arial"/>
          <w:sz w:val="17"/>
          <w:szCs w:val="17"/>
          <w:i w:val="1"/>
          <w:iCs w:val="1"/>
          <w:color w:val="auto"/>
        </w:rPr>
        <w:t xml:space="preserve">Plan amendments and termination. </w:t>
      </w:r>
      <w:r>
        <w:rPr>
          <w:rFonts w:ascii="Arial" w:cs="Arial" w:eastAsia="Arial" w:hAnsi="Arial"/>
          <w:sz w:val="17"/>
          <w:szCs w:val="17"/>
          <w:color w:val="auto"/>
        </w:rPr>
        <w:t>Our board of directors may at any time amend, suspend or terminate the 2008 Stock Plan. Certain amendments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alter or impair the rights of existing option holders require an optionee's consent. Our 2008 Stock Plan will automatically terminate on February 4, 2023, unless we terminate it sooner.</w:t>
      </w:r>
    </w:p>
    <w:p>
      <w:pPr>
        <w:spacing w:after="0" w:line="179" w:lineRule="exact"/>
        <w:rPr>
          <w:sz w:val="20"/>
          <w:szCs w:val="20"/>
          <w:color w:val="auto"/>
        </w:rPr>
      </w:pPr>
    </w:p>
    <w:p>
      <w:pPr>
        <w:ind w:firstLine="380"/>
        <w:spacing w:after="0" w:line="282" w:lineRule="auto"/>
        <w:rPr>
          <w:sz w:val="20"/>
          <w:szCs w:val="20"/>
          <w:color w:val="auto"/>
        </w:rPr>
      </w:pPr>
      <w:r>
        <w:rPr>
          <w:rFonts w:ascii="Arial" w:cs="Arial" w:eastAsia="Arial" w:hAnsi="Arial"/>
          <w:sz w:val="17"/>
          <w:szCs w:val="17"/>
          <w:color w:val="auto"/>
        </w:rPr>
        <w:t>Upon the closing of this offering, the 2008 Stock Plan will be terminated and no shares of our common stock will remain available for future issuance under the 2008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Stock Incentive Plan</w:t>
      </w:r>
    </w:p>
    <w:p>
      <w:pPr>
        <w:spacing w:after="0" w:line="224"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6"/>
          <w:szCs w:val="16"/>
          <w:i w:val="1"/>
          <w:iCs w:val="1"/>
          <w:color w:val="auto"/>
        </w:rPr>
        <w:t>General.</w:t>
      </w:r>
      <w:r>
        <w:rPr>
          <w:sz w:val="20"/>
          <w:szCs w:val="20"/>
          <w:color w:val="auto"/>
        </w:rPr>
        <w:tab/>
      </w:r>
      <w:r>
        <w:rPr>
          <w:rFonts w:ascii="Arial" w:cs="Arial" w:eastAsia="Arial" w:hAnsi="Arial"/>
          <w:sz w:val="16"/>
          <w:szCs w:val="16"/>
          <w:color w:val="auto"/>
        </w:rPr>
        <w:t>Our 2013 Stock Incentive Plan was adopted by our board of directors on October 2, 2013 and approved by our stockholders on October 8, 2013.</w:t>
      </w:r>
    </w:p>
    <w:p>
      <w:pPr>
        <w:spacing w:after="0" w:line="236"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auto"/>
        </w:rPr>
        <w:t>The 2013 Stock Incentive Plan provides for the granting of incentive stock options within the meaning of Section 422 of the Internal Revenue Code to our employees and the granting of nonstatutory stock options to our employees, non-employee directors, advisors and consultants. The 2013 Stock Incentive Plan also provides for the grant of restricted stock, stock appreciation rights, stock units and cash-based awards to our employees, non-employee directors, advisors and consultants.</w:t>
      </w:r>
    </w:p>
    <w:p>
      <w:pPr>
        <w:spacing w:after="0" w:line="185"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or the board of directors acting as a committee, will administer the 2013 Stock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including the determination of the recipient of an award, the number of shares or amount of cash subject to each award, whether an option is to be classified as an incentive stock option or nonstatutory option, and the terms and conditions of each award, including the exercise or purchase price and the vesting or duration of the award.</w:t>
      </w:r>
    </w:p>
    <w:p>
      <w:pPr>
        <w:spacing w:after="0" w:line="185" w:lineRule="exact"/>
        <w:rPr>
          <w:sz w:val="20"/>
          <w:szCs w:val="20"/>
          <w:color w:val="auto"/>
        </w:rPr>
      </w:pPr>
    </w:p>
    <w:p>
      <w:pPr>
        <w:jc w:val="both"/>
        <w:ind w:firstLine="357"/>
        <w:spacing w:after="0" w:line="280" w:lineRule="auto"/>
        <w:rPr>
          <w:sz w:val="20"/>
          <w:szCs w:val="20"/>
          <w:color w:val="auto"/>
        </w:rPr>
      </w:pPr>
      <w:r>
        <w:rPr>
          <w:rFonts w:ascii="Arial" w:cs="Arial" w:eastAsia="Arial" w:hAnsi="Arial"/>
          <w:sz w:val="16"/>
          <w:szCs w:val="16"/>
          <w:color w:val="auto"/>
        </w:rPr>
        <w:t>At the discretion of our board of directors, our compensation committee may consist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Exchange Act, to receive awards under our 2013 Stock Incentive Plan or determine the number of such awards to be received by such employees subject to limits specified by our board of directors.</w:t>
      </w:r>
    </w:p>
    <w:p>
      <w:pPr>
        <w:spacing w:after="0" w:line="175"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17"/>
          <w:szCs w:val="17"/>
          <w:i w:val="1"/>
          <w:iCs w:val="1"/>
          <w:color w:val="auto"/>
        </w:rPr>
        <w:t>Authorized shares.</w:t>
      </w:r>
      <w:r>
        <w:rPr>
          <w:sz w:val="20"/>
          <w:szCs w:val="20"/>
          <w:color w:val="auto"/>
        </w:rPr>
        <w:tab/>
      </w:r>
      <w:r>
        <w:rPr>
          <w:rFonts w:ascii="Arial" w:cs="Arial" w:eastAsia="Arial" w:hAnsi="Arial"/>
          <w:sz w:val="16"/>
          <w:szCs w:val="16"/>
          <w:color w:val="auto"/>
        </w:rPr>
        <w:t>Under our 2013 Stock Incentive Plan, the aggregate number of shares of our common stock authorized for issuance may not exceed</w:t>
      </w:r>
    </w:p>
    <w:p>
      <w:pPr>
        <w:spacing w:after="0" w:line="20" w:lineRule="exact"/>
        <w:rPr>
          <w:sz w:val="20"/>
          <w:szCs w:val="20"/>
          <w:color w:val="auto"/>
        </w:rPr>
      </w:pPr>
    </w:p>
    <w:p>
      <w:pPr>
        <w:jc w:val="both"/>
        <w:ind w:firstLine="5"/>
        <w:spacing w:after="0" w:line="266" w:lineRule="auto"/>
        <w:tabs>
          <w:tab w:leader="none" w:pos="213" w:val="left"/>
        </w:tabs>
        <w:numPr>
          <w:ilvl w:val="0"/>
          <w:numId w:val="53"/>
        </w:numPr>
        <w:rPr>
          <w:rFonts w:ascii="Arial" w:cs="Arial" w:eastAsia="Arial" w:hAnsi="Arial"/>
          <w:sz w:val="17"/>
          <w:szCs w:val="17"/>
          <w:color w:val="auto"/>
        </w:rPr>
      </w:pPr>
      <w:r>
        <w:rPr>
          <w:rFonts w:ascii="Arial" w:cs="Arial" w:eastAsia="Arial" w:hAnsi="Arial"/>
          <w:sz w:val="17"/>
          <w:szCs w:val="17"/>
          <w:color w:val="auto"/>
        </w:rPr>
        <w:t>1,700,000, plus (ii) the sum of the number of shares subject to outstanding awards under the 2008 Stock Plan as of the 2013 Stock Incentive Plan's effective date that are subsequently forfeited or terminated for any reason before being exercised or settled, plus the number of shares subject to vesting restrictions under the 2008 Stock Plan as of the 2013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Stock Incentive Plan's effective date that are subsequently forfeited, plus the number of shares reserved but not issued or subject to outstanding grants under the 2008 Stock Plan as of the 2013 Stock Incentive Plan's effective date. In addition, the number of shares that have been authorized for issuance under the 2013 Stock Incentive Plan will be automatically increased on the first day of each fiscal year beginning on January 1, 2014 and ending on (and including) January 1, 2023, in an amount equal to the lesser of (i) 4% of the outstanding shares of our common stock on the last day of the immediately preceding fiscal year, or (ii) another 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 2013 Stock Incentive Plan. However, shares that have actually been issued shall not again become available unless forfeited. No more than 9,500,000 shares may be delivered upon the exercise of incentive stock options granted under the 2013 Stock Incentive Plan plus, to the extent allowable under applicable tax law, any shares that again become available for issuance under the 2013 Stock Incentive Plan.</w:t>
      </w:r>
    </w:p>
    <w:p>
      <w:pPr>
        <w:spacing w:after="0" w:line="176" w:lineRule="exact"/>
        <w:rPr>
          <w:sz w:val="20"/>
          <w:szCs w:val="20"/>
          <w:color w:val="auto"/>
        </w:rPr>
      </w:pPr>
    </w:p>
    <w:p>
      <w:pPr>
        <w:jc w:val="both"/>
        <w:ind w:firstLine="401"/>
        <w:spacing w:after="0" w:line="322" w:lineRule="auto"/>
        <w:rPr>
          <w:sz w:val="20"/>
          <w:szCs w:val="20"/>
          <w:color w:val="auto"/>
        </w:rPr>
      </w:pPr>
      <w:r>
        <w:rPr>
          <w:rFonts w:ascii="Arial" w:cs="Arial" w:eastAsia="Arial" w:hAnsi="Arial"/>
          <w:sz w:val="15"/>
          <w:szCs w:val="15"/>
          <w:color w:val="auto"/>
        </w:rPr>
        <w:t>During any time when the tax deduction limitations of Section 162(m) of the Internal Revenue Code apply to awards under the 2013 Stock Incentive Plan, and options or stock appreciation rights are intended to qualify as "performance-based compensation" under Section 162(m), no person may receive options or stock appreciation rights in any calendar year for an aggregate of more than 1,000,000 shares, and no more than two times this amount in the first year of employment.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37" w:lineRule="exact"/>
        <w:rPr>
          <w:sz w:val="20"/>
          <w:szCs w:val="20"/>
          <w:color w:val="auto"/>
        </w:rPr>
      </w:pPr>
    </w:p>
    <w:p>
      <w:pPr>
        <w:jc w:val="both"/>
        <w:ind w:left="1060" w:hanging="531"/>
        <w:spacing w:after="0" w:line="292" w:lineRule="auto"/>
        <w:tabs>
          <w:tab w:leader="none" w:pos="106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A stock option is the right to purchase a certain number of shares of stock, at a certain exercise price, in the future. Under our 2013</w:t>
      </w:r>
      <w:r>
        <w:rPr>
          <w:rFonts w:ascii="Arial" w:cs="Arial" w:eastAsia="Arial" w:hAnsi="Arial"/>
          <w:sz w:val="15"/>
          <w:szCs w:val="15"/>
          <w:i w:val="1"/>
          <w:iCs w:val="1"/>
          <w:color w:val="auto"/>
        </w:rPr>
        <w:t xml:space="preserve"> </w:t>
      </w:r>
      <w:r>
        <w:rPr>
          <w:rFonts w:ascii="Arial" w:cs="Arial" w:eastAsia="Arial" w:hAnsi="Arial"/>
          <w:sz w:val="15"/>
          <w:szCs w:val="15"/>
          <w:color w:val="auto"/>
        </w:rPr>
        <w:t>Stock Incentive Plan, 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An incentive stock option cannot give an employee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to grant options that will vest and become exercisable with respect to 1/4th of the total number of shares subject to the option 12 months after the vesting commencement date, and the remaining shares subject to the option will vest and become exercisable at a rate of 1/48th of the total number of shares subject to the options each month thereafter. Each stock option agreement sets forth the term of the options, provided that the term of an incentive stock option is prohibited from exceeding ten years (five years in the case of an incentive stock option granted to any holder of more than 10% of our voting shares), and the extent to which the optionee will have the right to exercise the option following the termination of the optionee's service with the company. Payment of the exercise price may be made in cash or, if provided for in the stock option agreement evidencing the award,</w:t>
      </w:r>
    </w:p>
    <w:p>
      <w:pPr>
        <w:spacing w:after="0" w:line="4" w:lineRule="exact"/>
        <w:rPr>
          <w:rFonts w:ascii="Arial" w:cs="Arial" w:eastAsia="Arial" w:hAnsi="Arial"/>
          <w:sz w:val="15"/>
          <w:szCs w:val="15"/>
          <w:color w:val="auto"/>
        </w:rPr>
      </w:pPr>
    </w:p>
    <w:p>
      <w:pPr>
        <w:jc w:val="both"/>
        <w:ind w:left="1060"/>
        <w:spacing w:after="0" w:line="261" w:lineRule="auto"/>
        <w:rPr>
          <w:rFonts w:ascii="Arial" w:cs="Arial" w:eastAsia="Arial" w:hAnsi="Arial"/>
          <w:sz w:val="15"/>
          <w:szCs w:val="15"/>
          <w:color w:val="auto"/>
        </w:rPr>
      </w:pPr>
      <w:r>
        <w:rPr>
          <w:rFonts w:ascii="Arial" w:cs="Arial" w:eastAsia="Arial" w:hAnsi="Arial"/>
          <w:sz w:val="17"/>
          <w:szCs w:val="17"/>
          <w:color w:val="auto"/>
        </w:rPr>
        <w:t>(i)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215"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Restricted stock is a share award that may be subject to vesting conditioned upon continued service, the achievement of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or the satisfaction of any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62" w:lineRule="auto"/>
        <w:rPr>
          <w:sz w:val="20"/>
          <w:szCs w:val="20"/>
          <w:color w:val="auto"/>
        </w:rPr>
      </w:pPr>
      <w:r>
        <w:rPr>
          <w:rFonts w:ascii="Arial" w:cs="Arial" w:eastAsia="Arial" w:hAnsi="Arial"/>
          <w:sz w:val="17"/>
          <w:szCs w:val="17"/>
          <w:color w:val="auto"/>
        </w:rPr>
        <w:t>condition as specified in a restricted stock agreement. Recipients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w:t>
      </w:r>
    </w:p>
    <w:p>
      <w:pPr>
        <w:spacing w:after="0" w:line="201" w:lineRule="exact"/>
        <w:rPr>
          <w:sz w:val="20"/>
          <w:szCs w:val="20"/>
          <w:color w:val="auto"/>
        </w:rPr>
      </w:pPr>
    </w:p>
    <w:p>
      <w:pPr>
        <w:jc w:val="both"/>
        <w:ind w:left="1060" w:hanging="531"/>
        <w:spacing w:after="0" w:line="261"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Stock units. </w:t>
      </w:r>
      <w:r>
        <w:rPr>
          <w:rFonts w:ascii="Arial" w:cs="Arial" w:eastAsia="Arial" w:hAnsi="Arial"/>
          <w:sz w:val="17"/>
          <w:szCs w:val="17"/>
          <w:color w:val="auto"/>
        </w:rPr>
        <w:t>Stock units give recipients the right to acquire a specified number of shares of stock (or a cash amount) at a future date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certain 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At the compensation committee's discretion, stock units may provide for the right to dividend equivalents.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213"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typically will provide for payments to the recipient based upon increases in the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over the exercise price of the stock 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8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Cash-based awards. </w:t>
      </w:r>
      <w:r>
        <w:rPr>
          <w:rFonts w:ascii="Arial" w:cs="Arial" w:eastAsia="Arial" w:hAnsi="Arial"/>
          <w:sz w:val="17"/>
          <w:szCs w:val="17"/>
          <w:color w:val="auto"/>
        </w:rPr>
        <w:t>A cash-based award is denominated in cash. The compensation committee may grant cash-based awards in such number and upon</w:t>
      </w:r>
      <w:r>
        <w:rPr>
          <w:rFonts w:ascii="Arial" w:cs="Arial" w:eastAsia="Arial" w:hAnsi="Arial"/>
          <w:sz w:val="17"/>
          <w:szCs w:val="17"/>
          <w:i w:val="1"/>
          <w:iCs w:val="1"/>
          <w:color w:val="auto"/>
        </w:rPr>
        <w:t xml:space="preserve"> </w:t>
      </w:r>
      <w:r>
        <w:rPr>
          <w:rFonts w:ascii="Arial" w:cs="Arial" w:eastAsia="Arial" w:hAnsi="Arial"/>
          <w:sz w:val="17"/>
          <w:szCs w:val="17"/>
          <w:color w:val="auto"/>
        </w:rPr>
        <w:t>such terms as it shall determine. Payment, if any, will be made in accordance with the terms of the award, and may be made in cash or in shares of common stock, as determined by the compensation committee.</w:t>
      </w:r>
    </w:p>
    <w:p>
      <w:pPr>
        <w:spacing w:after="0" w:line="192" w:lineRule="exact"/>
        <w:rPr>
          <w:rFonts w:ascii="Arial" w:cs="Arial" w:eastAsia="Arial" w:hAnsi="Arial"/>
          <w:sz w:val="17"/>
          <w:szCs w:val="17"/>
          <w:color w:val="auto"/>
        </w:rPr>
      </w:pPr>
    </w:p>
    <w:p>
      <w:pPr>
        <w:jc w:val="both"/>
        <w:ind w:left="1060" w:hanging="531"/>
        <w:spacing w:after="0" w:line="300" w:lineRule="auto"/>
        <w:tabs>
          <w:tab w:leader="none" w:pos="106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Performance-based awards. </w:t>
      </w:r>
      <w:r>
        <w:rPr>
          <w:rFonts w:ascii="Arial" w:cs="Arial" w:eastAsia="Arial" w:hAnsi="Arial"/>
          <w:sz w:val="15"/>
          <w:szCs w:val="15"/>
          <w:color w:val="auto"/>
        </w:rPr>
        <w:t>Awards under our 2013 Stock Incentive Plan may be made subject to the attainment of performance criteria. Awards of</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stock units or cash-based awards that are intended to qualify as "performance-based compensation" under Section 162(m) of the Internal Revenue Code will be subject to the attainment of one or more of the following pre-established performance goals: cash flows (including operating cash flow), earnings per share, earnings before any combination of interest, taxes, depreciation or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achievement of target levels of discovery and/or development of products or services, including but not limited to research or regulatory achievements, third party coverage and/or reimbursement objectives, or test volume metrics.</w:t>
      </w:r>
    </w:p>
    <w:p>
      <w:pPr>
        <w:spacing w:after="0" w:line="163" w:lineRule="exact"/>
        <w:rPr>
          <w:sz w:val="20"/>
          <w:szCs w:val="20"/>
          <w:color w:val="auto"/>
        </w:rPr>
      </w:pPr>
    </w:p>
    <w:p>
      <w:pPr>
        <w:jc w:val="both"/>
        <w:ind w:left="1060"/>
        <w:spacing w:after="0" w:line="265" w:lineRule="auto"/>
        <w:rPr>
          <w:sz w:val="20"/>
          <w:szCs w:val="20"/>
          <w:color w:val="auto"/>
        </w:rPr>
      </w:pPr>
      <w:r>
        <w:rPr>
          <w:rFonts w:ascii="Arial" w:cs="Arial" w:eastAsia="Arial" w:hAnsi="Arial"/>
          <w:sz w:val="17"/>
          <w:szCs w:val="17"/>
          <w:color w:val="auto"/>
        </w:rPr>
        <w:t>The maximum aggregate number of shares that may subject to restricted stock or stock unit awards intended to qualify as performance-based compensation under this tax rule granted to any individual in any calendar year is 1,000,000 shares (and no more than two times this amount in the first year of employment). The maximum aggregate amount of cash that may be payable under cash-based awards intended to qualify as performance-based compensation under this tax rule granted to a participant in any calendar year is $2,000,000.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Plan Features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2013 Stock Incentive Plan:</w:t>
      </w:r>
    </w:p>
    <w:p>
      <w:pPr>
        <w:spacing w:after="0" w:line="237" w:lineRule="exact"/>
        <w:rPr>
          <w:sz w:val="20"/>
          <w:szCs w:val="20"/>
          <w:color w:val="auto"/>
        </w:rPr>
      </w:pPr>
    </w:p>
    <w:p>
      <w:pPr>
        <w:jc w:val="both"/>
        <w:ind w:left="1060" w:hanging="531"/>
        <w:spacing w:after="0" w:line="265"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 provided, however, that an incentive stock option may be transferred or assigned only to the extent consistent with Section 422 of the Internal Revenue Code.</w:t>
      </w:r>
    </w:p>
    <w:p>
      <w:pPr>
        <w:spacing w:after="0" w:line="211" w:lineRule="exact"/>
        <w:rPr>
          <w:rFonts w:ascii="Arial" w:cs="Arial" w:eastAsia="Arial" w:hAnsi="Arial"/>
          <w:sz w:val="17"/>
          <w:szCs w:val="17"/>
          <w:color w:val="auto"/>
        </w:rPr>
      </w:pPr>
    </w:p>
    <w:p>
      <w:pPr>
        <w:jc w:val="both"/>
        <w:ind w:left="1060" w:hanging="531"/>
        <w:spacing w:after="0" w:line="276"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Nondiscretionary, automatic grants of nonstatutory stock options will be made to outside directors. Any outside director who was not previously an employee and who first joins our board of directors on or after the effective date of the 2013 Stock Incentive Plan, will be automatically granted an initial nonstatutory option to purchase 35,000 shares of our common stock, upon first becoming a member of our board of directors. Twenty-five percent of the shares subject to the initial option will vest and become exercisable on the first anniversary of the date of grant. The balance (i.e. remaining 75%) will vest and become exercisable over three years in equal monthly installments. On the first business day after each of our regularly scheduled annual meetings of stockholders, each outside director who was not elected to the board of directors for the first time at such meeting and who will continue serving as a member of the board of directors thereafter will be automatically granted an option to purchase 10,000 shares of our common stock,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 The board of directors, in its discretion, may change the type of automatic awards and the number of underlying shares granted to outside directors.</w:t>
      </w:r>
    </w:p>
    <w:p>
      <w:pPr>
        <w:spacing w:after="0" w:line="197"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the event of a recapitalization, stock split or similar capital transaction, our compensation committee will make appropriate and equitable adjustments to the number of shares reserved for issuance under the 2012 Stock Incentive Plan, the limitations regarding the total number of shares underlying awards given to an individual participant in any calendar year, the number of nonstatutory stock options granted to outside directors, the number of shares that can be issued as incentive stock options, the number of shares subject to outstanding awards and the exercise price under each outstanding option or stock appreciation right.</w:t>
      </w:r>
    </w:p>
    <w:p>
      <w:pPr>
        <w:spacing w:after="0" w:line="200"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we are involved in a merger or other reorganization, outstanding awards will be subject to the agreement of merger or reorganization. Such agreement will provide for (i) the continuation of the outstanding awards by us, if we are the surviving corporation, (ii) the assumption or substitution of the outstanding awards by the surviving corporation or its parent or subsidiary, (iii) immediate vesting, exercisability and settlement of the outstanding awards followed by their cancellation, or (iv) settlement of the full value of the outstanding awards in cash, cash equivalents, or equity (including cash or equity subject to deferred vesting and delivery consistent with the vesting restrictions applicable to such award or the underlying shares) followed by cancellation of such awards.</w:t>
      </w:r>
    </w:p>
    <w:p>
      <w:pPr>
        <w:spacing w:after="0" w:line="214"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board of directors may amend or terminate the plan at any time, subject to stockholder approval where required by applicable law. Any amendment or termination may not materially impair the rights of holders of outstanding awards without their consent. No incentive stock option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may be granted after the tenth anniversary of the earlier of (i) the date the plan was adopted by our board of directors, or (ii) the date the plan was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color w:val="auto"/>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Prior to the closing of the offering, we plan to enter into indemnification agreements with each of our officers and directors. With certain exceptions, these agreements will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87"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firstLine="485"/>
        <w:spacing w:after="0" w:line="287" w:lineRule="auto"/>
        <w:rPr>
          <w:sz w:val="20"/>
          <w:szCs w:val="20"/>
          <w:color w:val="auto"/>
        </w:rPr>
      </w:pPr>
      <w:r>
        <w:rPr>
          <w:rFonts w:ascii="Arial" w:cs="Arial" w:eastAsia="Arial" w:hAnsi="Arial"/>
          <w:sz w:val="16"/>
          <w:szCs w:val="16"/>
          <w:color w:val="auto"/>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Convertible Preferred Stock</w:t>
      </w:r>
    </w:p>
    <w:p>
      <w:pPr>
        <w:spacing w:after="0" w:line="228"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automatically convertible into 0.25 of a share of our common stock upon the closing of this offering.</w:t>
      </w: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10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Shares of Preferred Stock</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1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Purchase Price</w:t>
            </w: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Purchaser</w:t>
            </w:r>
          </w:p>
        </w:tc>
        <w:tc>
          <w:tcPr>
            <w:tcW w:w="5200" w:type="dxa"/>
            <w:vAlign w:val="bottom"/>
            <w:gridSpan w:val="2"/>
          </w:tcPr>
          <w:p>
            <w:pPr>
              <w:spacing w:after="0"/>
              <w:rPr>
                <w:sz w:val="13"/>
                <w:szCs w:val="13"/>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Series B</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Series C</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8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2,744,101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17,186,351</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3,215,553</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11,097,395</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(4)</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jVen Capital, LLC</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443,629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1,528,459</w:t>
            </w:r>
          </w:p>
        </w:tc>
        <w:tc>
          <w:tcPr>
            <w:tcW w:w="0" w:type="dxa"/>
            <w:vAlign w:val="bottom"/>
          </w:tcPr>
          <w:p>
            <w:pPr>
              <w:spacing w:after="0"/>
              <w:rPr>
                <w:sz w:val="1"/>
                <w:szCs w:val="1"/>
                <w:color w:val="auto"/>
              </w:rPr>
            </w:pPr>
          </w:p>
        </w:tc>
      </w:tr>
      <w:tr>
        <w:trPr>
          <w:trHeight w:val="275"/>
        </w:trPr>
        <w:tc>
          <w:tcPr>
            <w:tcW w:w="5840" w:type="dxa"/>
            <w:vAlign w:val="bottom"/>
            <w:gridSpan w:val="3"/>
          </w:tcPr>
          <w:p>
            <w:pPr>
              <w:ind w:left="20"/>
              <w:spacing w:after="0" w:line="276" w:lineRule="exact"/>
              <w:rPr>
                <w:sz w:val="20"/>
                <w:szCs w:val="20"/>
                <w:color w:val="auto"/>
              </w:rPr>
            </w:pPr>
            <w:r>
              <w:rPr>
                <w:rFonts w:ascii="Arial" w:cs="Arial" w:eastAsia="Arial" w:hAnsi="Arial"/>
                <w:sz w:val="17"/>
                <w:szCs w:val="17"/>
                <w:color w:val="auto"/>
              </w:rPr>
              <w:t>Karin Eastham Defined Benefit Plan</w:t>
            </w:r>
            <w:r>
              <w:rPr>
                <w:rFonts w:ascii="Arial" w:cs="Arial" w:eastAsia="Arial" w:hAnsi="Arial"/>
                <w:sz w:val="28"/>
                <w:szCs w:val="28"/>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52,910</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22,200,000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12,772,963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51,890,901</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purchasers were Domain Partners VIII, L.P. and DP VIII Associates, L.P. Jesse I. Treu, a director of our company, is affiliated with these entities.</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purchasers were Versant Venture Capital III, L.P. and Versant Side Fund III, L.P. Brian G. Atwood and Samuel D. Colella, directors of our company, are affiliated with these entities.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Fred E. Cohen,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Brook H. Byers, a director of our company, is affiliated with this entity.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Evan Jones,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Karin Eastham, a director of our company, is affiliated with this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Rights Agreement</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Holders of our convertible preferred stock are entitled to certain registration rights following this offering with respect to the common stock issued or issuable upon conversion of the convertible preferred stock, which conversion will occur automatically upon the closing of this offering. See "Description of Capital Stock– Investor Rights Agreement"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7"/>
          <w:szCs w:val="17"/>
          <w:color w:val="auto"/>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228" w:lineRule="exact"/>
        <w:rPr>
          <w:sz w:val="20"/>
          <w:szCs w:val="20"/>
          <w:color w:val="auto"/>
        </w:rPr>
      </w:pPr>
    </w:p>
    <w:p>
      <w:pPr>
        <w:jc w:val="both"/>
        <w:ind w:firstLine="417"/>
        <w:spacing w:after="0" w:line="280" w:lineRule="auto"/>
        <w:rPr>
          <w:sz w:val="20"/>
          <w:szCs w:val="20"/>
          <w:color w:val="auto"/>
        </w:rPr>
      </w:pPr>
      <w:r>
        <w:rPr>
          <w:rFonts w:ascii="Arial" w:cs="Arial" w:eastAsia="Arial" w:hAnsi="Arial"/>
          <w:sz w:val="16"/>
          <w:szCs w:val="16"/>
          <w:color w:val="auto"/>
        </w:rPr>
        <w:t>In October 2013, our board of directors adopted a formal policy, effective on the date of this prospectus,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 All of the transactions described above were entered into prior to the adoption of such policy.</w:t>
      </w:r>
    </w:p>
    <w:p>
      <w:pPr>
        <w:spacing w:after="0" w:line="175"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persons prior to October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following table sets forth information regarding the number of shares of common stock beneficially owned on October 1, 2013, and immediately following consummation of this offering, by:</w:t>
      </w:r>
    </w:p>
    <w:p>
      <w:pPr>
        <w:spacing w:after="0" w:line="183" w:lineRule="exact"/>
        <w:rPr>
          <w:sz w:val="20"/>
          <w:szCs w:val="20"/>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person who is known by us to beneficially own 5% or more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9" w:lineRule="exact"/>
        <w:rPr>
          <w:sz w:val="20"/>
          <w:szCs w:val="20"/>
          <w:color w:val="auto"/>
        </w:rPr>
      </w:pPr>
    </w:p>
    <w:p>
      <w:pPr>
        <w:jc w:val="both"/>
        <w:ind w:firstLine="408"/>
        <w:spacing w:after="0" w:line="262" w:lineRule="auto"/>
        <w:rPr>
          <w:sz w:val="20"/>
          <w:szCs w:val="20"/>
          <w:color w:val="auto"/>
        </w:rPr>
      </w:pPr>
      <w:r>
        <w:rPr>
          <w:rFonts w:ascii="Arial" w:cs="Arial" w:eastAsia="Arial" w:hAnsi="Arial"/>
          <w:sz w:val="17"/>
          <w:szCs w:val="17"/>
          <w:color w:val="auto"/>
        </w:rPr>
        <w:t>Applicable percentage ownership is based on 15,989,890 shares of common stock outstanding at October 1, 2013 and assumes the automatic conversion of all outstanding shares of our convertible preferred stock into 14,997,312 shares of our common stock upon the closing of this offering. For purposes of the table below, we have assumed that 20,689,890 shares of common stock will be outstanding upon the closing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October 1, 2013. We did not deem these shares outstanding, however, for the purpose of computing the percentage ownership of any other person.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5"/>
          </w:tcPr>
          <w:p>
            <w:pPr>
              <w:jc w:val="center"/>
              <w:ind w:right="1300"/>
              <w:spacing w:after="0"/>
              <w:rPr>
                <w:sz w:val="20"/>
                <w:szCs w:val="20"/>
                <w:color w:val="auto"/>
              </w:rPr>
            </w:pPr>
            <w:r>
              <w:rPr>
                <w:rFonts w:ascii="Arial" w:cs="Arial" w:eastAsia="Arial" w:hAnsi="Arial"/>
                <w:sz w:val="13"/>
                <w:szCs w:val="13"/>
                <w:b w:val="1"/>
                <w:bCs w:val="1"/>
                <w:color w:val="auto"/>
                <w:w w:val="86"/>
              </w:rPr>
              <w:t>Percentage of</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2720" w:type="dxa"/>
            <w:vAlign w:val="bottom"/>
            <w:gridSpan w:val="5"/>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79"/>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720" w:type="dxa"/>
            <w:vAlign w:val="bottom"/>
            <w:gridSpan w:val="5"/>
            <w:vMerge w:val="restart"/>
          </w:tcPr>
          <w:p>
            <w:pPr>
              <w:jc w:val="center"/>
              <w:ind w:right="1280"/>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Shares</w:t>
            </w:r>
          </w:p>
        </w:tc>
        <w:tc>
          <w:tcPr>
            <w:tcW w:w="27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Beneficially</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Before</w:t>
            </w:r>
          </w:p>
        </w:tc>
        <w:tc>
          <w:tcPr>
            <w:tcW w:w="1940" w:type="dxa"/>
            <w:vAlign w:val="bottom"/>
            <w:gridSpan w:val="3"/>
          </w:tcPr>
          <w:p>
            <w:pPr>
              <w:ind w:left="180"/>
              <w:spacing w:after="0"/>
              <w:rPr>
                <w:sz w:val="20"/>
                <w:szCs w:val="20"/>
                <w:color w:val="auto"/>
              </w:rPr>
            </w:pPr>
            <w:r>
              <w:rPr>
                <w:rFonts w:ascii="Arial" w:cs="Arial" w:eastAsia="Arial" w:hAnsi="Arial"/>
                <w:sz w:val="13"/>
                <w:szCs w:val="13"/>
                <w:b w:val="1"/>
                <w:bCs w:val="1"/>
                <w:color w:val="auto"/>
              </w:rPr>
              <w:t>After</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24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8"/>
              </w:rPr>
              <w:t>Name and Address of Beneficial Owner</w:t>
            </w:r>
          </w:p>
        </w:tc>
        <w:tc>
          <w:tcPr>
            <w:tcW w:w="406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3"/>
              </w:rPr>
              <w:t>Owned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Offering</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5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5%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3,086,024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3,551,929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3,551,929</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3,616,221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500" w:type="dxa"/>
            <w:vAlign w:val="bottom"/>
            <w:gridSpan w:val="4"/>
          </w:tcPr>
          <w:p>
            <w:pPr>
              <w:ind w:left="20"/>
              <w:spacing w:after="0"/>
              <w:rPr>
                <w:sz w:val="20"/>
                <w:szCs w:val="20"/>
                <w:color w:val="auto"/>
              </w:rPr>
            </w:pPr>
            <w:r>
              <w:rPr>
                <w:rFonts w:ascii="Arial" w:cs="Arial" w:eastAsia="Arial" w:hAnsi="Arial"/>
                <w:sz w:val="17"/>
                <w:szCs w:val="17"/>
                <w:b w:val="1"/>
                <w:bCs w:val="1"/>
                <w:color w:val="auto"/>
              </w:rPr>
              <w:t>Directors and Executive Officers: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50" w:lineRule="exact"/>
              <w:rPr>
                <w:sz w:val="20"/>
                <w:szCs w:val="20"/>
                <w:color w:val="auto"/>
              </w:rPr>
            </w:pPr>
            <w:r>
              <w:rPr>
                <w:rFonts w:ascii="Arial" w:cs="Arial" w:eastAsia="Arial" w:hAnsi="Arial"/>
                <w:sz w:val="17"/>
                <w:szCs w:val="17"/>
                <w:color w:val="auto"/>
              </w:rPr>
              <w:t>Bonnie H. Anderson</w:t>
            </w:r>
            <w:r>
              <w:rPr>
                <w:rFonts w:ascii="Arial" w:cs="Arial" w:eastAsia="Arial" w:hAnsi="Arial"/>
                <w:sz w:val="28"/>
                <w:szCs w:val="28"/>
                <w:color w:val="auto"/>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806,007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3,616,221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17.5%</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3,551,929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(7)</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3,616,221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18,956</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548,907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3,086,024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Shelly D. Guyer</w:t>
            </w:r>
            <w:r>
              <w:rPr>
                <w:rFonts w:ascii="Arial" w:cs="Arial" w:eastAsia="Arial" w:hAnsi="Arial"/>
                <w:sz w:val="28"/>
                <w:szCs w:val="28"/>
                <w:color w:val="auto"/>
                <w:vertAlign w:val="superscript"/>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Christopher M. Hall</w:t>
            </w:r>
            <w:r>
              <w:rPr>
                <w:rFonts w:ascii="Arial" w:cs="Arial" w:eastAsia="Arial" w:hAnsi="Arial"/>
                <w:sz w:val="28"/>
                <w:szCs w:val="28"/>
                <w:color w:val="auto"/>
                <w:vertAlign w:val="superscript"/>
              </w:rPr>
              <w:t>(11)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233,444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All directors and executive officers as a group (10 persons)</w:t>
            </w:r>
            <w:r>
              <w:rPr>
                <w:rFonts w:ascii="Arial" w:cs="Arial" w:eastAsia="Arial" w:hAnsi="Arial"/>
                <w:sz w:val="28"/>
                <w:szCs w:val="28"/>
                <w:color w:val="auto"/>
                <w:vertAlign w:val="superscript"/>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12,011,488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56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2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Less than 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3"/>
          </w:tcPr>
          <w:p>
            <w:pPr>
              <w:ind w:left="4300"/>
              <w:spacing w:after="0"/>
              <w:rPr>
                <w:sz w:val="20"/>
                <w:szCs w:val="20"/>
                <w:color w:val="auto"/>
              </w:rPr>
            </w:pPr>
            <w:r>
              <w:rPr>
                <w:rFonts w:ascii="Arial" w:cs="Arial" w:eastAsia="Arial" w:hAnsi="Arial"/>
                <w:sz w:val="17"/>
                <w:szCs w:val="17"/>
                <w:color w:val="auto"/>
              </w:rPr>
              <w:t>116</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Also includes options to purchase shares of common stock exercisable within 60 days of October 1, 2013. Unless otherwise indicated, shares are owned of record and beneficially by the named person.</w:t>
      </w:r>
    </w:p>
    <w:p>
      <w:pPr>
        <w:spacing w:after="0" w:line="205" w:lineRule="exact"/>
        <w:rPr>
          <w:rFonts w:ascii="Arial" w:cs="Arial" w:eastAsia="Arial" w:hAnsi="Arial"/>
          <w:sz w:val="17"/>
          <w:szCs w:val="17"/>
          <w:color w:val="auto"/>
        </w:rPr>
      </w:pPr>
    </w:p>
    <w:p>
      <w:pPr>
        <w:jc w:val="both"/>
        <w:ind w:left="1680" w:hanging="533"/>
        <w:spacing w:after="0" w:line="261" w:lineRule="auto"/>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3,063,294 shares held by Domain Partners VIII, L.P. and 22,730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203" w:lineRule="exact"/>
        <w:rPr>
          <w:rFonts w:ascii="Arial" w:cs="Arial" w:eastAsia="Arial" w:hAnsi="Arial"/>
          <w:sz w:val="17"/>
          <w:szCs w:val="17"/>
          <w:color w:val="auto"/>
        </w:rPr>
      </w:pPr>
    </w:p>
    <w:p>
      <w:pPr>
        <w:jc w:val="both"/>
        <w:ind w:left="1680" w:hanging="533"/>
        <w:spacing w:after="0" w:line="278" w:lineRule="auto"/>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3,174,484 shares of common stock beneficially owned by Kleiner Perkins Caufield &amp; Byers XII, LLC, or KPCB XII; 45,695 shares of common stock beneficially owned by KPCB XII Founders Fund, LLC, or KPCB XII FF; 61,435 shares of common stock beneficially owned by Brook H. Byers, a member of our board of directors; and 270,315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92" w:lineRule="exact"/>
        <w:rPr>
          <w:rFonts w:ascii="Arial" w:cs="Arial" w:eastAsia="Arial" w:hAnsi="Arial"/>
          <w:sz w:val="16"/>
          <w:szCs w:val="16"/>
          <w:color w:val="auto"/>
        </w:rPr>
      </w:pPr>
    </w:p>
    <w:p>
      <w:pPr>
        <w:jc w:val="both"/>
        <w:ind w:left="1680" w:hanging="533"/>
        <w:spacing w:after="0" w:line="260" w:lineRule="auto"/>
        <w:tabs>
          <w:tab w:leader="none" w:pos="1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215" w:lineRule="exact"/>
        <w:rPr>
          <w:rFonts w:ascii="Arial" w:cs="Arial" w:eastAsia="Arial" w:hAnsi="Arial"/>
          <w:sz w:val="17"/>
          <w:szCs w:val="17"/>
          <w:color w:val="auto"/>
        </w:rPr>
      </w:pPr>
    </w:p>
    <w:p>
      <w:pPr>
        <w:jc w:val="both"/>
        <w:ind w:left="1680" w:hanging="533"/>
        <w:spacing w:after="0" w:line="301" w:lineRule="auto"/>
        <w:tabs>
          <w:tab w:leader="none" w:pos="16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Consists of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Kirk G. Nielsen, Rebecca B. 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options to purchase 456,922 shares of our common stock which are immediately exercisable, 241,300 of which are subject to the company's right of repurchase on or prior to 60 days after October 1, 2013 and 12,500 of which are subject to the company's right of repurchase, which right lapses upon the closing of this offering if this offering closes in 2013.</w:t>
      </w:r>
    </w:p>
    <w:p>
      <w:pPr>
        <w:spacing w:after="0" w:line="205" w:lineRule="exact"/>
        <w:rPr>
          <w:rFonts w:ascii="Arial" w:cs="Arial" w:eastAsia="Arial" w:hAnsi="Arial"/>
          <w:sz w:val="17"/>
          <w:szCs w:val="17"/>
          <w:color w:val="auto"/>
        </w:rPr>
      </w:pPr>
    </w:p>
    <w:p>
      <w:pPr>
        <w:jc w:val="both"/>
        <w:ind w:left="1680" w:hanging="533"/>
        <w:spacing w:after="0" w:line="294" w:lineRule="auto"/>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Does not include 3,551,929 shares held by TPG Biotechnology Partners II, L.P. Dr. Cohen is a TPG partner.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75" w:lineRule="exact"/>
        <w:rPr>
          <w:rFonts w:ascii="Arial" w:cs="Arial" w:eastAsia="Arial" w:hAnsi="Arial"/>
          <w:sz w:val="16"/>
          <w:szCs w:val="16"/>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options to purchase 5,729 shares of our common stock which are immediately exercisable. Also includes 13,227 shares held by Karin Eastham Defined Benefit Plan.</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options to purchase 50,000 shares of our common stock which are immediately exercisable. Also includes 498,907 shares held by jVen Capital, LLC, of which Mr. Jones is Managing Member.</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options to purchase 150,000 shares of our common stock which are immediately exercisable, all of which are subject to the company's right of repurchase on or prior to 60 days after October 1, 2013, which right lapses over time.</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options to purchase 233,444 shares of our common stock which are immediately exercisable, 64,324 of which are subject to the company's right of repurchase on or prior to 60 days after October 1, 2013, which right lapses over time.</w:t>
      </w:r>
    </w:p>
    <w:p>
      <w:pPr>
        <w:spacing w:after="0" w:line="182"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options to purchase 896,095 shares of our common stock which are immediately exercisable, 455,624 of which are subject to the company's right of repurchase on or prior to 60 days after October 1, 2013, which right lapses over time and 12,500 of which are subject to the company's right of repurchase, which right lapses upon the closing of this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The following is a summary of the rights of our common stock and preferred stock and certain provisions of our restated certificate of incorporation and amended and restated bylaws, as they will be in effect upon the closing of this offering. For more detailed information, please see our restated certificate of incorporation and amended and restated bylaws, which are filed as exhibits to the registration statement of which this prospectus is part.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Immediately following the closing of this offering, our authorized capital stock will consist of 130,000,000 shares, with a par value of $0.001 per share, of which:</w:t>
      </w:r>
    </w:p>
    <w:p>
      <w:pPr>
        <w:spacing w:after="0" w:line="260"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125,000,000 shares will be designated as common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5,000,000 shares will be designated as preferred stock.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5"/>
          <w:szCs w:val="15"/>
          <w:color w:val="auto"/>
        </w:rPr>
        <w:t>Our certificate of incorporation in effect prior to the closing of this offering provides that, upon the closing of a firmly underwritten public offering pursuant to an effective registration statement under the Securities Act covering the offer and sale of our common stock with gross cash proceeds to us (before underwriting discounts, commissions and fees) of at least $40.0 million, each share of each series of preferred stock shall automatically be converted into shares of common stock at the then-effective conversion price for such series upon the closing of this offering. Accordingly, upon the closing of this offering, each outstanding share of our Series A, Series B and Series C preferred stock will be converted into 0.25 of a share of common stock, or an aggregate of 14,997,312 shares of common stock.</w:t>
      </w:r>
    </w:p>
    <w:p>
      <w:pPr>
        <w:spacing w:after="0" w:line="159" w:lineRule="exact"/>
        <w:rPr>
          <w:sz w:val="20"/>
          <w:szCs w:val="20"/>
          <w:color w:val="auto"/>
        </w:rPr>
      </w:pPr>
    </w:p>
    <w:p>
      <w:pPr>
        <w:jc w:val="both"/>
        <w:ind w:firstLine="347"/>
        <w:spacing w:after="0" w:line="262" w:lineRule="auto"/>
        <w:rPr>
          <w:sz w:val="20"/>
          <w:szCs w:val="20"/>
          <w:color w:val="auto"/>
        </w:rPr>
      </w:pPr>
      <w:r>
        <w:rPr>
          <w:rFonts w:ascii="Arial" w:cs="Arial" w:eastAsia="Arial" w:hAnsi="Arial"/>
          <w:sz w:val="17"/>
          <w:szCs w:val="17"/>
          <w:color w:val="auto"/>
        </w:rPr>
        <w:t>Following the conversion of each share of our preferred stock into shares of common stock, our certificate of incorporation will be amended and restated to delete all references to the prior series of preferred stock and our board of directors will have the authority, without further action by our stockholders, to issue from time to time up to 5,000,000 shares of preferred stock in one or more series. Our board of directors will have the authority to establish the number of shares to be included in each series and fix the powers, preferences and rights of the shares of each wholly unissued series and any of its qualifications, limitations or restrictions. Our board of directors will also be able to increase or decrease the number of shares of any series, but not below the number of shares of that series then outstanding, without any further vote or action by the stockholders.</w:t>
      </w:r>
    </w:p>
    <w:p>
      <w:pPr>
        <w:spacing w:after="0" w:line="188" w:lineRule="exact"/>
        <w:rPr>
          <w:sz w:val="20"/>
          <w:szCs w:val="20"/>
          <w:color w:val="auto"/>
        </w:rPr>
      </w:pPr>
    </w:p>
    <w:p>
      <w:pPr>
        <w:jc w:val="both"/>
        <w:ind w:firstLine="354"/>
        <w:spacing w:after="0" w:line="270" w:lineRule="auto"/>
        <w:rPr>
          <w:sz w:val="20"/>
          <w:szCs w:val="20"/>
          <w:color w:val="auto"/>
        </w:rPr>
      </w:pPr>
      <w:r>
        <w:rPr>
          <w:rFonts w:ascii="Arial" w:cs="Arial" w:eastAsia="Arial" w:hAnsi="Arial"/>
          <w:sz w:val="17"/>
          <w:szCs w:val="17"/>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effect of delaying, deferring or preventing a change in control of our company, which could depress the market price of our common stock. We have no current plans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w:t>
      </w:r>
    </w:p>
    <w:p>
      <w:pPr>
        <w:spacing w:after="0" w:line="228"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6"/>
          <w:szCs w:val="16"/>
          <w:color w:val="auto"/>
        </w:rPr>
        <w:t>As of October 1, 2013, we had a warrant outstanding to purchase 99,206 shares of our Series C preferred stock at an exercise price of $1.89 per share, which will become exercisable for 24,801 shares of our common stock at an exercise price of $7.56 per share upon the closing of this offering. If we draw down a second term loan of up to $5.0 million under our loan and security agreement with the warrant holder, the warrant will become exercisable for an additional 99,206 shares of our Series C preferred stock, or 24,801 shares of our common stock upon the closing of this offering at an exercise price of $7.56 per share. This warrant has a net exercise provision under 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After this offering, the holders of 14,997,312 shares of our common stock issued upon the automatic conversion of our preferred stock upon the closing of this offering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4" w:lineRule="exact"/>
        <w:rPr>
          <w:sz w:val="20"/>
          <w:szCs w:val="20"/>
          <w:color w:val="auto"/>
        </w:rPr>
      </w:pPr>
    </w:p>
    <w:p>
      <w:pPr>
        <w:jc w:val="both"/>
        <w:ind w:firstLine="375"/>
        <w:spacing w:after="0" w:line="294" w:lineRule="auto"/>
        <w:rPr>
          <w:sz w:val="20"/>
          <w:szCs w:val="20"/>
          <w:color w:val="auto"/>
        </w:rPr>
      </w:pPr>
      <w:r>
        <w:rPr>
          <w:rFonts w:ascii="Arial" w:cs="Arial" w:eastAsia="Arial" w:hAnsi="Arial"/>
          <w:sz w:val="16"/>
          <w:szCs w:val="16"/>
          <w:color w:val="auto"/>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the right of the underwriters to limit the number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of shares included in any such registration statement under certain circumstances, but not below 25% of the total number of shares covered by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24" w:lineRule="exact"/>
        <w:rPr>
          <w:sz w:val="20"/>
          <w:szCs w:val="20"/>
          <w:color w:val="auto"/>
        </w:rPr>
      </w:pPr>
    </w:p>
    <w:p>
      <w:pPr>
        <w:jc w:val="both"/>
        <w:ind w:firstLine="344"/>
        <w:spacing w:after="0" w:line="322" w:lineRule="auto"/>
        <w:rPr>
          <w:sz w:val="20"/>
          <w:szCs w:val="20"/>
          <w:color w:val="auto"/>
        </w:rPr>
      </w:pPr>
      <w:r>
        <w:rPr>
          <w:rFonts w:ascii="Arial" w:cs="Arial" w:eastAsia="Arial" w:hAnsi="Arial"/>
          <w:sz w:val="15"/>
          <w:szCs w:val="15"/>
          <w:color w:val="auto"/>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Bylaws</w:t>
      </w:r>
    </w:p>
    <w:p>
      <w:pPr>
        <w:spacing w:after="0" w:line="228" w:lineRule="exact"/>
        <w:rPr>
          <w:sz w:val="20"/>
          <w:szCs w:val="20"/>
          <w:color w:val="auto"/>
        </w:rPr>
      </w:pPr>
    </w:p>
    <w:p>
      <w:pPr>
        <w:jc w:val="both"/>
        <w:ind w:firstLine="412"/>
        <w:spacing w:after="0" w:line="303" w:lineRule="auto"/>
        <w:rPr>
          <w:sz w:val="20"/>
          <w:szCs w:val="20"/>
          <w:color w:val="auto"/>
        </w:rPr>
      </w:pPr>
      <w:r>
        <w:rPr>
          <w:rFonts w:ascii="Arial" w:cs="Arial" w:eastAsia="Arial" w:hAnsi="Arial"/>
          <w:sz w:val="15"/>
          <w:szCs w:val="15"/>
          <w:color w:val="auto"/>
        </w:rPr>
        <w:t>Certain provisions of Delaware law, our restated certificate of incorporation and our amended and restated bylaws to become effective upon the closing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and amended and restated bylaws to become effective upon the closing of this offering include provisions that:</w:t>
      </w:r>
    </w:p>
    <w:p>
      <w:pPr>
        <w:spacing w:after="0" w:line="249"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Law</w:t>
      </w:r>
    </w:p>
    <w:p>
      <w:pPr>
        <w:spacing w:after="0" w:line="224"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67" w:lineRule="exact"/>
        <w:rPr>
          <w:rFonts w:ascii="Arial" w:cs="Arial" w:eastAsia="Arial" w:hAnsi="Arial"/>
          <w:sz w:val="15"/>
          <w:szCs w:val="15"/>
          <w:color w:val="auto"/>
        </w:rPr>
      </w:pPr>
    </w:p>
    <w:p>
      <w:pPr>
        <w:ind w:left="1060" w:hanging="531"/>
        <w:spacing w:after="0" w:line="287"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203 defines "business combination" to include the following:</w:t>
      </w:r>
    </w:p>
    <w:p>
      <w:pPr>
        <w:spacing w:after="0" w:line="237" w:lineRule="exact"/>
        <w:rPr>
          <w:sz w:val="20"/>
          <w:szCs w:val="20"/>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is Broadridge Corporate Issuer Solutions, Inc.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symbol "VCYT".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43"/>
        <w:spacing w:after="0" w:line="270"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79" w:lineRule="exact"/>
        <w:rPr>
          <w:sz w:val="20"/>
          <w:szCs w:val="20"/>
          <w:color w:val="auto"/>
        </w:rPr>
      </w:pPr>
    </w:p>
    <w:p>
      <w:pPr>
        <w:jc w:val="both"/>
        <w:ind w:firstLine="497"/>
        <w:spacing w:after="0" w:line="263" w:lineRule="auto"/>
        <w:rPr>
          <w:sz w:val="20"/>
          <w:szCs w:val="20"/>
          <w:color w:val="auto"/>
        </w:rPr>
      </w:pPr>
      <w:r>
        <w:rPr>
          <w:rFonts w:ascii="Arial" w:cs="Arial" w:eastAsia="Arial" w:hAnsi="Arial"/>
          <w:sz w:val="17"/>
          <w:szCs w:val="17"/>
          <w:color w:val="auto"/>
        </w:rPr>
        <w:t>Based on the number of shares outstanding as of October 1, 2013, upon the closing of this offering a total of 20,689,890 shares of common stock will be outstanding, assuming that there are no exercises of options or warrants after October 1, 2013 and no exercise of the underwriters' over-allotment option. Of these shares, all 4,700,000 shares of common stock sold in this offering, and any shares sold upon exercise of the underwriters' over-allotment option, will be freely tradable in the public market without restriction or further registration under the Securities Act of 1933, unless these shares are held by "affiliates," as that term is defined in Rule 144 under the Securities Act.</w:t>
      </w:r>
    </w:p>
    <w:p>
      <w:pPr>
        <w:spacing w:after="0" w:line="187"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The remaining 15,989,890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9"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Subject to the lock-up agreements described below and the provisions of Rules 144 and 701, these restricted securities will be available for sale in the public market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7460" w:type="dxa"/>
            <w:vAlign w:val="bottom"/>
          </w:tcPr>
          <w:p>
            <w:pPr>
              <w:spacing w:after="0"/>
              <w:rPr>
                <w:sz w:val="13"/>
                <w:szCs w:val="13"/>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98"/>
              </w:rPr>
              <w:t>Number of Shares</w:t>
            </w:r>
          </w:p>
        </w:tc>
        <w:tc>
          <w:tcPr>
            <w:tcW w:w="140" w:type="dxa"/>
            <w:vAlign w:val="bottom"/>
          </w:tcPr>
          <w:p>
            <w:pPr>
              <w:spacing w:after="0"/>
              <w:rPr>
                <w:sz w:val="13"/>
                <w:szCs w:val="13"/>
                <w:color w:val="auto"/>
              </w:rPr>
            </w:pPr>
          </w:p>
        </w:tc>
      </w:tr>
      <w:tr>
        <w:trPr>
          <w:trHeight w:val="203"/>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On the date of this prospectus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Between 90 and 180 days after the date of this prospectus</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At various times beginning more than 180 days after the date of this prospectus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15,989,890</w:t>
            </w:r>
          </w:p>
        </w:tc>
      </w:tr>
    </w:tbl>
    <w:p>
      <w:pPr>
        <w:spacing w:after="0" w:line="201"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In addition, of the 2,355,579 shares of our common stock that were subject to options outstanding as of October 1, 2013, options to purchase 1,681,355 shares of common stock were vested as of October 1, 2013 and will be eligible for sale at various times beginning more than 180 days following the effective date of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jc w:val="both"/>
        <w:ind w:firstLine="354"/>
        <w:spacing w:after="0" w:line="283" w:lineRule="auto"/>
        <w:rPr>
          <w:sz w:val="20"/>
          <w:szCs w:val="20"/>
          <w:color w:val="auto"/>
        </w:rPr>
      </w:pPr>
      <w:r>
        <w:rPr>
          <w:rFonts w:ascii="Arial" w:cs="Arial" w:eastAsia="Arial" w:hAnsi="Arial"/>
          <w:sz w:val="16"/>
          <w:szCs w:val="16"/>
          <w:color w:val="auto"/>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7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three months;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92"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1% of the number of shares of our common stock then-outstanding, which will equal approximately 206,898 shares immediately after this offering; and</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during the four calendar weeks preceding the date of filing of a notice on Form 144 with respect to the sale.</w:t>
      </w:r>
    </w:p>
    <w:p>
      <w:pPr>
        <w:spacing w:after="0" w:line="170"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firstLine="383"/>
        <w:spacing w:after="0" w:line="261" w:lineRule="auto"/>
        <w:rPr>
          <w:sz w:val="20"/>
          <w:szCs w:val="20"/>
          <w:color w:val="auto"/>
        </w:rPr>
      </w:pPr>
      <w:r>
        <w:rPr>
          <w:rFonts w:ascii="Arial" w:cs="Arial" w:eastAsia="Arial" w:hAnsi="Arial"/>
          <w:sz w:val="17"/>
          <w:szCs w:val="17"/>
          <w:color w:val="auto"/>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or such other securities,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After this offering, the holders of 14,997,312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Plans</w:t>
      </w:r>
    </w:p>
    <w:p>
      <w:pPr>
        <w:spacing w:after="0" w:line="22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UNITED STATES TAX CONSIDERATIONS TO NON-U.S. HOLDERS</w:t>
      </w:r>
    </w:p>
    <w:p>
      <w:pPr>
        <w:spacing w:after="0" w:line="228" w:lineRule="exact"/>
        <w:rPr>
          <w:sz w:val="20"/>
          <w:szCs w:val="20"/>
          <w:color w:val="auto"/>
        </w:rPr>
      </w:pPr>
    </w:p>
    <w:p>
      <w:pPr>
        <w:jc w:val="both"/>
        <w:ind w:firstLine="344"/>
        <w:spacing w:after="0" w:line="303" w:lineRule="auto"/>
        <w:rPr>
          <w:sz w:val="20"/>
          <w:szCs w:val="20"/>
          <w:color w:val="auto"/>
        </w:rPr>
      </w:pPr>
      <w:r>
        <w:rPr>
          <w:rFonts w:ascii="Arial" w:cs="Arial" w:eastAsia="Arial" w:hAnsi="Arial"/>
          <w:sz w:val="15"/>
          <w:szCs w:val="15"/>
          <w:color w:val="auto"/>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6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 each as defined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partnerships or entities classified as partnerships for U.S. federal income tax purposes, or any investors in such entities;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who acquire our common stock through the exercise of employee stock options or otherwise as compensation for services;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Internal Revenue Code.</w:t>
      </w:r>
    </w:p>
    <w:p>
      <w:pPr>
        <w:spacing w:after="0" w:line="224"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357"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 under the laws of any U.S. state or local or any non-U.S. or other taxing jurisdiction or under any applicable tax treaty.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firstLine="408"/>
        <w:spacing w:after="0" w:line="282"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(other than a partnership or entity classified as a partnership for U.S. federal income tax purposes) that for U.S. federal income tax purposes is not:</w:t>
      </w:r>
    </w:p>
    <w:p>
      <w:pPr>
        <w:spacing w:after="0" w:line="183"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U.S. or under the laws of the U.S. or any political subdivision thereof;</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70"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63"/>
        <w:spacing w:after="0" w:line="311" w:lineRule="auto"/>
        <w:rPr>
          <w:sz w:val="20"/>
          <w:szCs w:val="20"/>
          <w:color w:val="auto"/>
        </w:rPr>
      </w:pPr>
      <w:r>
        <w:rPr>
          <w:rFonts w:ascii="Arial" w:cs="Arial" w:eastAsia="Arial" w:hAnsi="Arial"/>
          <w:sz w:val="15"/>
          <w:szCs w:val="15"/>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55"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85"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7"/>
          <w:szCs w:val="17"/>
          <w:color w:val="auto"/>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91"/>
        <w:spacing w:after="0" w:line="28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timely file an appropriate claim for refund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firstLine="468"/>
        <w:spacing w:after="0" w:line="282" w:lineRule="auto"/>
        <w:rPr>
          <w:sz w:val="20"/>
          <w:szCs w:val="20"/>
          <w:color w:val="auto"/>
        </w:rPr>
      </w:pPr>
      <w:r>
        <w:rPr>
          <w:rFonts w:ascii="Arial" w:cs="Arial" w:eastAsia="Arial" w:hAnsi="Arial"/>
          <w:sz w:val="17"/>
          <w:szCs w:val="17"/>
          <w:color w:val="auto"/>
        </w:rPr>
        <w:t>Subject to the discussion below under "Backup Withholding and Information Reporting" and "Foreign Account Tax Compliance," you generally will not be required to pay U.S. federal income tax on any gain realized upon the sale or other disposition of our common stock unless:</w:t>
      </w:r>
    </w:p>
    <w:p>
      <w:pPr>
        <w:spacing w:after="0" w:line="183" w:lineRule="exact"/>
        <w:rPr>
          <w:sz w:val="20"/>
          <w:szCs w:val="20"/>
          <w:color w:val="auto"/>
        </w:rPr>
      </w:pPr>
    </w:p>
    <w:p>
      <w:pPr>
        <w:jc w:val="both"/>
        <w:ind w:left="1060" w:hanging="531"/>
        <w:spacing w:after="0" w:line="26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214"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87"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9"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5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w:t>
      </w:r>
    </w:p>
    <w:p>
      <w:pPr>
        <w:spacing w:after="0" w:line="22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23"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UNDERWRITERS</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76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Number of Shares</w:t>
            </w:r>
          </w:p>
        </w:tc>
        <w:tc>
          <w:tcPr>
            <w:tcW w:w="20" w:type="dxa"/>
            <w:vAlign w:val="bottom"/>
          </w:tcPr>
          <w:p>
            <w:pPr>
              <w:spacing w:after="0"/>
              <w:rPr>
                <w:sz w:val="13"/>
                <w:szCs w:val="13"/>
                <w:color w:val="auto"/>
              </w:rPr>
            </w:pPr>
          </w:p>
        </w:tc>
      </w:tr>
      <w:tr>
        <w:trPr>
          <w:trHeight w:val="20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Morgan Stanley &amp; Co. LLC</w:t>
            </w: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Leerink Swann LLC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William Blair &amp; Company, L.L.C.</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Cowen and Company, LLC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4,700,000</w:t>
            </w:r>
          </w:p>
        </w:tc>
        <w:tc>
          <w:tcPr>
            <w:tcW w:w="20" w:type="dxa"/>
            <w:vAlign w:val="bottom"/>
          </w:tcPr>
          <w:p>
            <w:pPr>
              <w:spacing w:after="0"/>
              <w:rPr>
                <w:sz w:val="17"/>
                <w:szCs w:val="17"/>
                <w:color w:val="auto"/>
              </w:rPr>
            </w:pPr>
          </w:p>
        </w:tc>
      </w:tr>
      <w:tr>
        <w:trPr>
          <w:trHeight w:val="26"/>
        </w:trPr>
        <w:tc>
          <w:tcPr>
            <w:tcW w:w="3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9"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705,000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jc w:val="both"/>
        <w:ind w:firstLine="450"/>
        <w:spacing w:after="0" w:line="352"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705,000 shares of common stock.</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2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Per Share</w:t>
            </w:r>
          </w:p>
        </w:tc>
        <w:tc>
          <w:tcPr>
            <w:tcW w:w="16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4"/>
          </w:tcPr>
          <w:p>
            <w:pPr>
              <w:jc w:val="right"/>
              <w:ind w:right="9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6"/>
              </w:rPr>
              <w:t>No Exercise</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99"/>
              </w:rPr>
              <w:t>Full Exercise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7"/>
                <w:szCs w:val="17"/>
                <w:color w:val="auto"/>
              </w:rPr>
              <w:t>Underwriting discounts and commissions to be paid by us</w:t>
            </w:r>
          </w:p>
        </w:tc>
        <w:tc>
          <w:tcPr>
            <w:tcW w:w="700" w:type="dxa"/>
            <w:vAlign w:val="bottom"/>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780" w:type="dxa"/>
            <w:vAlign w:val="bottom"/>
          </w:tcPr>
          <w:p>
            <w:pPr>
              <w:jc w:val="right"/>
              <w:ind w:right="600"/>
              <w:spacing w:after="0"/>
              <w:rPr>
                <w:sz w:val="20"/>
                <w:szCs w:val="20"/>
                <w:color w:val="auto"/>
              </w:rPr>
            </w:pPr>
            <w:r>
              <w:rPr>
                <w:rFonts w:ascii="Arial" w:cs="Arial" w:eastAsia="Arial" w:hAnsi="Arial"/>
                <w:sz w:val="17"/>
                <w:szCs w:val="17"/>
                <w:color w:val="auto"/>
                <w:w w:val="84"/>
              </w:rPr>
              <w:t>$</w:t>
            </w:r>
          </w:p>
        </w:tc>
        <w:tc>
          <w:tcPr>
            <w:tcW w:w="1100" w:type="dxa"/>
            <w:vAlign w:val="bottom"/>
            <w:gridSpan w:val="3"/>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8"/>
        <w:spacing w:after="0" w:line="282"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$2,500,000. We have agreed to reimburse the underwriters for certain expenses in an amount up to $25,000.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trading symbol "VCYT".</w:t>
      </w:r>
    </w:p>
    <w:p>
      <w:pPr>
        <w:spacing w:after="0" w:line="224"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7"/>
          <w:szCs w:val="17"/>
          <w:color w:val="auto"/>
        </w:rPr>
        <w:t>We and all directors and officers and the holders of substantially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92" w:lineRule="exact"/>
        <w:rPr>
          <w:sz w:val="20"/>
          <w:szCs w:val="20"/>
          <w:color w:val="auto"/>
        </w:rPr>
      </w:pPr>
    </w:p>
    <w:p>
      <w:pPr>
        <w:jc w:val="both"/>
        <w:ind w:left="1060" w:hanging="531"/>
        <w:spacing w:after="0" w:line="270"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common stock.</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237"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sale of shares of common stock pursuant to the underwriting agreement;</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transactions by a securityholder relating to shares of common stock or other securities acquired in open market transactions after the closing of our initial public offering, provided that no filing under Section 16(a) of the Exchange Act is required or voluntarily made in connection with subsequent sales of common stock or other securities acquired in such open market transactions;</w:t>
      </w:r>
    </w:p>
    <w:p>
      <w:pPr>
        <w:spacing w:after="0" w:line="192" w:lineRule="exact"/>
        <w:rPr>
          <w:rFonts w:ascii="Arial" w:cs="Arial" w:eastAsia="Arial" w:hAnsi="Arial"/>
          <w:sz w:val="17"/>
          <w:szCs w:val="17"/>
          <w:color w:val="auto"/>
        </w:rPr>
      </w:pPr>
    </w:p>
    <w:p>
      <w:pPr>
        <w:jc w:val="both"/>
        <w:ind w:left="1060" w:hanging="531"/>
        <w:spacing w:after="0" w:line="293" w:lineRule="auto"/>
        <w:tabs>
          <w:tab w:leader="none" w:pos="10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transfers of shares of common stock or any securities convertible into or exercisable or exchangeable for common stock by a securityholder (i) as a bona fide gift, will or intestacy , (ii) to an immediate family member or a trust for the direct or indirect benefit of the director, officer, stockholder or such immediate family member, or (iii) transfers or distributions of shares of common stock or any securities convertible into or exercisable or exchangeable for common stock by a (i) stockholder that is a corporation, partnership, or other business entity (A) to another corporation, partnership, or other business entity that controls, is controlled by or managed by or is under common control with the director, officer, or other stockholder or</w:t>
      </w:r>
    </w:p>
    <w:p>
      <w:pPr>
        <w:spacing w:after="0" w:line="1" w:lineRule="exact"/>
        <w:rPr>
          <w:rFonts w:ascii="Arial" w:cs="Arial" w:eastAsia="Arial" w:hAnsi="Arial"/>
          <w:sz w:val="15"/>
          <w:szCs w:val="15"/>
          <w:color w:val="auto"/>
        </w:rPr>
      </w:pPr>
    </w:p>
    <w:p>
      <w:pPr>
        <w:jc w:val="both"/>
        <w:ind w:left="1060"/>
        <w:spacing w:after="0" w:line="261" w:lineRule="auto"/>
        <w:rPr>
          <w:rFonts w:ascii="Arial" w:cs="Arial" w:eastAsia="Arial" w:hAnsi="Arial"/>
          <w:sz w:val="15"/>
          <w:szCs w:val="15"/>
          <w:color w:val="auto"/>
        </w:rPr>
      </w:pPr>
      <w:r>
        <w:rPr>
          <w:rFonts w:ascii="Arial" w:cs="Arial" w:eastAsia="Arial" w:hAnsi="Arial"/>
          <w:sz w:val="17"/>
          <w:szCs w:val="17"/>
          <w:color w:val="auto"/>
        </w:rPr>
        <w:t>(B) as part of a distribution to an equity holder of such stockholder or to the estate of any such equity holder, or (ii) in the case of a stockholder which is a trust, transfers of shares of common stock or any securities convertible into or exercisable or exchangeable for common stock to a trustee or beneficiary of the trust; provided that in each case, the transferee, donee or distributee signs and delivers a lock-up agreement and no filing under Section 16(a) of the Exchange Act reporting a reduction in beneficial ownership of shares of common stock is required or voluntarily made during the restricted period;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352" w:lineRule="auto"/>
        <w:tabs>
          <w:tab w:leader="none" w:pos="10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issuance of shares of common stock upon the exercise of options outstanding on the date hereof or granted under our equity incentive plans in effect on the date hereof, provided that the recipient of such shares of common stock delivered upon such exercise signs and delivers a lock-up agreement;</w:t>
      </w:r>
    </w:p>
    <w:p>
      <w:pPr>
        <w:spacing w:after="0" w:line="149" w:lineRule="exact"/>
        <w:rPr>
          <w:rFonts w:ascii="Arial" w:cs="Arial" w:eastAsia="Arial" w:hAnsi="Arial"/>
          <w:sz w:val="15"/>
          <w:szCs w:val="15"/>
          <w:color w:val="auto"/>
        </w:rPr>
      </w:pPr>
    </w:p>
    <w:p>
      <w:pPr>
        <w:jc w:val="both"/>
        <w:ind w:left="1060" w:hanging="531"/>
        <w:spacing w:after="0" w:line="265"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such plan does not provide for the transfer of common stock during the restricted period and to the extenta public announcement or public filing regarding the establishment of such plan is required or voluntarily made, such announcement or filing shall include a statement to the effect that no transfer of common stock may be made under such plan during the restricted period;</w:t>
      </w:r>
    </w:p>
    <w:p>
      <w:pPr>
        <w:spacing w:after="0" w:line="198"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transfers by a securityholder to us of shares of our common stock or other securities convertible into our common stock upon a vesting event of our securities or the exercise of options to purchase securities of the Company, in each case on a cashless or net-exercise basis or to cover tax withholding obligation in connection with such vesting or exercise; provided that no filing under Section 16(a) of the Exchange Act reporting a disposition or other public announcement shall be required or made voluntarily in connection with such vesting or exercise;</w:t>
      </w:r>
    </w:p>
    <w:p>
      <w:pPr>
        <w:spacing w:after="0" w:line="18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shares of our common stock pursuant to agreements under which we have the option to repurchase such shares or a right of first refusal with respect to transfers of such shares;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transfer of shares of our common stock convertible into shares of our common stock pursuant to a bona fide third party tender offer, merger or other similar transaction made to all holders of shares of our common stock involving a change of control of us;</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each transferee will execute and deliver a lock-up agreement and no filing under Section 16(a) shall be required or shall be voluntarily made during the restricted period;</w:t>
      </w:r>
    </w:p>
    <w:p>
      <w:pPr>
        <w:spacing w:after="0" w:line="192"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sale or issuance of or entry into an agreement providing for the issuance of shares of common stock or other securities convertible into or exercisable for shares of common stock in connection with acquisitions, joint ventures, commercial relationships or other strategic transactions, in an aggregate number of shares not to exceed 5% of the total number of shares of common stock outstanding immediately following the closing of the offering, provided that each recipient of these shares of common stock or other securities executes and delivers a lock-up agreement; or</w:t>
      </w:r>
    </w:p>
    <w:p>
      <w:pPr>
        <w:spacing w:after="0" w:line="194" w:lineRule="exact"/>
        <w:rPr>
          <w:rFonts w:ascii="Arial" w:cs="Arial" w:eastAsia="Arial" w:hAnsi="Arial"/>
          <w:sz w:val="16"/>
          <w:szCs w:val="16"/>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filing by us of a registration statement on Form S-8 in respect of our employee benefit plans in effect on the date of this prospectus.</w:t>
      </w:r>
    </w:p>
    <w:p>
      <w:pPr>
        <w:spacing w:after="0" w:line="224" w:lineRule="exact"/>
        <w:rPr>
          <w:sz w:val="20"/>
          <w:szCs w:val="20"/>
          <w:color w:val="auto"/>
        </w:rPr>
      </w:pPr>
    </w:p>
    <w:p>
      <w:pPr>
        <w:jc w:val="both"/>
        <w:ind w:firstLine="528"/>
        <w:spacing w:after="0" w:line="282" w:lineRule="auto"/>
        <w:rPr>
          <w:sz w:val="20"/>
          <w:szCs w:val="20"/>
          <w:color w:val="auto"/>
        </w:rPr>
      </w:pPr>
      <w:r>
        <w:rPr>
          <w:rFonts w:ascii="Arial" w:cs="Arial" w:eastAsia="Arial" w:hAnsi="Arial"/>
          <w:sz w:val="17"/>
          <w:szCs w:val="17"/>
          <w:color w:val="auto"/>
        </w:rPr>
        <w:t>Morgan Stanley &amp; Co. LLC and Leerink Swann LLC,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24"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85" w:lineRule="exact"/>
        <w:rPr>
          <w:sz w:val="20"/>
          <w:szCs w:val="20"/>
          <w:color w:val="auto"/>
        </w:rPr>
      </w:pPr>
    </w:p>
    <w:p>
      <w:pPr>
        <w:jc w:val="both"/>
        <w:ind w:firstLine="452"/>
        <w:spacing w:after="0" w:line="26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54"/>
        <w:spacing w:after="0" w:line="270"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exemptions under the Prospectus Directive, if they have been implemented in that Relevant Member State:</w:t>
      </w:r>
    </w:p>
    <w:p>
      <w:pPr>
        <w:spacing w:after="0" w:line="237"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37" w:lineRule="exact"/>
        <w:rPr>
          <w:sz w:val="20"/>
          <w:szCs w:val="20"/>
          <w:color w:val="auto"/>
        </w:rPr>
      </w:pPr>
    </w:p>
    <w:p>
      <w:pPr>
        <w:jc w:val="both"/>
        <w:ind w:left="1060" w:hanging="531"/>
        <w:spacing w:after="0" w:line="322" w:lineRule="auto"/>
        <w:tabs>
          <w:tab w:leader="none" w:pos="10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7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Pillsbury Winthrop Shaw Pittman LLP, San Francisco and Palo Alto, California. Simpson Thacher &amp; Bartlett LLP, Palo Alto, California is representing the underwriters in this offering.</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The financial statements as of December 31, 2011 and 2012 and for each of the two years in the period ended December 31, 2012 included in this prospectus have been so included in reliance on the report (which contains an explanatory paragraph relating to the Company's experience of recurring operating losses and negative cash flows from operations as described in Note 2 to the financial statements) of PricewaterhouseCoopers LLP, an independent registered public accounting firm, given on the authority of said firm as experts in auditing and accounting.</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jc w:val="both"/>
        <w:ind w:firstLine="363"/>
        <w:spacing w:after="0" w:line="27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1" w:lineRule="exact"/>
        <w:rPr>
          <w:sz w:val="20"/>
          <w:szCs w:val="20"/>
          <w:color w:val="auto"/>
        </w:rPr>
      </w:pPr>
    </w:p>
    <w:p>
      <w:pPr>
        <w:jc w:val="both"/>
        <w:ind w:firstLine="531"/>
        <w:spacing w:after="0" w:line="294" w:lineRule="auto"/>
        <w:rPr>
          <w:sz w:val="20"/>
          <w:szCs w:val="20"/>
          <w:color w:val="auto"/>
        </w:rPr>
      </w:pPr>
      <w:r>
        <w:rPr>
          <w:rFonts w:ascii="Arial" w:cs="Arial" w:eastAsia="Arial" w:hAnsi="Arial"/>
          <w:sz w:val="16"/>
          <w:szCs w:val="16"/>
          <w:color w:val="auto"/>
        </w:rPr>
        <w:t>Upon the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REFERENCES</w:t>
      </w:r>
    </w:p>
    <w:p>
      <w:pPr>
        <w:spacing w:after="0" w:line="241" w:lineRule="exact"/>
        <w:rPr>
          <w:sz w:val="20"/>
          <w:szCs w:val="20"/>
          <w:color w:val="auto"/>
        </w:rPr>
      </w:pPr>
    </w:p>
    <w:p>
      <w:pPr>
        <w:ind w:left="520" w:hanging="515"/>
        <w:spacing w:after="0" w:line="282"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Molecular Classification of Thyroid Nodules Using High-Dimensionality Genomic Data,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xml:space="preserve"> (December 2010).</w:t>
      </w:r>
    </w:p>
    <w:p>
      <w:pPr>
        <w:spacing w:after="0" w:line="196"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An Official ATS / ERS / JRS / ALAT Statement: Idiopathic Pulmonary Fibrosis Evidence-based Guidelines for Diagnosis and Management, </w:t>
      </w:r>
      <w:r>
        <w:rPr>
          <w:rFonts w:ascii="Arial" w:cs="Arial" w:eastAsia="Arial" w:hAnsi="Arial"/>
          <w:sz w:val="17"/>
          <w:szCs w:val="17"/>
          <w:i w:val="1"/>
          <w:iCs w:val="1"/>
          <w:color w:val="auto"/>
        </w:rPr>
        <w:t>American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Respiratory and Critical Care Medicine </w:t>
      </w:r>
      <w:r>
        <w:rPr>
          <w:rFonts w:ascii="Arial" w:cs="Arial" w:eastAsia="Arial" w:hAnsi="Arial"/>
          <w:sz w:val="17"/>
          <w:szCs w:val="17"/>
          <w:color w:val="auto"/>
        </w:rPr>
        <w:t>(March 2011).</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Clinical Practice Impact of a Novel mRNA-based Gene Expression Classifier in Thyroid Nodules with Indeterminate Fine Needle Aspiration Cytopathology, </w:t>
      </w:r>
      <w:r>
        <w:rPr>
          <w:rFonts w:ascii="Arial" w:cs="Arial" w:eastAsia="Arial" w:hAnsi="Arial"/>
          <w:sz w:val="17"/>
          <w:szCs w:val="17"/>
          <w:i w:val="1"/>
          <w:iCs w:val="1"/>
          <w:color w:val="auto"/>
        </w:rPr>
        <w:t xml:space="preserve">American Thyroid Association (Abstract Poster Presentation) </w:t>
      </w:r>
      <w:r>
        <w:rPr>
          <w:rFonts w:ascii="Arial" w:cs="Arial" w:eastAsia="Arial" w:hAnsi="Arial"/>
          <w:sz w:val="17"/>
          <w:szCs w:val="17"/>
          <w:color w:val="auto"/>
        </w:rPr>
        <w:t>(October 2011).</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Cost-Effectiveness of a Novel Molecular Test for Cytologically Indeterminate Thyroid Nodules, Li et al. </w:t>
      </w:r>
      <w:r>
        <w:rPr>
          <w:rFonts w:ascii="Arial" w:cs="Arial" w:eastAsia="Arial" w:hAnsi="Arial"/>
          <w:sz w:val="17"/>
          <w:szCs w:val="17"/>
          <w:i w:val="1"/>
          <w:iCs w:val="1"/>
          <w:color w:val="auto"/>
        </w:rPr>
        <w:t>J Clin Endocrinol Metab</w:t>
      </w:r>
      <w:r>
        <w:rPr>
          <w:rFonts w:ascii="Arial" w:cs="Arial" w:eastAsia="Arial" w:hAnsi="Arial"/>
          <w:sz w:val="17"/>
          <w:szCs w:val="17"/>
          <w:color w:val="auto"/>
        </w:rPr>
        <w:t>, November 2011, 96(11):0000-0000 © 2011 The Endocrine Society.</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Preoperative Diagnosis of Benign Thyroid Nodules with Indeterminate Cytology,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(August 2012).</w:t>
      </w:r>
    </w:p>
    <w:p>
      <w:pPr>
        <w:spacing w:after="0" w:line="237"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Impact of Benign Gene Expression Classifier Test Results on the Endocrinologist-Patient Decision to Operate on Patients with Thyroid Nodules with Indeterminate Fine-Needle Aspiration Cytopathology,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(October 2012).</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Use of the Afirma Gene Expression Classifier for Preoperative Identification of Benign Thyroid Nodules with Indeterminate Fine Needle Aspiration Cytopathology, </w:t>
      </w:r>
      <w:r>
        <w:rPr>
          <w:rFonts w:ascii="Arial" w:cs="Arial" w:eastAsia="Arial" w:hAnsi="Arial"/>
          <w:sz w:val="17"/>
          <w:szCs w:val="17"/>
          <w:i w:val="1"/>
          <w:iCs w:val="1"/>
          <w:color w:val="auto"/>
        </w:rPr>
        <w:t>PloS Currents: Evidence on Genomic Tests</w:t>
      </w:r>
      <w:r>
        <w:rPr>
          <w:rFonts w:ascii="Arial" w:cs="Arial" w:eastAsia="Arial" w:hAnsi="Arial"/>
          <w:sz w:val="17"/>
          <w:szCs w:val="17"/>
          <w:color w:val="auto"/>
        </w:rPr>
        <w:t xml:space="preserve"> (February 2013).</w:t>
      </w:r>
    </w:p>
    <w:p>
      <w:pPr>
        <w:spacing w:after="0" w:line="196"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"Increases in thyroid nodule fine needle aspirations, surgeries, and diagnoses of thyroid cancer in the United States" presented at the American Association of Endocrine Surgeons (Abstract Presentation) (April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prospectus:</w:t>
      </w:r>
    </w:p>
    <w:p>
      <w:pPr>
        <w:spacing w:after="0" w:line="237" w:lineRule="exact"/>
        <w:rPr>
          <w:sz w:val="20"/>
          <w:szCs w:val="20"/>
          <w:color w:val="auto"/>
        </w:rPr>
      </w:pPr>
    </w:p>
    <w:p>
      <w:pPr>
        <w:ind w:left="520" w:hanging="515"/>
        <w:spacing w:after="0"/>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references to the American Cancer Society refer to American Cancer Society. </w:t>
      </w:r>
      <w:r>
        <w:rPr>
          <w:rFonts w:ascii="Arial" w:cs="Arial" w:eastAsia="Arial" w:hAnsi="Arial"/>
          <w:sz w:val="16"/>
          <w:szCs w:val="16"/>
          <w:i w:val="1"/>
          <w:iCs w:val="1"/>
          <w:color w:val="auto"/>
        </w:rPr>
        <w:t>Cancer Facts &amp; Figures 2012.</w:t>
      </w:r>
      <w:r>
        <w:rPr>
          <w:rFonts w:ascii="Arial" w:cs="Arial" w:eastAsia="Arial" w:hAnsi="Arial"/>
          <w:sz w:val="16"/>
          <w:szCs w:val="16"/>
          <w:color w:val="auto"/>
        </w:rPr>
        <w:t xml:space="preserve"> Atlanta, </w:t>
      </w:r>
      <w:r>
        <w:rPr>
          <w:rFonts w:ascii="Arial" w:cs="Arial" w:eastAsia="Arial" w:hAnsi="Arial"/>
          <w:sz w:val="16"/>
          <w:szCs w:val="16"/>
          <w:i w:val="1"/>
          <w:iCs w:val="1"/>
          <w:color w:val="auto"/>
        </w:rPr>
        <w:t>American Cancer Society</w:t>
      </w:r>
      <w:r>
        <w:rPr>
          <w:rFonts w:ascii="Arial" w:cs="Arial" w:eastAsia="Arial" w:hAnsi="Arial"/>
          <w:sz w:val="16"/>
          <w:szCs w:val="16"/>
          <w:color w:val="auto"/>
        </w:rPr>
        <w:t>; 2012.</w:t>
      </w:r>
    </w:p>
    <w:p>
      <w:pPr>
        <w:spacing w:after="0" w:line="248" w:lineRule="exact"/>
        <w:rPr>
          <w:rFonts w:ascii="Arial" w:cs="Arial" w:eastAsia="Arial" w:hAnsi="Arial"/>
          <w:sz w:val="16"/>
          <w:szCs w:val="16"/>
          <w:color w:val="auto"/>
        </w:rPr>
      </w:pPr>
    </w:p>
    <w:p>
      <w:pPr>
        <w:ind w:left="520" w:hanging="515"/>
        <w:spacing w:after="0" w:line="282" w:lineRule="auto"/>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references to the ATA Guidelines refer to Revised American Thyroid Association Management Guidelines for Patients with Thyroid Nodules and Differentiated Thyroid Cancer,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(November 2009).</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references to the 2011 NCCN Guidelines refer to NCCN Clinical Practice Guidelines in Oncology (NCCN Guidelines) Thyroid Carcinoma, Version 3.2011.</w:t>
      </w:r>
    </w:p>
    <w:p>
      <w:pPr>
        <w:spacing w:after="0" w:line="248" w:lineRule="exact"/>
        <w:rPr>
          <w:rFonts w:ascii="Arial" w:cs="Arial" w:eastAsia="Arial" w:hAnsi="Arial"/>
          <w:sz w:val="16"/>
          <w:szCs w:val="16"/>
          <w:color w:val="auto"/>
        </w:rPr>
      </w:pPr>
    </w:p>
    <w:p>
      <w:pPr>
        <w:ind w:left="520" w:hanging="515"/>
        <w:spacing w:after="0"/>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references to the 2013 NCCN Guidelines refer to NCCN Clinical Practice Guidelines in Oncology (NCCN Guidelines) Thyroid Carcinoma, Version 2.2013.</w:t>
      </w:r>
    </w:p>
    <w:p>
      <w:pPr>
        <w:spacing w:after="0" w:line="248" w:lineRule="exact"/>
        <w:rPr>
          <w:rFonts w:ascii="Arial" w:cs="Arial" w:eastAsia="Arial" w:hAnsi="Arial"/>
          <w:sz w:val="16"/>
          <w:szCs w:val="16"/>
          <w:color w:val="auto"/>
        </w:rPr>
      </w:pPr>
    </w:p>
    <w:p>
      <w:pPr>
        <w:ind w:left="520" w:hanging="515"/>
        <w:spacing w:after="0"/>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references to UpToDate refer to Diagnostic Approach to and Treatment of Thyroid Nodules, </w:t>
      </w:r>
      <w:r>
        <w:rPr>
          <w:rFonts w:ascii="Arial" w:cs="Arial" w:eastAsia="Arial" w:hAnsi="Arial"/>
          <w:sz w:val="17"/>
          <w:szCs w:val="17"/>
          <w:i w:val="1"/>
          <w:iCs w:val="1"/>
          <w:color w:val="auto"/>
        </w:rPr>
        <w:t>www.uptodate.com</w:t>
      </w:r>
      <w:r>
        <w:rPr>
          <w:rFonts w:ascii="Arial" w:cs="Arial" w:eastAsia="Arial" w:hAnsi="Arial"/>
          <w:sz w:val="17"/>
          <w:szCs w:val="17"/>
          <w:color w:val="auto"/>
        </w:rPr>
        <w:t xml:space="preserve"> (February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95"/>
        </w:trPr>
        <w:tc>
          <w:tcPr>
            <w:tcW w:w="8620" w:type="dxa"/>
            <w:vAlign w:val="bottom"/>
            <w:gridSpan w:val="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gridSpan w:val="3"/>
          </w:tcPr>
          <w:p>
            <w:pPr>
              <w:jc w:val="center"/>
              <w:ind w:right="1820"/>
              <w:spacing w:after="0"/>
              <w:rPr>
                <w:sz w:val="20"/>
                <w:szCs w:val="20"/>
                <w:color w:val="auto"/>
              </w:rPr>
            </w:pPr>
            <w:r>
              <w:rPr>
                <w:rFonts w:ascii="Arial" w:cs="Arial" w:eastAsia="Arial" w:hAnsi="Arial"/>
                <w:sz w:val="17"/>
                <w:szCs w:val="17"/>
                <w:b w:val="1"/>
                <w:bCs w:val="1"/>
                <w:color w:val="auto"/>
              </w:rPr>
              <w:t>VERACYTE, INC.</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w w:val="90"/>
              </w:rPr>
              <w:t>Index to Audited Financial Statements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4"/>
          </w:tcPr>
          <w:p>
            <w:pPr>
              <w:jc w:val="center"/>
              <w:ind w:right="1020"/>
              <w:spacing w:after="0"/>
              <w:rPr>
                <w:sz w:val="20"/>
                <w:szCs w:val="20"/>
                <w:color w:val="auto"/>
              </w:rPr>
            </w:pPr>
            <w:r>
              <w:rPr>
                <w:rFonts w:ascii="Arial" w:cs="Arial" w:eastAsia="Arial" w:hAnsi="Arial"/>
                <w:sz w:val="17"/>
                <w:szCs w:val="17"/>
                <w:b w:val="1"/>
                <w:bCs w:val="1"/>
                <w:color w:val="auto"/>
                <w:w w:val="89"/>
              </w:rPr>
              <w:t>Years Ended December 31, 2011 and 2012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60" w:type="dxa"/>
            <w:vAlign w:val="bottom"/>
            <w:gridSpan w:val="8"/>
          </w:tcPr>
          <w:p>
            <w:pPr>
              <w:spacing w:after="0"/>
              <w:rPr>
                <w:rFonts w:ascii="Arial" w:cs="Arial" w:eastAsia="Arial" w:hAnsi="Arial"/>
                <w:sz w:val="17"/>
                <w:szCs w:val="17"/>
                <w:color w:val="0000EE"/>
              </w:rPr>
            </w:pPr>
            <w:hyperlink w:anchor="page142">
              <w:r>
                <w:rPr>
                  <w:rFonts w:ascii="Arial" w:cs="Arial" w:eastAsia="Arial" w:hAnsi="Arial"/>
                  <w:sz w:val="17"/>
                  <w:szCs w:val="17"/>
                  <w:color w:val="0000EE"/>
                </w:rPr>
                <w:t>Report of Independent Registered Public Accounting Firm</w:t>
              </w:r>
            </w:hyperlink>
          </w:p>
        </w:tc>
        <w:tc>
          <w:tcPr>
            <w:tcW w:w="2800" w:type="dxa"/>
            <w:vAlign w:val="bottom"/>
            <w:gridSpan w:val="3"/>
          </w:tcPr>
          <w:p>
            <w:pPr>
              <w:ind w:left="1420"/>
              <w:spacing w:after="0"/>
              <w:rPr>
                <w:rFonts w:ascii="Arial" w:cs="Arial" w:eastAsia="Arial" w:hAnsi="Arial"/>
                <w:sz w:val="17"/>
                <w:szCs w:val="17"/>
                <w:color w:val="0000EE"/>
              </w:rPr>
            </w:pPr>
            <w:hyperlink w:anchor="page142">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80" w:type="dxa"/>
            <w:vAlign w:val="bottom"/>
            <w:gridSpan w:val="6"/>
          </w:tcPr>
          <w:p>
            <w:pPr>
              <w:spacing w:after="0" w:line="189" w:lineRule="exact"/>
              <w:rPr>
                <w:rFonts w:ascii="Arial" w:cs="Arial" w:eastAsia="Arial" w:hAnsi="Arial"/>
                <w:sz w:val="17"/>
                <w:szCs w:val="17"/>
                <w:color w:val="0000EE"/>
              </w:rPr>
            </w:pPr>
            <w:hyperlink w:anchor="page143">
              <w:r>
                <w:rPr>
                  <w:rFonts w:ascii="Arial" w:cs="Arial" w:eastAsia="Arial" w:hAnsi="Arial"/>
                  <w:sz w:val="17"/>
                  <w:szCs w:val="17"/>
                  <w:color w:val="0000EE"/>
                </w:rPr>
                <w:t>Balance Sheets</w:t>
              </w:r>
            </w:hyperlink>
          </w:p>
        </w:tc>
        <w:tc>
          <w:tcPr>
            <w:tcW w:w="3480" w:type="dxa"/>
            <w:vAlign w:val="bottom"/>
            <w:gridSpan w:val="2"/>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3">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4">
              <w:r>
                <w:rPr>
                  <w:rFonts w:ascii="Arial" w:cs="Arial" w:eastAsia="Arial" w:hAnsi="Arial"/>
                  <w:sz w:val="17"/>
                  <w:szCs w:val="17"/>
                  <w:color w:val="0000EE"/>
                </w:rPr>
                <w:t>Statements of Operations and Comprehensive Loss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4">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Statements of Convertible Preferred Stock and Stockholders' Deficit</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640" w:type="dxa"/>
            <w:vAlign w:val="bottom"/>
            <w:gridSpan w:val="7"/>
          </w:tcPr>
          <w:p>
            <w:pPr>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Statements of Cash Flows</w:t>
              </w:r>
            </w:hyperlink>
          </w:p>
        </w:tc>
        <w:tc>
          <w:tcPr>
            <w:tcW w:w="2820" w:type="dxa"/>
            <w:vAlign w:val="bottom"/>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7">
              <w:r>
                <w:rPr>
                  <w:rFonts w:ascii="Arial" w:cs="Arial" w:eastAsia="Arial" w:hAnsi="Arial"/>
                  <w:sz w:val="17"/>
                  <w:szCs w:val="17"/>
                  <w:color w:val="0000EE"/>
                </w:rPr>
                <w:t>Notes to Audited Financial Statements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7">
              <w:r>
                <w:rPr>
                  <w:rFonts w:ascii="Arial" w:cs="Arial" w:eastAsia="Arial" w:hAnsi="Arial"/>
                  <w:sz w:val="17"/>
                  <w:szCs w:val="17"/>
                  <w:color w:val="0000EE"/>
                </w:rPr>
                <w:t>F-7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gridSpan w:val="2"/>
          </w:tcPr>
          <w:p>
            <w:pPr>
              <w:jc w:val="center"/>
              <w:ind w:right="2320"/>
              <w:spacing w:after="0"/>
              <w:rPr>
                <w:sz w:val="20"/>
                <w:szCs w:val="20"/>
                <w:color w:val="auto"/>
              </w:rPr>
            </w:pPr>
            <w:r>
              <w:rPr>
                <w:rFonts w:ascii="Arial" w:cs="Arial" w:eastAsia="Arial" w:hAnsi="Arial"/>
                <w:sz w:val="17"/>
                <w:szCs w:val="17"/>
                <w:color w:val="auto"/>
                <w:w w:val="93"/>
              </w:rPr>
              <w:t>F-1</w:t>
            </w:r>
          </w:p>
        </w:tc>
        <w:tc>
          <w:tcPr>
            <w:tcW w:w="14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18"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discussed in Note 2 to the financial statements, the Company has experienced recurring operating losses and negative cash flows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Management's plans with regard to its liquidity are also discussed in Note 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12, 2013, except for the effects of the reverse stock split described in Note 1, as to which the date is October 9,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99"/>
              </w:rPr>
              <w:t>As of 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14,002</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 net of allowance of $235 and $222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Preferred stock liability</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5,114</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320" w:type="dxa"/>
            <w:vAlign w:val="bottom"/>
          </w:tcPr>
          <w:p>
            <w:pPr>
              <w:ind w:left="20"/>
              <w:spacing w:after="0"/>
              <w:rPr>
                <w:sz w:val="20"/>
                <w:szCs w:val="20"/>
                <w:color w:val="auto"/>
              </w:rPr>
            </w:pPr>
            <w:r>
              <w:rPr>
                <w:rFonts w:ascii="Arial" w:cs="Arial" w:eastAsia="Arial" w:hAnsi="Arial"/>
                <w:sz w:val="17"/>
                <w:szCs w:val="17"/>
                <w:color w:val="auto"/>
                <w:w w:val="91"/>
              </w:rPr>
              <w:t>Convertible preferred stock, $0.001 par value; 45,147,999 and 59,147,999 shares authorized, 45,147,999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w w:val="96"/>
              </w:rPr>
              <w:t>and 53,084,507 shares issued and outstanding as of December 31, 2011 and December 31, 2012;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aggregate liquidation value of $50,835 and $65,835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49,296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63,372</w:t>
            </w:r>
          </w:p>
        </w:tc>
        <w:tc>
          <w:tcPr>
            <w:tcW w:w="0" w:type="dxa"/>
            <w:vAlign w:val="bottom"/>
          </w:tcPr>
          <w:p>
            <w:pPr>
              <w:spacing w:after="0"/>
              <w:rPr>
                <w:sz w:val="1"/>
                <w:szCs w:val="1"/>
                <w:color w:val="auto"/>
              </w:rPr>
            </w:pPr>
          </w:p>
        </w:tc>
      </w:tr>
      <w:tr>
        <w:trPr>
          <w:trHeight w:val="42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20" w:type="dxa"/>
            <w:vAlign w:val="bottom"/>
          </w:tcPr>
          <w:p>
            <w:pPr>
              <w:ind w:left="180"/>
              <w:spacing w:after="0"/>
              <w:rPr>
                <w:sz w:val="20"/>
                <w:szCs w:val="20"/>
                <w:color w:val="auto"/>
              </w:rPr>
            </w:pPr>
            <w:r>
              <w:rPr>
                <w:rFonts w:ascii="Arial" w:cs="Arial" w:eastAsia="Arial" w:hAnsi="Arial"/>
                <w:sz w:val="17"/>
                <w:szCs w:val="17"/>
                <w:color w:val="auto"/>
                <w:w w:val="91"/>
              </w:rPr>
              <w:t>Common stock, $0.001 par value; 60,000,000 and 77,000,000 shares authorized, 594,941 and 667,684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360"/>
              <w:spacing w:after="0"/>
              <w:rPr>
                <w:sz w:val="20"/>
                <w:szCs w:val="20"/>
                <w:color w:val="auto"/>
              </w:rPr>
            </w:pPr>
            <w:r>
              <w:rPr>
                <w:rFonts w:ascii="Arial" w:cs="Arial" w:eastAsia="Arial" w:hAnsi="Arial"/>
                <w:sz w:val="17"/>
                <w:szCs w:val="17"/>
                <w:color w:val="auto"/>
              </w:rPr>
              <w:t>shares issued and outstanding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(40,766)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5"/>
              </w:rPr>
              <w:t>Year Ended December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11,628</w:t>
            </w:r>
          </w:p>
        </w:tc>
        <w:tc>
          <w:tcPr>
            <w:tcW w:w="0" w:type="dxa"/>
            <w:vAlign w:val="bottom"/>
          </w:tcPr>
          <w:p>
            <w:pPr>
              <w:spacing w:after="0"/>
              <w:rPr>
                <w:sz w:val="1"/>
                <w:szCs w:val="1"/>
                <w:color w:val="auto"/>
              </w:rPr>
            </w:pPr>
          </w:p>
        </w:tc>
      </w:tr>
      <w:tr>
        <w:trPr>
          <w:trHeight w:val="418"/>
        </w:trPr>
        <w:tc>
          <w:tcPr>
            <w:tcW w:w="6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6,680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6,608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5,372</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30,557</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(15,266)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(24.90)</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580,061</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650,333</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 (unaudited)</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Shares used to compute pro forma net loss per common share, basic and diluted (unaudited)</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12,240,334</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VERACYTE, INC.</w:t>
      </w:r>
    </w:p>
    <w:p>
      <w:pPr>
        <w:spacing w:after="0" w:line="2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Convertible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180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Preferred Stock</w:t>
            </w:r>
          </w:p>
        </w:tc>
        <w:tc>
          <w:tcPr>
            <w:tcW w:w="130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78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59"/>
        </w:trPr>
        <w:tc>
          <w:tcPr>
            <w:tcW w:w="27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30,249,334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0"/>
              </w:rPr>
              <w:t>$ 30,674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556,844</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(26,975)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(26,811)</w:t>
            </w:r>
          </w:p>
        </w:tc>
        <w:tc>
          <w:tcPr>
            <w:tcW w:w="0" w:type="dxa"/>
            <w:vAlign w:val="bottom"/>
          </w:tcPr>
          <w:p>
            <w:pPr>
              <w:spacing w:after="0"/>
              <w:rPr>
                <w:sz w:val="1"/>
                <w:szCs w:val="1"/>
                <w:color w:val="auto"/>
              </w:rPr>
            </w:pPr>
          </w:p>
        </w:tc>
      </w:tr>
      <w:tr>
        <w:trPr>
          <w:trHeight w:val="398"/>
        </w:trPr>
        <w:tc>
          <w:tcPr>
            <w:tcW w:w="2780" w:type="dxa"/>
            <w:vAlign w:val="bottom"/>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60"/>
              <w:spacing w:after="0"/>
              <w:rPr>
                <w:sz w:val="20"/>
                <w:szCs w:val="20"/>
                <w:color w:val="auto"/>
              </w:rPr>
            </w:pPr>
            <w:r>
              <w:rPr>
                <w:rFonts w:ascii="Arial" w:cs="Arial" w:eastAsia="Arial" w:hAnsi="Arial"/>
                <w:sz w:val="17"/>
                <w:szCs w:val="17"/>
                <w:color w:val="auto"/>
              </w:rPr>
              <w:t>preferred stock in February 2011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60"/>
              <w:spacing w:after="0"/>
              <w:rPr>
                <w:sz w:val="20"/>
                <w:szCs w:val="20"/>
                <w:color w:val="auto"/>
              </w:rPr>
            </w:pPr>
            <w:r>
              <w:rPr>
                <w:rFonts w:ascii="Arial" w:cs="Arial" w:eastAsia="Arial" w:hAnsi="Arial"/>
                <w:sz w:val="17"/>
                <w:szCs w:val="17"/>
                <w:color w:val="auto"/>
              </w:rPr>
              <w:t>for cash at $1.25 per share, net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issuance costs of $1</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7,449,335</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9,311</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July 2011 for</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at $1.25 per share, net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costs of $1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7,449,330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7"/>
                <w:szCs w:val="17"/>
                <w:color w:val="auto"/>
                <w:w w:val="99"/>
              </w:rPr>
              <w:t>Common stock issued on exercise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38,097</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0" w:type="dxa"/>
            <w:vAlign w:val="bottom"/>
          </w:tcPr>
          <w:p>
            <w:pPr>
              <w:spacing w:after="0"/>
              <w:rPr>
                <w:sz w:val="1"/>
                <w:szCs w:val="1"/>
                <w:color w:val="auto"/>
              </w:rPr>
            </w:pPr>
          </w:p>
        </w:tc>
      </w:tr>
      <w:tr>
        <w:trPr>
          <w:trHeight w:val="26"/>
        </w:trPr>
        <w:tc>
          <w:tcPr>
            <w:tcW w:w="2780" w:type="dxa"/>
            <w:vAlign w:val="bottom"/>
            <w:vMerge w:val="restart"/>
          </w:tcPr>
          <w:p>
            <w:pPr>
              <w:spacing w:after="0"/>
              <w:rPr>
                <w:sz w:val="20"/>
                <w:szCs w:val="20"/>
                <w:color w:val="auto"/>
              </w:rPr>
            </w:pPr>
            <w:r>
              <w:rPr>
                <w:rFonts w:ascii="Arial" w:cs="Arial" w:eastAsia="Arial" w:hAnsi="Arial"/>
                <w:sz w:val="17"/>
                <w:szCs w:val="17"/>
                <w:color w:val="auto"/>
              </w:rPr>
              <w:t>Balance–December 31, 2011</w:t>
            </w:r>
          </w:p>
        </w:tc>
        <w:tc>
          <w:tcPr>
            <w:tcW w:w="10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45,147,999</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49,296</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594,941</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w:t>
            </w: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November and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2012 for cash at $1.89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 share, net of issuance costs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$63 and $861 preferred stock</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7,936,508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14,076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7"/>
                <w:szCs w:val="17"/>
                <w:color w:val="auto"/>
                <w:w w:val="99"/>
              </w:rPr>
              <w:t>Common stock issued on exercise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72,743</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2012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53,084,507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0"/>
              </w:rPr>
              <w:t>$ 63,372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667,684</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Loss on write-off of property and equipment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(719)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Supplementary cash flow information of non-cash investing and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Purchases of property and equipment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Convertible preferred stock issuance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of equity-based compensation from liabilities to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Audited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28" w:lineRule="exact"/>
        <w:rPr>
          <w:sz w:val="20"/>
          <w:szCs w:val="20"/>
          <w:color w:val="auto"/>
        </w:rPr>
      </w:pPr>
    </w:p>
    <w:p>
      <w:pPr>
        <w:jc w:val="both"/>
        <w:ind w:firstLine="367"/>
        <w:spacing w:after="0" w:line="300" w:lineRule="auto"/>
        <w:rPr>
          <w:sz w:val="20"/>
          <w:szCs w:val="20"/>
          <w:color w:val="auto"/>
        </w:rPr>
      </w:pPr>
      <w:r>
        <w:rPr>
          <w:rFonts w:ascii="Arial" w:cs="Arial" w:eastAsia="Arial" w:hAnsi="Arial"/>
          <w:sz w:val="15"/>
          <w:szCs w:val="15"/>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63" w:lineRule="exact"/>
        <w:rPr>
          <w:sz w:val="20"/>
          <w:szCs w:val="20"/>
          <w:color w:val="auto"/>
        </w:rPr>
      </w:pPr>
    </w:p>
    <w:p>
      <w:pPr>
        <w:jc w:val="both"/>
        <w:ind w:firstLine="446"/>
        <w:spacing w:after="0" w:line="283" w:lineRule="auto"/>
        <w:rPr>
          <w:sz w:val="20"/>
          <w:szCs w:val="20"/>
          <w:color w:val="auto"/>
        </w:rPr>
      </w:pPr>
      <w:r>
        <w:rPr>
          <w:rFonts w:ascii="Arial" w:cs="Arial" w:eastAsia="Arial" w:hAnsi="Arial"/>
          <w:sz w:val="16"/>
          <w:szCs w:val="16"/>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preferred stock was also effected in connection with the reverse stock split.</w:t>
      </w:r>
    </w:p>
    <w:p>
      <w:pPr>
        <w:spacing w:after="0" w:line="170" w:lineRule="exact"/>
        <w:rPr>
          <w:sz w:val="20"/>
          <w:szCs w:val="20"/>
          <w:color w:val="auto"/>
        </w:rPr>
      </w:pPr>
    </w:p>
    <w:p>
      <w:pPr>
        <w:ind w:left="520" w:right="8040" w:hanging="515"/>
        <w:spacing w:after="0" w:line="517" w:lineRule="auto"/>
        <w:tabs>
          <w:tab w:leader="none" w:pos="166"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606"/>
        <w:spacing w:after="0" w:line="282" w:lineRule="auto"/>
        <w:rPr>
          <w:sz w:val="20"/>
          <w:szCs w:val="20"/>
          <w:color w:val="auto"/>
        </w:rPr>
      </w:pPr>
      <w:r>
        <w:rPr>
          <w:rFonts w:ascii="Arial" w:cs="Arial" w:eastAsia="Arial" w:hAnsi="Arial"/>
          <w:sz w:val="17"/>
          <w:szCs w:val="17"/>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both"/>
        <w:ind w:firstLine="370"/>
        <w:spacing w:after="0" w:line="300"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color w:val="auto"/>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124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732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7320" w:type="dxa"/>
            <w:vAlign w:val="bottom"/>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38%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34%</w:t>
            </w:r>
          </w:p>
        </w:tc>
        <w:tc>
          <w:tcPr>
            <w:tcW w:w="16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7"/>
                <w:szCs w:val="17"/>
                <w:color w:val="auto"/>
              </w:rPr>
              <w:t>Aetna</w:t>
            </w:r>
          </w:p>
        </w:tc>
        <w:tc>
          <w:tcPr>
            <w:tcW w:w="460" w:type="dxa"/>
            <w:vAlign w:val="bottom"/>
          </w:tcPr>
          <w:p>
            <w:pPr>
              <w:ind w:left="120"/>
              <w:spacing w:after="0"/>
              <w:rPr>
                <w:sz w:val="20"/>
                <w:szCs w:val="20"/>
                <w:color w:val="auto"/>
              </w:rPr>
            </w:pPr>
            <w:r>
              <w:rPr>
                <w:rFonts w:ascii="Arial" w:cs="Arial" w:eastAsia="Arial" w:hAnsi="Arial"/>
                <w:sz w:val="17"/>
                <w:szCs w:val="17"/>
                <w:color w:val="auto"/>
                <w:w w:val="93"/>
              </w:rPr>
              <w:t>14%</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w w:val="93"/>
              </w:rPr>
              <w:t>13%</w:t>
            </w:r>
          </w:p>
        </w:tc>
        <w:tc>
          <w:tcPr>
            <w:tcW w:w="16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UnitedHealthcare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13%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12%</w:t>
            </w:r>
          </w:p>
        </w:tc>
        <w:tc>
          <w:tcPr>
            <w:tcW w:w="160" w:type="dxa"/>
            <w:vAlign w:val="bottom"/>
            <w:shd w:val="clear" w:color="auto" w:fill="CCEEFF"/>
          </w:tcPr>
          <w:p>
            <w:pPr>
              <w:spacing w:after="0"/>
              <w:rPr>
                <w:sz w:val="18"/>
                <w:szCs w:val="18"/>
                <w:color w:val="auto"/>
              </w:rPr>
            </w:pPr>
          </w:p>
        </w:tc>
      </w:tr>
      <w:tr>
        <w:trPr>
          <w:trHeight w:val="26"/>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65%</w:t>
            </w:r>
          </w:p>
        </w:tc>
        <w:tc>
          <w:tcPr>
            <w:tcW w:w="16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59%</w:t>
            </w:r>
          </w:p>
        </w:tc>
        <w:tc>
          <w:tcPr>
            <w:tcW w:w="16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ind w:left="520" w:right="7120" w:hanging="515"/>
        <w:spacing w:after="0" w:line="517" w:lineRule="auto"/>
        <w:tabs>
          <w:tab w:leader="none" w:pos="166"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(Continued) </w:t>
      </w:r>
      <w:r>
        <w:rPr>
          <w:rFonts w:ascii="Arial" w:cs="Arial" w:eastAsia="Arial" w:hAnsi="Arial"/>
          <w:sz w:val="17"/>
          <w:szCs w:val="17"/>
          <w:b w:val="1"/>
          <w:bCs w:val="1"/>
          <w:i w:val="1"/>
          <w:iCs w:val="1"/>
          <w:color w:val="auto"/>
        </w:rPr>
        <w:t>Cash Equivalents</w:t>
      </w:r>
    </w:p>
    <w:p>
      <w:pPr>
        <w:spacing w:after="0" w:line="1" w:lineRule="exact"/>
        <w:rPr>
          <w:sz w:val="20"/>
          <w:szCs w:val="20"/>
          <w:color w:val="auto"/>
        </w:rPr>
      </w:pPr>
    </w:p>
    <w:p>
      <w:pPr>
        <w:jc w:val="both"/>
        <w:ind w:firstLine="442"/>
        <w:spacing w:after="0" w:line="282"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auto"/>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 the Company's credit cards and a letter of credit totaling $118,000 which is related to security for the lease of the Company's office space.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45"/>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99"/>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Arial" w:cs="Arial" w:eastAsia="Arial" w:hAnsi="Arial"/>
                <w:sz w:val="17"/>
                <w:szCs w:val="17"/>
                <w:color w:val="auto"/>
              </w:rPr>
              <w:t>Charged to expense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Write-offs, net of recoveries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firstLine="476"/>
        <w:spacing w:after="0" w:line="28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ind w:left="520" w:right="7120" w:hanging="515"/>
        <w:spacing w:after="0" w:line="517" w:lineRule="auto"/>
        <w:tabs>
          <w:tab w:leader="none" w:pos="166"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(Continued) </w:t>
      </w:r>
      <w:r>
        <w:rPr>
          <w:rFonts w:ascii="Arial" w:cs="Arial" w:eastAsia="Arial" w:hAnsi="Arial"/>
          <w:sz w:val="17"/>
          <w:szCs w:val="17"/>
          <w:b w:val="1"/>
          <w:bCs w:val="1"/>
          <w:i w:val="1"/>
          <w:iCs w:val="1"/>
          <w:color w:val="auto"/>
        </w:rPr>
        <w:t>Internal-use Software</w:t>
      </w:r>
    </w:p>
    <w:p>
      <w:pPr>
        <w:spacing w:after="0" w:line="1"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46" w:lineRule="exact"/>
        <w:rPr>
          <w:sz w:val="20"/>
          <w:szCs w:val="20"/>
          <w:color w:val="auto"/>
        </w:rPr>
      </w:pPr>
    </w:p>
    <w:p>
      <w:pPr>
        <w:jc w:val="both"/>
        <w:ind w:firstLine="523"/>
        <w:spacing w:after="0" w:line="265" w:lineRule="auto"/>
        <w:rPr>
          <w:sz w:val="20"/>
          <w:szCs w:val="20"/>
          <w:color w:val="auto"/>
        </w:rPr>
      </w:pPr>
      <w:r>
        <w:rPr>
          <w:rFonts w:ascii="Arial" w:cs="Arial" w:eastAsia="Arial" w:hAnsi="Arial"/>
          <w:sz w:val="17"/>
          <w:szCs w:val="17"/>
          <w:color w:val="auto"/>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 software is included in property and equipment, and had a net book value of $58,000 and $184,000 and as of December 31, 2011 and 2012, respectively.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jc w:val="both"/>
        <w:ind w:firstLine="505"/>
        <w:spacing w:after="0" w:line="282"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87"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87"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29"/>
        <w:spacing w:after="0" w:line="263" w:lineRule="auto"/>
        <w:rPr>
          <w:sz w:val="20"/>
          <w:szCs w:val="20"/>
          <w:color w:val="auto"/>
        </w:rPr>
      </w:pPr>
      <w:r>
        <w:rPr>
          <w:rFonts w:ascii="Arial" w:cs="Arial" w:eastAsia="Arial" w:hAnsi="Arial"/>
          <w:sz w:val="17"/>
          <w:szCs w:val="17"/>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7"/>
          <w:szCs w:val="17"/>
          <w:color w:val="auto"/>
        </w:rPr>
        <w:t>Equity instruments issued to non-employees are valued using the Black-Scholes option-pricing valuation model and are subject to remeasurement as the underlying equity instruments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Net Loss and Unaudited Pro Forma Net Loss per Common Share</w:t>
      </w:r>
    </w:p>
    <w:p>
      <w:pPr>
        <w:spacing w:after="0" w:line="224" w:lineRule="exact"/>
        <w:rPr>
          <w:sz w:val="20"/>
          <w:szCs w:val="20"/>
          <w:color w:val="auto"/>
        </w:rPr>
      </w:pPr>
    </w:p>
    <w:p>
      <w:pPr>
        <w:jc w:val="both"/>
        <w:ind w:firstLine="460"/>
        <w:spacing w:after="0" w:line="261"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228"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years ended December 31, 2011 and 2012 (in thousands, except share and per share amounts):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7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720" w:type="dxa"/>
            <w:vAlign w:val="bottom"/>
            <w:vMerge w:val="restart"/>
          </w:tcPr>
          <w:p>
            <w:pPr>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580,061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650,333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(28.68)</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The following outstanding shares of common stock equivalents have been excluded from diluted net loss per common share for the years ended December 31, 2011 and 2012 because their inclusion would be anti-dilutive:</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37"/>
        </w:trPr>
        <w:tc>
          <w:tcPr>
            <w:tcW w:w="64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Shares of common stock subject to 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1,429,737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2,227,669</w:t>
            </w:r>
          </w:p>
        </w:tc>
        <w:tc>
          <w:tcPr>
            <w:tcW w:w="16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Shares of common stock subject to conversion from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11,286,998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13,271,122</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 shares of common stock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12,716,735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15,498,791</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38" w:lineRule="exact"/>
              <w:rPr>
                <w:sz w:val="20"/>
                <w:szCs w:val="20"/>
                <w:color w:val="auto"/>
              </w:rPr>
            </w:pPr>
            <w:r>
              <w:rPr>
                <w:rFonts w:ascii="Arial" w:cs="Arial" w:eastAsia="Arial" w:hAnsi="Arial"/>
                <w:sz w:val="13"/>
                <w:szCs w:val="13"/>
                <w:b w:val="1"/>
                <w:bCs w:val="1"/>
                <w:color w:val="auto"/>
                <w:w w:val="94"/>
              </w:rPr>
              <w:t>(Unaudited)</w:t>
            </w:r>
          </w:p>
        </w:tc>
        <w:tc>
          <w:tcPr>
            <w:tcW w:w="1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650,333</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11,590,001</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12,240,334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420" w:type="dxa"/>
            <w:vAlign w:val="bottom"/>
            <w:vMerge w:val="restart"/>
          </w:tcPr>
          <w:p>
            <w:pPr>
              <w:ind w:left="4180"/>
              <w:spacing w:after="0"/>
              <w:rPr>
                <w:sz w:val="20"/>
                <w:szCs w:val="20"/>
                <w:color w:val="auto"/>
              </w:rPr>
            </w:pPr>
            <w:r>
              <w:rPr>
                <w:rFonts w:ascii="Arial" w:cs="Arial" w:eastAsia="Arial" w:hAnsi="Arial"/>
                <w:sz w:val="17"/>
                <w:szCs w:val="17"/>
                <w:color w:val="auto"/>
              </w:rPr>
              <w:t>F-13</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Balance Sheet Components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right"/>
              <w:ind w:right="5"/>
              <w:spacing w:after="0"/>
              <w:rPr>
                <w:sz w:val="20"/>
                <w:szCs w:val="20"/>
                <w:color w:val="auto"/>
              </w:rPr>
            </w:pPr>
            <w:r>
              <w:rPr>
                <w:rFonts w:ascii="Arial" w:cs="Arial" w:eastAsia="Arial" w:hAnsi="Arial"/>
                <w:sz w:val="13"/>
                <w:szCs w:val="13"/>
                <w:b w:val="1"/>
                <w:bCs w:val="1"/>
                <w:color w:val="auto"/>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9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Laboratory equipment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2,061</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Software, including software developed for internal use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Construction-in-process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699</w:t>
            </w:r>
          </w:p>
        </w:tc>
        <w:tc>
          <w:tcPr>
            <w:tcW w:w="1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7"/>
                <w:szCs w:val="17"/>
                <w:color w:val="auto"/>
              </w:rPr>
              <w:t>Accumulated 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(1,110)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46"/>
        <w:spacing w:after="0" w:line="282" w:lineRule="auto"/>
        <w:rPr>
          <w:sz w:val="20"/>
          <w:szCs w:val="20"/>
          <w:color w:val="auto"/>
        </w:rPr>
      </w:pPr>
      <w:r>
        <w:rPr>
          <w:rFonts w:ascii="Arial" w:cs="Arial" w:eastAsia="Arial" w:hAnsi="Arial"/>
          <w:sz w:val="17"/>
          <w:szCs w:val="17"/>
          <w:color w:val="auto"/>
        </w:rPr>
        <w:t>Depreciation and amortization expense was $611,000 and $706,000 for the years ended December 31, 2011 and 2012, and was recorded in the statements of operations and comprehensive loss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6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depreciation and amortization expense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520"/>
              <w:spacing w:after="0"/>
              <w:rPr>
                <w:sz w:val="20"/>
                <w:szCs w:val="20"/>
                <w:color w:val="auto"/>
              </w:rPr>
            </w:pPr>
            <w:r>
              <w:rPr>
                <w:rFonts w:ascii="Arial" w:cs="Arial" w:eastAsia="Arial" w:hAnsi="Arial"/>
                <w:sz w:val="17"/>
                <w:szCs w:val="17"/>
                <w:b w:val="1"/>
                <w:bCs w:val="1"/>
                <w:i w:val="1"/>
                <w:iCs w:val="1"/>
                <w:color w:val="auto"/>
              </w:rPr>
              <w:t>Accrued Liabilities</w:t>
            </w: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gridSpan w:val="2"/>
          </w:tcPr>
          <w:p>
            <w:pPr>
              <w:ind w:left="340"/>
              <w:spacing w:after="0"/>
              <w:rPr>
                <w:sz w:val="20"/>
                <w:szCs w:val="20"/>
                <w:color w:val="auto"/>
              </w:rPr>
            </w:pPr>
            <w:r>
              <w:rPr>
                <w:rFonts w:ascii="Arial" w:cs="Arial" w:eastAsia="Arial" w:hAnsi="Arial"/>
                <w:sz w:val="17"/>
                <w:szCs w:val="17"/>
                <w:color w:val="auto"/>
              </w:rPr>
              <w:t>Accrued liabilities consisted of the following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9"/>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auto"/>
              <w:bottom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9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36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1,360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other</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Genzyme co-promotion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Deferred rent–short-term</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accrued liabilities</w:t>
            </w:r>
          </w:p>
        </w:tc>
        <w:tc>
          <w:tcPr>
            <w:tcW w:w="3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1,336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4,020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3"/>
          </w:tcPr>
          <w:p>
            <w:pPr>
              <w:ind w:left="500"/>
              <w:spacing w:after="0"/>
              <w:rPr>
                <w:sz w:val="20"/>
                <w:szCs w:val="20"/>
                <w:color w:val="auto"/>
              </w:rPr>
            </w:pPr>
            <w:r>
              <w:rPr>
                <w:rFonts w:ascii="Arial" w:cs="Arial" w:eastAsia="Arial" w:hAnsi="Arial"/>
                <w:sz w:val="17"/>
                <w:szCs w:val="17"/>
                <w:color w:val="auto"/>
              </w:rPr>
              <w:t>F-14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1"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53"/>
        <w:spacing w:after="0" w:line="282" w:lineRule="auto"/>
        <w:rPr>
          <w:sz w:val="20"/>
          <w:szCs w:val="20"/>
          <w:color w:val="auto"/>
        </w:rPr>
      </w:pPr>
      <w:r>
        <w:rPr>
          <w:rFonts w:ascii="Arial" w:cs="Arial" w:eastAsia="Arial" w:hAnsi="Arial"/>
          <w:sz w:val="17"/>
          <w:szCs w:val="17"/>
          <w:color w:val="auto"/>
        </w:rPr>
        <w:t>The following table sets forth the fair value of the Company's financial assets and liabilities measured on a recurring basis, as of December 31, 2011 and 2012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2011</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21"/>
              <w:spacing w:after="0" w:line="138"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7,344</w:t>
            </w: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7,344</w:t>
            </w:r>
          </w:p>
        </w:tc>
      </w:tr>
      <w:tr>
        <w:trPr>
          <w:trHeight w:val="26"/>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Financial Liabilities:</w:t>
            </w:r>
          </w:p>
        </w:tc>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Total financial liabilities</w:t>
            </w:r>
          </w:p>
        </w:tc>
        <w:tc>
          <w:tcPr>
            <w:tcW w:w="28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01"/>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2"/>
          </w:tcPr>
          <w:p>
            <w:pPr>
              <w:jc w:val="right"/>
              <w:ind w:right="1075"/>
              <w:spacing w:after="0"/>
              <w:rPr>
                <w:sz w:val="20"/>
                <w:szCs w:val="20"/>
                <w:color w:val="auto"/>
              </w:rPr>
            </w:pPr>
            <w:r>
              <w:rPr>
                <w:rFonts w:ascii="Arial" w:cs="Arial" w:eastAsia="Arial" w:hAnsi="Arial"/>
                <w:sz w:val="17"/>
                <w:szCs w:val="17"/>
                <w:color w:val="auto"/>
              </w:rPr>
              <w:t>F-15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3"/>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80" w:type="dxa"/>
            <w:vAlign w:val="bottom"/>
          </w:tcPr>
          <w:p>
            <w:pPr>
              <w:ind w:left="180"/>
              <w:spacing w:after="0"/>
              <w:rPr>
                <w:sz w:val="20"/>
                <w:szCs w:val="20"/>
                <w:color w:val="auto"/>
              </w:rPr>
            </w:pPr>
            <w:r>
              <w:rPr>
                <w:rFonts w:ascii="Arial" w:cs="Arial" w:eastAsia="Arial" w:hAnsi="Arial"/>
                <w:sz w:val="17"/>
                <w:szCs w:val="17"/>
                <w:color w:val="auto"/>
              </w:rPr>
              <w:t>Fair value of preferred stock liability</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71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Genzyme Co-promotion Agreement</w:t>
      </w:r>
    </w:p>
    <w:p>
      <w:pPr>
        <w:spacing w:after="0" w:line="228"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7"/>
          <w:szCs w:val="17"/>
          <w:color w:val="auto"/>
        </w:rPr>
        <w:t>In May 2011, the Company received $100,000 from Genzyme Corporation ("Genzyme") in connection with an extension of an exclusive right to negotiate a co-promotion agreement.</w:t>
      </w:r>
    </w:p>
    <w:p>
      <w:pPr>
        <w:spacing w:after="0" w:line="170" w:lineRule="exact"/>
        <w:rPr>
          <w:sz w:val="20"/>
          <w:szCs w:val="20"/>
          <w:color w:val="auto"/>
        </w:rPr>
      </w:pPr>
    </w:p>
    <w:p>
      <w:pPr>
        <w:jc w:val="both"/>
        <w:ind w:firstLine="400"/>
        <w:spacing w:after="0" w:line="277" w:lineRule="auto"/>
        <w:rPr>
          <w:sz w:val="20"/>
          <w:szCs w:val="20"/>
          <w:color w:val="auto"/>
        </w:rPr>
      </w:pPr>
      <w:r>
        <w:rPr>
          <w:rFonts w:ascii="Arial" w:cs="Arial" w:eastAsia="Arial" w:hAnsi="Arial"/>
          <w:sz w:val="16"/>
          <w:szCs w:val="16"/>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w:t>
      </w:r>
    </w:p>
    <w:p>
      <w:pPr>
        <w:spacing w:after="0" w:line="228"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color w:val="auto"/>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leased facility. The Company does not have an ownership interest in or provide any form of financial or other support to TCP.</w:t>
      </w:r>
    </w:p>
    <w:p>
      <w:pPr>
        <w:spacing w:after="0" w:line="224" w:lineRule="exact"/>
        <w:rPr>
          <w:sz w:val="20"/>
          <w:szCs w:val="20"/>
          <w:color w:val="auto"/>
        </w:rPr>
      </w:pPr>
    </w:p>
    <w:p>
      <w:pPr>
        <w:jc w:val="both"/>
        <w:ind w:firstLine="386"/>
        <w:spacing w:after="0" w:line="265" w:lineRule="auto"/>
        <w:rPr>
          <w:sz w:val="20"/>
          <w:szCs w:val="20"/>
          <w:color w:val="auto"/>
        </w:rPr>
      </w:pPr>
      <w:r>
        <w:rPr>
          <w:rFonts w:ascii="Arial" w:cs="Arial" w:eastAsia="Arial" w:hAnsi="Arial"/>
          <w:sz w:val="17"/>
          <w:szCs w:val="17"/>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8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83" w:lineRule="exact"/>
        <w:rPr>
          <w:sz w:val="20"/>
          <w:szCs w:val="20"/>
          <w:color w:val="auto"/>
        </w:rPr>
      </w:pPr>
    </w:p>
    <w:p>
      <w:pPr>
        <w:ind w:left="520" w:right="8840" w:hanging="515"/>
        <w:spacing w:after="0" w:line="586" w:lineRule="auto"/>
        <w:tabs>
          <w:tab w:leader="none" w:pos="166"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5"/>
          <w:szCs w:val="15"/>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under non-cancellable operating leases as of December 31, 2012 are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80" w:type="dxa"/>
            <w:vAlign w:val="bottom"/>
            <w:gridSpan w:val="3"/>
          </w:tcPr>
          <w:p>
            <w:pPr>
              <w:spacing w:after="0"/>
              <w:rPr>
                <w:sz w:val="20"/>
                <w:szCs w:val="20"/>
                <w:color w:val="auto"/>
              </w:rPr>
            </w:pPr>
            <w:r>
              <w:rPr>
                <w:rFonts w:ascii="Arial" w:cs="Arial" w:eastAsia="Arial" w:hAnsi="Arial"/>
                <w:sz w:val="13"/>
                <w:szCs w:val="13"/>
                <w:b w:val="1"/>
                <w:bCs w:val="1"/>
                <w:color w:val="auto"/>
              </w:rPr>
              <w:t>Year Ending December 31,</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Amounts</w:t>
            </w: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5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2014</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Company recognizes rent expense on a straight-line basis over the non-cancellable lease period. Facilities rent expense was $570,000 and $711,000 and for the years ended December 31, 2011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4"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Convertible preferred stock as of December 31, 2011 and 2012 consists of the following (in thousands, except for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Proceeds Net of</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Issuance Costs</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Original Issue</w:t>
            </w:r>
          </w:p>
        </w:tc>
        <w:tc>
          <w:tcPr>
            <w:tcW w:w="13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Shares Issued and</w:t>
            </w:r>
          </w:p>
        </w:tc>
        <w:tc>
          <w:tcPr>
            <w:tcW w:w="16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Aggregate Liquidation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and Preferred</w:t>
            </w:r>
          </w:p>
        </w:tc>
      </w:tr>
      <w:tr>
        <w:trPr>
          <w:trHeight w:val="157"/>
        </w:trPr>
        <w:tc>
          <w:tcPr>
            <w:tcW w:w="2540" w:type="dxa"/>
            <w:vAlign w:val="bottom"/>
          </w:tcPr>
          <w:p>
            <w:pPr>
              <w:spacing w:after="0"/>
              <w:rPr>
                <w:sz w:val="13"/>
                <w:szCs w:val="13"/>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5"/>
              </w:rPr>
              <w:t>Shares Authorized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Stock Liability</w:t>
            </w:r>
          </w:p>
        </w:tc>
        <w:tc>
          <w:tcPr>
            <w:tcW w:w="14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22,328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26,968</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50,835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49,296</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2540" w:type="dxa"/>
            <w:vAlign w:val="bottom"/>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22,328</w:t>
            </w:r>
          </w:p>
        </w:tc>
      </w:tr>
      <w:tr>
        <w:trPr>
          <w:trHeight w:val="211"/>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C</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14,000,000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7,936,508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14,076</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53,084,507</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65,835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6"/>
          <w:szCs w:val="16"/>
          <w:color w:val="auto"/>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79" w:lineRule="exact"/>
        <w:rPr>
          <w:sz w:val="20"/>
          <w:szCs w:val="20"/>
          <w:color w:val="auto"/>
        </w:rPr>
      </w:pPr>
    </w:p>
    <w:p>
      <w:pPr>
        <w:jc w:val="both"/>
        <w:ind w:firstLine="405"/>
        <w:spacing w:after="0" w:line="352" w:lineRule="auto"/>
        <w:rPr>
          <w:sz w:val="20"/>
          <w:szCs w:val="20"/>
          <w:color w:val="auto"/>
        </w:rPr>
      </w:pPr>
      <w:r>
        <w:rPr>
          <w:rFonts w:ascii="Arial" w:cs="Arial" w:eastAsia="Arial" w:hAnsi="Arial"/>
          <w:sz w:val="15"/>
          <w:szCs w:val="15"/>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closings: 7,910,053 shares in the initial purchase (the "Initial Closing"), 5,291,005 shares in the second closing ("the Second Closing"), and 26,455 shares in an additional closing (the "First Additional Closing").</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80" w:lineRule="exact"/>
        <w:rPr>
          <w:sz w:val="20"/>
          <w:szCs w:val="20"/>
          <w:color w:val="auto"/>
        </w:rPr>
      </w:pPr>
    </w:p>
    <w:p>
      <w:pPr>
        <w:jc w:val="both"/>
        <w:ind w:firstLine="401"/>
        <w:spacing w:after="0" w:line="265" w:lineRule="auto"/>
        <w:rPr>
          <w:sz w:val="20"/>
          <w:szCs w:val="20"/>
          <w:color w:val="auto"/>
        </w:rPr>
      </w:pPr>
      <w:r>
        <w:rPr>
          <w:rFonts w:ascii="Arial" w:cs="Arial" w:eastAsia="Arial" w:hAnsi="Arial"/>
          <w:sz w:val="16"/>
          <w:szCs w:val="16"/>
          <w:color w:val="auto"/>
        </w:rPr>
        <w:t>Following the written confirmation from the Company and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2013, the Company completed the second tranche, see Note 14–Subsequent Events.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rights, preferences and privileges of the Series A, Series B and Series C convertible preferred stock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224"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color w:val="auto"/>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69"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Each share of convertible preferred stock will be automatically be converted into shares of common stock based on the then effective conversion price (i) upon the affirmative election of the holders of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holder is entitled to the number of votes equal to the number of shares of common stock into which the shares of preferred stock could be converted.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24" w:lineRule="exact"/>
        <w:rPr>
          <w:sz w:val="20"/>
          <w:szCs w:val="20"/>
          <w:color w:val="auto"/>
        </w:rPr>
      </w:pPr>
    </w:p>
    <w:p>
      <w:pPr>
        <w:jc w:val="both"/>
        <w:ind w:firstLine="361"/>
        <w:spacing w:after="0" w:line="303" w:lineRule="auto"/>
        <w:rPr>
          <w:sz w:val="20"/>
          <w:szCs w:val="20"/>
          <w:color w:val="auto"/>
        </w:rPr>
      </w:pPr>
      <w:r>
        <w:rPr>
          <w:rFonts w:ascii="Arial" w:cs="Arial" w:eastAsia="Arial" w:hAnsi="Arial"/>
          <w:sz w:val="15"/>
          <w:szCs w:val="15"/>
          <w:color w:val="auto"/>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2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7"/>
          <w:szCs w:val="17"/>
          <w:color w:val="auto"/>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and 2012, the Company had reserved shares of common stock, on an as-if converted basis, for issuance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2100" w:type="dxa"/>
            <w:vAlign w:val="bottom"/>
            <w:gridSpan w:val="4"/>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A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5,599,999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5,599,999</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B convertible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5,686,999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5,686,999</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C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1,984,124</w:t>
            </w:r>
          </w:p>
        </w:tc>
        <w:tc>
          <w:tcPr>
            <w:tcW w:w="1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C convertible preferred stock reserved for issuance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1,322,751</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1,429,737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2,227,669</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Options available for grant under stock option plan</w:t>
            </w:r>
          </w:p>
        </w:tc>
        <w:tc>
          <w:tcPr>
            <w:tcW w:w="900" w:type="dxa"/>
            <w:vAlign w:val="bottom"/>
          </w:tcPr>
          <w:p>
            <w:pPr>
              <w:jc w:val="right"/>
              <w:spacing w:after="0"/>
              <w:rPr>
                <w:sz w:val="20"/>
                <w:szCs w:val="20"/>
                <w:color w:val="auto"/>
              </w:rPr>
            </w:pPr>
            <w:r>
              <w:rPr>
                <w:rFonts w:ascii="Arial" w:cs="Arial" w:eastAsia="Arial" w:hAnsi="Arial"/>
                <w:sz w:val="17"/>
                <w:szCs w:val="17"/>
                <w:color w:val="auto"/>
              </w:rPr>
              <w:t>474,961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347,386</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13,191,696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17,168,928</w:t>
            </w:r>
          </w:p>
        </w:tc>
        <w:tc>
          <w:tcPr>
            <w:tcW w:w="160" w:type="dxa"/>
            <w:vAlign w:val="bottom"/>
            <w:shd w:val="clear" w:color="auto" w:fill="CCEEFF"/>
          </w:tcPr>
          <w:p>
            <w:pPr>
              <w:spacing w:after="0"/>
              <w:rPr>
                <w:sz w:val="17"/>
                <w:szCs w:val="17"/>
                <w:color w:val="auto"/>
              </w:rPr>
            </w:pPr>
          </w:p>
        </w:tc>
      </w:tr>
      <w:tr>
        <w:trPr>
          <w:trHeight w:val="26"/>
        </w:trPr>
        <w:tc>
          <w:tcPr>
            <w:tcW w:w="5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224"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85"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Activity under the Company's 2008 Plan is set forth below:</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5"/>
          </w:tcPr>
          <w:p>
            <w:pPr>
              <w:jc w:val="right"/>
              <w:ind w:right="380"/>
              <w:spacing w:after="0" w:line="144" w:lineRule="exact"/>
              <w:rPr>
                <w:sz w:val="20"/>
                <w:szCs w:val="20"/>
                <w:color w:val="auto"/>
              </w:rPr>
            </w:pPr>
            <w:r>
              <w:rPr>
                <w:rFonts w:ascii="Arial" w:cs="Arial" w:eastAsia="Arial" w:hAnsi="Arial"/>
                <w:sz w:val="13"/>
                <w:szCs w:val="13"/>
                <w:b w:val="1"/>
                <w:bCs w:val="1"/>
                <w:color w:val="auto"/>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18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90"/>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5"/>
          </w:tcPr>
          <w:p>
            <w:pPr>
              <w:jc w:val="right"/>
              <w:ind w:right="300"/>
              <w:spacing w:after="0" w:line="144" w:lineRule="exact"/>
              <w:rPr>
                <w:sz w:val="20"/>
                <w:szCs w:val="20"/>
                <w:color w:val="auto"/>
              </w:rPr>
            </w:pPr>
            <w:r>
              <w:rPr>
                <w:rFonts w:ascii="Arial" w:cs="Arial" w:eastAsia="Arial" w:hAnsi="Arial"/>
                <w:sz w:val="13"/>
                <w:szCs w:val="13"/>
                <w:b w:val="1"/>
                <w:bCs w:val="1"/>
                <w:color w:val="auto"/>
              </w:rPr>
              <w:t>Available</w:t>
            </w:r>
          </w:p>
        </w:tc>
        <w:tc>
          <w:tcPr>
            <w:tcW w:w="1020" w:type="dxa"/>
            <w:vAlign w:val="bottom"/>
            <w:gridSpan w:val="5"/>
          </w:tcPr>
          <w:p>
            <w:pPr>
              <w:jc w:val="right"/>
              <w:ind w:right="140"/>
              <w:spacing w:after="0" w:line="144" w:lineRule="exact"/>
              <w:rPr>
                <w:sz w:val="20"/>
                <w:szCs w:val="20"/>
                <w:color w:val="auto"/>
              </w:rPr>
            </w:pPr>
            <w:r>
              <w:rPr>
                <w:rFonts w:ascii="Arial" w:cs="Arial" w:eastAsia="Arial" w:hAnsi="Arial"/>
                <w:sz w:val="13"/>
                <w:szCs w:val="13"/>
                <w:b w:val="1"/>
                <w:bCs w:val="1"/>
                <w:color w:val="auto"/>
                <w:w w:val="97"/>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180" w:type="dxa"/>
            <w:vAlign w:val="bottom"/>
            <w:gridSpan w:val="4"/>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55"/>
              <w:spacing w:after="0" w:line="144" w:lineRule="exact"/>
              <w:rPr>
                <w:sz w:val="20"/>
                <w:szCs w:val="20"/>
                <w:color w:val="auto"/>
              </w:rPr>
            </w:pPr>
            <w:r>
              <w:rPr>
                <w:rFonts w:ascii="Arial" w:cs="Arial" w:eastAsia="Arial" w:hAnsi="Arial"/>
                <w:sz w:val="13"/>
                <w:szCs w:val="13"/>
                <w:b w:val="1"/>
                <w:bCs w:val="1"/>
                <w:color w:val="auto"/>
                <w:w w:val="94"/>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for Grant</w:t>
            </w:r>
          </w:p>
        </w:tc>
        <w:tc>
          <w:tcPr>
            <w:tcW w:w="10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3"/>
                <w:szCs w:val="13"/>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76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706,250</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1,236,545</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1.24</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6"/>
          </w:tcPr>
          <w:p>
            <w:pPr>
              <w:jc w:val="right"/>
              <w:ind w:right="100"/>
              <w:spacing w:after="0"/>
              <w:rPr>
                <w:sz w:val="20"/>
                <w:szCs w:val="20"/>
                <w:color w:val="auto"/>
              </w:rPr>
            </w:pPr>
            <w:r>
              <w:rPr>
                <w:rFonts w:ascii="Arial" w:cs="Arial" w:eastAsia="Arial" w:hAnsi="Arial"/>
                <w:sz w:val="17"/>
                <w:szCs w:val="17"/>
                <w:color w:val="auto"/>
              </w:rPr>
              <w:t>(368,625)</w:t>
            </w: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368,625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137,336</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(137,336)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(38,097)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Balance–December 31, 2011</w:t>
            </w:r>
          </w:p>
        </w:tc>
        <w:tc>
          <w:tcPr>
            <w:tcW w:w="176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color w:val="auto"/>
              </w:rPr>
              <w:t>474,961</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1,429,737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1.55</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2640" w:type="dxa"/>
            <w:vAlign w:val="bottom"/>
            <w:gridSpan w:val="4"/>
          </w:tcPr>
          <w:p>
            <w:pPr>
              <w:ind w:left="160"/>
              <w:spacing w:after="0"/>
              <w:rPr>
                <w:sz w:val="20"/>
                <w:szCs w:val="20"/>
                <w:color w:val="auto"/>
              </w:rPr>
            </w:pPr>
            <w:r>
              <w:rPr>
                <w:rFonts w:ascii="Arial" w:cs="Arial" w:eastAsia="Arial" w:hAnsi="Arial"/>
                <w:sz w:val="17"/>
                <w:szCs w:val="17"/>
                <w:color w:val="auto"/>
              </w:rPr>
              <w:t>Additional options authorized</w:t>
            </w:r>
          </w:p>
        </w:tc>
        <w:tc>
          <w:tcPr>
            <w:tcW w:w="1760" w:type="dxa"/>
            <w:vAlign w:val="bottom"/>
            <w:gridSpan w:val="6"/>
          </w:tcPr>
          <w:p>
            <w:pPr>
              <w:jc w:val="right"/>
              <w:ind w:right="160"/>
              <w:spacing w:after="0"/>
              <w:rPr>
                <w:sz w:val="20"/>
                <w:szCs w:val="20"/>
                <w:color w:val="auto"/>
              </w:rPr>
            </w:pPr>
            <w:r>
              <w:rPr>
                <w:rFonts w:ascii="Arial" w:cs="Arial" w:eastAsia="Arial" w:hAnsi="Arial"/>
                <w:sz w:val="17"/>
                <w:szCs w:val="17"/>
                <w:color w:val="auto"/>
              </w:rPr>
              <w:t>743,100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color w:val="auto"/>
              </w:rPr>
              <w:t>(931,944)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931,944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w w:val="88"/>
              </w:rPr>
              <w:t>61,269</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(61,269)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(72,743)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rPr>
              <w:t>Balance–December 31, 2012</w:t>
            </w:r>
          </w:p>
        </w:tc>
        <w:tc>
          <w:tcPr>
            <w:tcW w:w="108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2.06</w:t>
            </w:r>
          </w:p>
        </w:tc>
        <w:tc>
          <w:tcPr>
            <w:tcW w:w="1280" w:type="dxa"/>
            <w:vAlign w:val="bottom"/>
            <w:gridSpan w:val="5"/>
            <w:vMerge w:val="restart"/>
          </w:tcPr>
          <w:p>
            <w:pPr>
              <w:jc w:val="right"/>
              <w:ind w:right="20"/>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right"/>
              <w:ind w:right="75"/>
              <w:spacing w:after="0"/>
              <w:rPr>
                <w:sz w:val="20"/>
                <w:szCs w:val="20"/>
                <w:color w:val="auto"/>
              </w:rPr>
            </w:pPr>
            <w:r>
              <w:rPr>
                <w:rFonts w:ascii="Arial" w:cs="Arial" w:eastAsia="Arial" w:hAnsi="Arial"/>
                <w:sz w:val="17"/>
                <w:szCs w:val="17"/>
                <w:color w:val="auto"/>
              </w:rPr>
              <w:t>4,311</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rPr>
              <w:t>347,386</w:t>
            </w:r>
          </w:p>
        </w:tc>
        <w:tc>
          <w:tcPr>
            <w:tcW w:w="16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2,227,669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376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auto"/>
              </w:rPr>
              <w:t>Options exercisable–December 31, 2012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1,041,476</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1.47</w:t>
            </w:r>
          </w:p>
        </w:tc>
        <w:tc>
          <w:tcPr>
            <w:tcW w:w="12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w w:val="92"/>
              </w:rPr>
              <w:t>Options vested and expected to vest–</w:t>
            </w: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w w:val="97"/>
              </w:rPr>
              <w:t>December 31, 2012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2,118,135</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2.04</w:t>
            </w:r>
          </w:p>
        </w:tc>
        <w:tc>
          <w:tcPr>
            <w:tcW w:w="1280" w:type="dxa"/>
            <w:vAlign w:val="bottom"/>
            <w:gridSpan w:val="5"/>
          </w:tcPr>
          <w:p>
            <w:pPr>
              <w:jc w:val="right"/>
              <w:ind w:right="20"/>
              <w:spacing w:after="0"/>
              <w:rPr>
                <w:sz w:val="20"/>
                <w:szCs w:val="20"/>
                <w:color w:val="auto"/>
              </w:rPr>
            </w:pPr>
            <w:r>
              <w:rPr>
                <w:rFonts w:ascii="Arial" w:cs="Arial" w:eastAsia="Arial" w:hAnsi="Arial"/>
                <w:sz w:val="17"/>
                <w:szCs w:val="17"/>
                <w:color w:val="auto"/>
              </w:rPr>
              <w:t>8.13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40" w:type="dxa"/>
            <w:vAlign w:val="bottom"/>
            <w:gridSpan w:val="21"/>
          </w:tcPr>
          <w:p>
            <w:pPr>
              <w:jc w:val="right"/>
              <w:ind w:right="800"/>
              <w:spacing w:after="0"/>
              <w:rPr>
                <w:sz w:val="20"/>
                <w:szCs w:val="20"/>
                <w:color w:val="auto"/>
              </w:rPr>
            </w:pPr>
            <w:r>
              <w:rPr>
                <w:rFonts w:ascii="Arial" w:cs="Arial" w:eastAsia="Arial" w:hAnsi="Arial"/>
                <w:sz w:val="17"/>
                <w:szCs w:val="17"/>
                <w:color w:val="auto"/>
                <w:w w:val="89"/>
              </w:rPr>
              <w:t>Outstanding and exercisable stock options as of December 31, 2012 are summarized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3"/>
                <w:szCs w:val="13"/>
                <w:b w:val="1"/>
                <w:bCs w:val="1"/>
                <w:color w:val="auto"/>
                <w:w w:val="94"/>
              </w:rPr>
              <w:t>Options Outstanding</w:t>
            </w: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left="418"/>
              <w:spacing w:after="0"/>
              <w:rPr>
                <w:sz w:val="20"/>
                <w:szCs w:val="20"/>
                <w:color w:val="auto"/>
              </w:rPr>
            </w:pPr>
            <w:r>
              <w:rPr>
                <w:rFonts w:ascii="Arial" w:cs="Arial" w:eastAsia="Arial" w:hAnsi="Arial"/>
                <w:sz w:val="13"/>
                <w:szCs w:val="13"/>
                <w:b w:val="1"/>
                <w:bCs w:val="1"/>
                <w:color w:val="auto"/>
                <w:w w:val="88"/>
              </w:rPr>
              <w:t>Options Vested and Exercisable</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20"/>
              <w:spacing w:after="0" w:line="124"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12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12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2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c>
          <w:tcPr>
            <w:tcW w:w="1440" w:type="dxa"/>
            <w:vAlign w:val="bottom"/>
            <w:gridSpan w:val="8"/>
          </w:tcPr>
          <w:p>
            <w:pPr>
              <w:jc w:val="right"/>
              <w:ind w:right="260"/>
              <w:spacing w:after="0" w:line="144" w:lineRule="exact"/>
              <w:rPr>
                <w:sz w:val="20"/>
                <w:szCs w:val="20"/>
                <w:color w:val="auto"/>
              </w:rPr>
            </w:pPr>
            <w:r>
              <w:rPr>
                <w:rFonts w:ascii="Arial" w:cs="Arial" w:eastAsia="Arial" w:hAnsi="Arial"/>
                <w:sz w:val="13"/>
                <w:szCs w:val="13"/>
                <w:b w:val="1"/>
                <w:bCs w:val="1"/>
                <w:color w:val="auto"/>
                <w:w w:val="98"/>
              </w:rPr>
              <w:t>Number of Options</w:t>
            </w:r>
          </w:p>
        </w:tc>
        <w:tc>
          <w:tcPr>
            <w:tcW w:w="128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Contractual Life</w:t>
            </w:r>
          </w:p>
        </w:tc>
        <w:tc>
          <w:tcPr>
            <w:tcW w:w="13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Aggregate 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Exercise Prices</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11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Intrinsic Value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11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$0.08</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295,875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5.67</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294,076</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$0.80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243,388</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7.07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194,674</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$2.36</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522,869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328,483</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$2.40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233,593</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8.68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107,091</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$2.68</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864,653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109,653</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$4.00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67,291</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9.93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7,499</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$0.08–$4.00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2,227,669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8.17</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1,041,476</w:t>
            </w: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79"/>
        <w:spacing w:after="0" w:line="282"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stock options and the fair value of the Company's common stock for stock options that were in-the-money.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fair value of options to purchase common stock granted was $1.72 and $1.95 in the years ended December 31, 2011 and 2012, respectively.</w:t>
      </w:r>
    </w:p>
    <w:p>
      <w:pPr>
        <w:spacing w:after="0" w:line="247"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The weighted average fair value of options to purchase common stock vested was $0.99 and $1.40 per share in the years ended December 31, 2011 and 2012. The total estimated grant date fair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 options to purchase common stock vested during the years ended December 31, 2011 and 2012 was $466,000 and $583,000 respectively.</w:t>
      </w:r>
    </w:p>
    <w:p>
      <w:pPr>
        <w:spacing w:after="0" w:line="22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The weighted average fair value of options to purchase common stock exercised was $0.39 and $0.88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$2.40 and $4.00 per share, respectively.</w:t>
      </w:r>
    </w:p>
    <w:p>
      <w:pPr>
        <w:spacing w:after="0" w:line="163"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In February 2008, the Company entered into a restricted stock purchase agreement with a founder. The Company issued 349,085 shares of restricted common stock at $0.02 per share, of which 15,515 shares were unvested as of January 1, 2011. These shares had a grant date fair value of $0.06 per share and became fully vested in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348"/>
        <w:spacing w:after="0" w:line="315"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 of Stock Options</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color w:val="auto"/>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6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79"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5"/>
          <w:szCs w:val="15"/>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Assumptions</w:t>
      </w:r>
    </w:p>
    <w:p>
      <w:pPr>
        <w:spacing w:after="0" w:line="22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240" w:type="dxa"/>
            <w:vAlign w:val="bottom"/>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39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5.00 - 6.08</w:t>
            </w:r>
          </w:p>
        </w:tc>
        <w:tc>
          <w:tcPr>
            <w:tcW w:w="1360" w:type="dxa"/>
            <w:vAlign w:val="bottom"/>
            <w:gridSpan w:val="3"/>
            <w:shd w:val="clear" w:color="auto" w:fill="CCEEFF"/>
          </w:tcPr>
          <w:p>
            <w:pPr>
              <w:jc w:val="right"/>
              <w:ind w:right="95"/>
              <w:spacing w:after="0"/>
              <w:rPr>
                <w:sz w:val="20"/>
                <w:szCs w:val="20"/>
                <w:color w:val="auto"/>
              </w:rPr>
            </w:pPr>
            <w:r>
              <w:rPr>
                <w:rFonts w:ascii="Arial" w:cs="Arial" w:eastAsia="Arial" w:hAnsi="Arial"/>
                <w:sz w:val="17"/>
                <w:szCs w:val="17"/>
                <w:color w:val="auto"/>
              </w:rPr>
              <w:t>5.00 - 6.08</w:t>
            </w:r>
          </w:p>
        </w:tc>
        <w:tc>
          <w:tcPr>
            <w:tcW w:w="160" w:type="dxa"/>
            <w:vAlign w:val="bottom"/>
            <w:shd w:val="clear" w:color="auto" w:fill="CCEEFF"/>
          </w:tcPr>
          <w:p>
            <w:pPr>
              <w:spacing w:after="0"/>
              <w:rPr>
                <w:sz w:val="17"/>
                <w:szCs w:val="17"/>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Expected volatility</w:t>
            </w:r>
          </w:p>
        </w:tc>
        <w:tc>
          <w:tcPr>
            <w:tcW w:w="520" w:type="dxa"/>
            <w:vAlign w:val="bottom"/>
          </w:tcPr>
          <w:p>
            <w:pPr>
              <w:jc w:val="right"/>
              <w:spacing w:after="0"/>
              <w:rPr>
                <w:sz w:val="20"/>
                <w:szCs w:val="20"/>
                <w:color w:val="auto"/>
              </w:rPr>
            </w:pPr>
            <w:r>
              <w:rPr>
                <w:rFonts w:ascii="Arial" w:cs="Arial" w:eastAsia="Arial" w:hAnsi="Arial"/>
                <w:sz w:val="17"/>
                <w:szCs w:val="17"/>
                <w:color w:val="auto"/>
              </w:rPr>
              <w:t>70.78</w:t>
            </w:r>
          </w:p>
        </w:tc>
        <w:tc>
          <w:tcPr>
            <w:tcW w:w="700" w:type="dxa"/>
            <w:vAlign w:val="bottom"/>
          </w:tcPr>
          <w:p>
            <w:pPr>
              <w:ind w:left="20"/>
              <w:spacing w:after="0"/>
              <w:rPr>
                <w:sz w:val="20"/>
                <w:szCs w:val="20"/>
                <w:color w:val="auto"/>
              </w:rPr>
            </w:pPr>
            <w:r>
              <w:rPr>
                <w:rFonts w:ascii="Arial" w:cs="Arial" w:eastAsia="Arial" w:hAnsi="Arial"/>
                <w:sz w:val="17"/>
                <w:szCs w:val="17"/>
                <w:color w:val="auto"/>
                <w:w w:val="96"/>
              </w:rPr>
              <w:t>- 80.92%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82.07</w:t>
            </w:r>
          </w:p>
        </w:tc>
        <w:tc>
          <w:tcPr>
            <w:tcW w:w="680" w:type="dxa"/>
            <w:vAlign w:val="bottom"/>
          </w:tcPr>
          <w:p>
            <w:pPr>
              <w:ind w:left="20"/>
              <w:spacing w:after="0"/>
              <w:rPr>
                <w:sz w:val="20"/>
                <w:szCs w:val="20"/>
                <w:color w:val="auto"/>
              </w:rPr>
            </w:pPr>
            <w:r>
              <w:rPr>
                <w:rFonts w:ascii="Arial" w:cs="Arial" w:eastAsia="Arial" w:hAnsi="Arial"/>
                <w:sz w:val="17"/>
                <w:szCs w:val="17"/>
                <w:color w:val="auto"/>
                <w:w w:val="93"/>
              </w:rPr>
              <w:t>- 84.33%</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Dividend yield</w:t>
            </w:r>
          </w:p>
        </w:tc>
        <w:tc>
          <w:tcPr>
            <w:tcW w:w="520" w:type="dxa"/>
            <w:vAlign w:val="bottom"/>
          </w:tcPr>
          <w:p>
            <w:pPr>
              <w:spacing w:after="0"/>
              <w:rPr>
                <w:sz w:val="18"/>
                <w:szCs w:val="18"/>
                <w:color w:val="auto"/>
              </w:rPr>
            </w:pPr>
          </w:p>
        </w:tc>
        <w:tc>
          <w:tcPr>
            <w:tcW w:w="700" w:type="dxa"/>
            <w:vAlign w:val="bottom"/>
          </w:tcPr>
          <w:p>
            <w:pPr>
              <w:jc w:val="center"/>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center"/>
              <w:ind w:right="600"/>
              <w:spacing w:after="0"/>
              <w:rPr>
                <w:sz w:val="20"/>
                <w:szCs w:val="20"/>
                <w:color w:val="auto"/>
              </w:rPr>
            </w:pPr>
            <w:r>
              <w:rPr>
                <w:rFonts w:ascii="Arial" w:cs="Arial" w:eastAsia="Arial" w:hAnsi="Arial"/>
                <w:sz w:val="17"/>
                <w:szCs w:val="17"/>
                <w:color w:val="auto"/>
                <w:w w:val="84"/>
              </w:rPr>
              <w:t>–</w:t>
            </w:r>
          </w:p>
        </w:tc>
      </w:tr>
    </w:tbl>
    <w:p>
      <w:pPr>
        <w:spacing w:after="0" w:line="195"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7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summarizes stock-based compensation expense related to stock options for the years ended December 31, 2011 and 2012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72"/>
        <w:spacing w:after="0" w:line="352" w:lineRule="auto"/>
        <w:rPr>
          <w:sz w:val="20"/>
          <w:szCs w:val="20"/>
          <w:color w:val="auto"/>
        </w:rPr>
      </w:pPr>
      <w:r>
        <w:rPr>
          <w:rFonts w:ascii="Arial" w:cs="Arial" w:eastAsia="Arial" w:hAnsi="Arial"/>
          <w:sz w:val="15"/>
          <w:szCs w:val="15"/>
          <w:color w:val="auto"/>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$259,000 in the years ended December 31, 2011 and 2012, respectively, and are included in accrued liabilities in the balance sheets. The expenses were determined as follows:</w:t>
      </w:r>
    </w:p>
    <w:p>
      <w:pPr>
        <w:spacing w:after="0" w:line="183" w:lineRule="exact"/>
        <w:rPr>
          <w:sz w:val="20"/>
          <w:szCs w:val="20"/>
          <w:color w:val="auto"/>
        </w:rPr>
      </w:pPr>
    </w:p>
    <w:p>
      <w:pPr>
        <w:jc w:val="both"/>
        <w:ind w:left="1060" w:hanging="531"/>
        <w:spacing w:after="0" w:line="263"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March 2012, the Company's Board of Directors authorized the grant of 109,653 fully vested stock options at a fair value of $1.76 resulting in $193,000 in expense in the year ended December 31, 2011. The option fair value was determined using the Black-Scholes option-pricing valuation model. The option exercise price was $2.68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213"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February 2013, the Company's Board of Directors authorized the grant of 100,498 fully vested stock options at a fair value of $2.59 resulting in $259,000 in expense in the year ended December 31, 2012. The fair value of the options was determined using the Black-Scholes option-pricing valuation model with the following assumptions: fair market value of common stock of $4.00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87"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auto"/>
        </w:rPr>
        <w:t>The following table summarizes equity-based compensation expense for the years ended December 31, 2011 and 2012, which were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equity-based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2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6"/>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U.S. federal taxes at statutory rate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Tax credits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34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245"/>
              <w:spacing w:after="0"/>
              <w:rPr>
                <w:sz w:val="20"/>
                <w:szCs w:val="20"/>
                <w:color w:val="auto"/>
              </w:rPr>
            </w:pPr>
            <w:r>
              <w:rPr>
                <w:rFonts w:ascii="Arial" w:cs="Arial" w:eastAsia="Arial" w:hAnsi="Arial"/>
                <w:sz w:val="17"/>
                <w:szCs w:val="17"/>
                <w:color w:val="auto"/>
              </w:rPr>
              <w:t>F-25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Accruals, depreciation and deferred rent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(17,469)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(24,767)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Gross deferred tax liabilities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70" w:lineRule="exact"/>
        <w:rPr>
          <w:sz w:val="20"/>
          <w:szCs w:val="20"/>
          <w:color w:val="auto"/>
        </w:rPr>
      </w:pPr>
    </w:p>
    <w:p>
      <w:pPr>
        <w:jc w:val="both"/>
        <w:ind w:firstLine="491"/>
        <w:spacing w:after="0" w:line="265" w:lineRule="auto"/>
        <w:rPr>
          <w:sz w:val="20"/>
          <w:szCs w:val="20"/>
          <w:color w:val="auto"/>
        </w:rPr>
      </w:pPr>
      <w:r>
        <w:rPr>
          <w:rFonts w:ascii="Arial" w:cs="Arial" w:eastAsia="Arial" w:hAnsi="Arial"/>
          <w:sz w:val="17"/>
          <w:szCs w:val="17"/>
          <w:color w:val="auto"/>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are ultimately realized, additional paid in capital would be increased and taxes payable would be reduced.</w:t>
      </w:r>
    </w:p>
    <w:p>
      <w:pPr>
        <w:spacing w:after="0" w:line="185"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As of December 31, 2012, the Company had credit carryforwards of approximately $0.9 million and $0.7 million available to reduce future taxable income, if any, for Federal and California state income tax purposes, respectively. The Federal credit carryforwards begin to expire in 2028. California credits have no expiration date.</w:t>
      </w:r>
    </w:p>
    <w:p>
      <w:pPr>
        <w:spacing w:after="0" w:line="179" w:lineRule="exact"/>
        <w:rPr>
          <w:sz w:val="20"/>
          <w:szCs w:val="20"/>
          <w:color w:val="auto"/>
        </w:rPr>
      </w:pPr>
    </w:p>
    <w:p>
      <w:pPr>
        <w:jc w:val="both"/>
        <w:ind w:firstLine="446"/>
        <w:spacing w:after="0" w:line="265" w:lineRule="auto"/>
        <w:rPr>
          <w:sz w:val="20"/>
          <w:szCs w:val="20"/>
          <w:color w:val="auto"/>
        </w:rPr>
      </w:pPr>
      <w:r>
        <w:rPr>
          <w:rFonts w:ascii="Arial" w:cs="Arial" w:eastAsia="Arial" w:hAnsi="Arial"/>
          <w:sz w:val="17"/>
          <w:szCs w:val="17"/>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8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increases–tax position in prior period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Gross decrease–tax position in prior period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increases–current period tax positions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7"/>
                <w:szCs w:val="17"/>
                <w:color w:val="auto"/>
              </w:rPr>
              <w:t>Unrecognized tax benefits, end of period</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315"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4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Plan</w:t>
      </w:r>
    </w:p>
    <w:p>
      <w:pPr>
        <w:spacing w:after="0" w:line="228" w:lineRule="exact"/>
        <w:rPr>
          <w:sz w:val="20"/>
          <w:szCs w:val="20"/>
          <w:color w:val="auto"/>
        </w:rPr>
      </w:pPr>
    </w:p>
    <w:p>
      <w:pPr>
        <w:jc w:val="both"/>
        <w:ind w:firstLine="530"/>
        <w:spacing w:after="0" w:line="282" w:lineRule="auto"/>
        <w:rPr>
          <w:sz w:val="20"/>
          <w:szCs w:val="20"/>
          <w:color w:val="auto"/>
        </w:rPr>
      </w:pPr>
      <w:r>
        <w:rPr>
          <w:rFonts w:ascii="Arial" w:cs="Arial" w:eastAsia="Arial" w:hAnsi="Arial"/>
          <w:sz w:val="17"/>
          <w:szCs w:val="17"/>
          <w:color w:val="auto"/>
        </w:rPr>
        <w:t>The Company sponsors a 401(k) defined contribution plan covering all employees. There were no employer contributions to the plan in the years ended December 31,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In February 2013, the Company granted its Chief Executive Officer an incentive stock option to purchase 12,500 shares of its common stock with an exercise price of $4.00 per share and a contractual term of 10 years. This option will only vest if an initial public offering or merger occurs in 2013.</w:t>
      </w:r>
    </w:p>
    <w:p>
      <w:pPr>
        <w:spacing w:after="0" w:line="170" w:lineRule="exact"/>
        <w:rPr>
          <w:sz w:val="20"/>
          <w:szCs w:val="20"/>
          <w:color w:val="auto"/>
        </w:rPr>
      </w:pPr>
    </w:p>
    <w:p>
      <w:pPr>
        <w:jc w:val="both"/>
        <w:ind w:firstLine="385"/>
        <w:spacing w:after="0" w:line="282" w:lineRule="auto"/>
        <w:rPr>
          <w:sz w:val="20"/>
          <w:szCs w:val="20"/>
          <w:color w:val="auto"/>
        </w:rPr>
      </w:pPr>
      <w:r>
        <w:rPr>
          <w:rFonts w:ascii="Arial" w:cs="Arial" w:eastAsia="Arial" w:hAnsi="Arial"/>
          <w:sz w:val="17"/>
          <w:szCs w:val="17"/>
          <w:color w:val="auto"/>
        </w:rPr>
        <w:t>In June 2013, the Company amended its Amended and Restated Certificate of Incorporation to increase the number of authorized shares of Series C convertible preferred stock from 14,000,000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7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5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subsequent events through August 12, 2013, the date the audited financial statements were issued.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95"/>
        </w:trPr>
        <w:tc>
          <w:tcPr>
            <w:tcW w:w="9800" w:type="dxa"/>
            <w:vAlign w:val="bottom"/>
            <w:gridSpan w:val="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275"/>
              <w:spacing w:after="0"/>
              <w:rPr>
                <w:sz w:val="20"/>
                <w:szCs w:val="20"/>
                <w:color w:val="auto"/>
              </w:rPr>
            </w:pPr>
            <w:r>
              <w:rPr>
                <w:rFonts w:ascii="Arial" w:cs="Arial" w:eastAsia="Arial" w:hAnsi="Arial"/>
                <w:sz w:val="17"/>
                <w:szCs w:val="17"/>
                <w:b w:val="1"/>
                <w:bCs w:val="1"/>
                <w:color w:val="auto"/>
              </w:rPr>
              <w:t>VERACYTE, INC.</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20" w:type="dxa"/>
            <w:vAlign w:val="bottom"/>
            <w:gridSpan w:val="4"/>
          </w:tcPr>
          <w:p>
            <w:pPr>
              <w:jc w:val="center"/>
              <w:ind w:right="1315"/>
              <w:spacing w:after="0"/>
              <w:rPr>
                <w:sz w:val="20"/>
                <w:szCs w:val="20"/>
                <w:color w:val="auto"/>
              </w:rPr>
            </w:pPr>
            <w:r>
              <w:rPr>
                <w:rFonts w:ascii="Arial" w:cs="Arial" w:eastAsia="Arial" w:hAnsi="Arial"/>
                <w:sz w:val="17"/>
                <w:szCs w:val="17"/>
                <w:b w:val="1"/>
                <w:bCs w:val="1"/>
                <w:color w:val="auto"/>
                <w:w w:val="90"/>
              </w:rPr>
              <w:t>Index to Unaudited Interim Condensed Financial Statements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62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315"/>
              <w:spacing w:after="0"/>
              <w:rPr>
                <w:sz w:val="20"/>
                <w:szCs w:val="20"/>
                <w:color w:val="auto"/>
              </w:rPr>
            </w:pPr>
            <w:r>
              <w:rPr>
                <w:rFonts w:ascii="Arial" w:cs="Arial" w:eastAsia="Arial" w:hAnsi="Arial"/>
                <w:sz w:val="17"/>
                <w:szCs w:val="17"/>
                <w:b w:val="1"/>
                <w:bCs w:val="1"/>
                <w:color w:val="auto"/>
                <w:w w:val="90"/>
              </w:rPr>
              <w:t>Six Months Ended June 30, 2012 and 2013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7"/>
                <w:szCs w:val="17"/>
                <w:color w:val="0000EE"/>
              </w:rPr>
            </w:pPr>
            <w:hyperlink w:anchor="page170">
              <w:r>
                <w:rPr>
                  <w:rFonts w:ascii="Arial" w:cs="Arial" w:eastAsia="Arial" w:hAnsi="Arial"/>
                  <w:sz w:val="17"/>
                  <w:szCs w:val="17"/>
                  <w:color w:val="0000EE"/>
                </w:rPr>
                <w:t>Condensed Balance Sheets</w:t>
              </w:r>
            </w:hyperlink>
          </w:p>
        </w:tc>
        <w:tc>
          <w:tcPr>
            <w:tcW w:w="1620" w:type="dxa"/>
            <w:vAlign w:val="bottom"/>
            <w:gridSpan w:val="2"/>
          </w:tcPr>
          <w:p>
            <w:pPr>
              <w:spacing w:after="0"/>
              <w:rPr>
                <w:rFonts w:ascii="Arial" w:cs="Arial" w:eastAsia="Arial" w:hAnsi="Arial"/>
                <w:sz w:val="17"/>
                <w:szCs w:val="17"/>
                <w:color w:val="0000EE"/>
              </w:rPr>
            </w:pPr>
            <w:hyperlink w:anchor="page170">
              <w:r>
                <w:rPr>
                  <w:rFonts w:ascii="Arial" w:cs="Arial" w:eastAsia="Arial" w:hAnsi="Arial"/>
                  <w:sz w:val="17"/>
                  <w:szCs w:val="17"/>
                  <w:color w:val="0000EE"/>
                </w:rPr>
                <w:t>F-30</w:t>
              </w:r>
            </w:hyperlink>
          </w:p>
        </w:tc>
      </w:tr>
      <w:tr>
        <w:trPr>
          <w:trHeight w:val="20"/>
        </w:trPr>
        <w:tc>
          <w:tcPr>
            <w:tcW w:w="116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71">
              <w:r>
                <w:rPr>
                  <w:rFonts w:ascii="Arial" w:cs="Arial" w:eastAsia="Arial" w:hAnsi="Arial"/>
                  <w:sz w:val="17"/>
                  <w:szCs w:val="17"/>
                  <w:color w:val="0000EE"/>
                </w:rPr>
                <w:t>Condensed Statements of Operations and Comprehensive Loss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71">
              <w:r>
                <w:rPr>
                  <w:rFonts w:ascii="Arial" w:cs="Arial" w:eastAsia="Arial" w:hAnsi="Arial"/>
                  <w:sz w:val="17"/>
                  <w:szCs w:val="17"/>
                  <w:color w:val="0000EE"/>
                </w:rPr>
                <w:t>F-31</w:t>
              </w:r>
            </w:hyperlink>
          </w:p>
        </w:tc>
      </w:tr>
      <w:tr>
        <w:trPr>
          <w:trHeight w:val="190"/>
        </w:trPr>
        <w:tc>
          <w:tcPr>
            <w:tcW w:w="1160" w:type="dxa"/>
            <w:vAlign w:val="bottom"/>
          </w:tcPr>
          <w:p>
            <w:pPr>
              <w:spacing w:after="0"/>
              <w:rPr>
                <w:sz w:val="16"/>
                <w:szCs w:val="16"/>
                <w:color w:val="auto"/>
              </w:rPr>
            </w:pPr>
          </w:p>
        </w:tc>
        <w:tc>
          <w:tcPr>
            <w:tcW w:w="428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72">
              <w:r>
                <w:rPr>
                  <w:rFonts w:ascii="Arial" w:cs="Arial" w:eastAsia="Arial" w:hAnsi="Arial"/>
                  <w:sz w:val="17"/>
                  <w:szCs w:val="17"/>
                  <w:color w:val="0000EE"/>
                </w:rPr>
                <w:t>Condensed Statements of Cash Flows</w:t>
              </w:r>
            </w:hyperlink>
          </w:p>
        </w:tc>
        <w:tc>
          <w:tcPr>
            <w:tcW w:w="4360" w:type="dxa"/>
            <w:vAlign w:val="bottom"/>
          </w:tcPr>
          <w:p>
            <w:pPr>
              <w:spacing w:after="0"/>
              <w:rPr>
                <w:sz w:val="16"/>
                <w:szCs w:val="16"/>
                <w:color w:val="auto"/>
              </w:rPr>
            </w:pPr>
          </w:p>
        </w:tc>
        <w:tc>
          <w:tcPr>
            <w:tcW w:w="320" w:type="dxa"/>
            <w:vAlign w:val="bottom"/>
            <w:tcBorders>
              <w:top w:val="single" w:sz="8" w:color="0000EE"/>
            </w:tcBorders>
          </w:tcPr>
          <w:p>
            <w:pPr>
              <w:spacing w:after="0" w:line="189" w:lineRule="exact"/>
              <w:rPr>
                <w:rFonts w:ascii="Arial" w:cs="Arial" w:eastAsia="Arial" w:hAnsi="Arial"/>
                <w:sz w:val="17"/>
                <w:szCs w:val="17"/>
                <w:color w:val="0000EE"/>
                <w:w w:val="85"/>
              </w:rPr>
            </w:pPr>
            <w:hyperlink w:anchor="page172">
              <w:r>
                <w:rPr>
                  <w:rFonts w:ascii="Arial" w:cs="Arial" w:eastAsia="Arial" w:hAnsi="Arial"/>
                  <w:sz w:val="17"/>
                  <w:szCs w:val="17"/>
                  <w:color w:val="0000EE"/>
                  <w:w w:val="85"/>
                </w:rPr>
                <w:t>F-32</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Notes to Condensed Financial Statements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73">
              <w:r>
                <w:rPr>
                  <w:rFonts w:ascii="Arial" w:cs="Arial" w:eastAsia="Arial" w:hAnsi="Arial"/>
                  <w:sz w:val="17"/>
                  <w:szCs w:val="17"/>
                  <w:color w:val="0000EE"/>
                </w:rPr>
                <w:t>F-33</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tcPr>
          <w:p>
            <w:pPr>
              <w:jc w:val="center"/>
              <w:ind w:right="3715"/>
              <w:spacing w:after="0"/>
              <w:rPr>
                <w:sz w:val="20"/>
                <w:szCs w:val="20"/>
                <w:color w:val="auto"/>
              </w:rPr>
            </w:pPr>
            <w:r>
              <w:rPr>
                <w:rFonts w:ascii="Arial" w:cs="Arial" w:eastAsia="Arial" w:hAnsi="Arial"/>
                <w:sz w:val="17"/>
                <w:szCs w:val="17"/>
                <w:color w:val="auto"/>
                <w:w w:val="91"/>
              </w:rPr>
              <w:t>F-29</w:t>
            </w:r>
          </w:p>
        </w:tc>
        <w:tc>
          <w:tcPr>
            <w:tcW w:w="3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Balance Sheets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4"/>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2"/>
                <w:szCs w:val="12"/>
                <w:color w:val="auto"/>
              </w:rPr>
            </w:pPr>
          </w:p>
        </w:tc>
        <w:tc>
          <w:tcPr>
            <w:tcW w:w="2120" w:type="dxa"/>
            <w:vAlign w:val="bottom"/>
            <w:gridSpan w:val="3"/>
          </w:tcPr>
          <w:p>
            <w:pPr>
              <w:jc w:val="center"/>
              <w:ind w:right="1400"/>
              <w:spacing w:after="0" w:line="144" w:lineRule="exact"/>
              <w:rPr>
                <w:sz w:val="20"/>
                <w:szCs w:val="20"/>
                <w:color w:val="auto"/>
              </w:rPr>
            </w:pPr>
            <w:r>
              <w:rPr>
                <w:rFonts w:ascii="Arial" w:cs="Arial" w:eastAsia="Arial" w:hAnsi="Arial"/>
                <w:sz w:val="13"/>
                <w:szCs w:val="13"/>
                <w:b w:val="1"/>
                <w:bCs w:val="1"/>
                <w:color w:val="auto"/>
                <w:w w:val="92"/>
              </w:rPr>
              <w:t>Equity as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22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(Unaudited)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4"/>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4"/>
              </w:rPr>
              <w:t>Accounts receivable, net of allowance of $222 and $318 as of December 31, 2012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7"/>
                <w:szCs w:val="17"/>
                <w:color w:val="auto"/>
              </w:rPr>
              <w:t>and June 30, 2013</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Supplies inventory</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23,842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480"/>
              <w:spacing w:after="0"/>
              <w:rPr>
                <w:sz w:val="20"/>
                <w:szCs w:val="20"/>
                <w:color w:val="auto"/>
              </w:rPr>
            </w:pPr>
            <w:r>
              <w:rPr>
                <w:rFonts w:ascii="Arial" w:cs="Arial" w:eastAsia="Arial" w:hAnsi="Arial"/>
                <w:sz w:val="17"/>
                <w:szCs w:val="17"/>
                <w:color w:val="auto"/>
              </w:rPr>
              <w:t>Total assets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 Equity</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5,387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Genzyme co-promotion fee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Preferred stock liability</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8,991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9,793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Long-term debt, net of discount</w:t>
            </w: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4,826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rent,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Preferred stock warrant liability</w:t>
            </w: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w w:val="97"/>
              </w:rPr>
              <w:t>Convertible preferred stock; $0.001 par value, 59,147,999 and 60,187,700 shares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8"/>
              </w:rPr>
              <w:t>authorized at December 31, 2012 and June 30, 2013 (unaudited), respectively;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4"/>
              </w:rPr>
              <w:t>53,084,507 and 59,989,268 shares issued and outstanding at December 31, 2012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8"/>
              </w:rPr>
              <w:t>and June 30, 2013 (unaudited), respectively; no shares authorized, issued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8"/>
              </w:rPr>
              <w:t>outstanding, pro forma (unaudited); aggregate liquidation value of $65,835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$78,885 at December 31, 2012 and June 30, 2013 (unaudited), respectively</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63,372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79,025</w:t>
            </w:r>
          </w:p>
        </w:tc>
        <w:tc>
          <w:tcPr>
            <w:tcW w:w="100" w:type="dxa"/>
            <w:vAlign w:val="bottom"/>
          </w:tcPr>
          <w:p>
            <w:pPr>
              <w:spacing w:after="0"/>
              <w:rPr>
                <w:sz w:val="18"/>
                <w:szCs w:val="18"/>
                <w:color w:val="auto"/>
              </w:rPr>
            </w:pPr>
          </w:p>
        </w:tc>
        <w:tc>
          <w:tcPr>
            <w:tcW w:w="21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1"/>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Common stock, $0.001 par value; 77,000,000 shares authorized; 667,684 and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4"/>
              </w:rPr>
              <w:t>928,713 shares issued and outstanding at December 31, 2012 and June 30, 2013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w w:val="95"/>
              </w:rPr>
              <w:t>(unaudited), respectively; 125,000,000 shares authorized and 15,926,025 shares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issued and outstanding, pro forma (unaudited)</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2,666</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81,851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(60,069)</w:t>
            </w: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27,159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8060" w:type="dxa"/>
            <w:vAlign w:val="bottom"/>
            <w:gridSpan w:val="8"/>
          </w:tcPr>
          <w:p>
            <w:pPr>
              <w:ind w:left="1660"/>
              <w:spacing w:after="0"/>
              <w:rPr>
                <w:sz w:val="20"/>
                <w:szCs w:val="20"/>
                <w:color w:val="auto"/>
              </w:rPr>
            </w:pPr>
            <w:r>
              <w:rPr>
                <w:rFonts w:ascii="Arial" w:cs="Arial" w:eastAsia="Arial" w:hAnsi="Arial"/>
                <w:sz w:val="17"/>
                <w:szCs w:val="17"/>
                <w:color w:val="auto"/>
                <w:w w:val="98"/>
              </w:rPr>
              <w:t>The accompanying notes are an integral part of these condensed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6000" w:type="dxa"/>
            <w:vAlign w:val="bottom"/>
          </w:tcPr>
          <w:p>
            <w:pPr>
              <w:ind w:left="4420"/>
              <w:spacing w:after="0"/>
              <w:rPr>
                <w:sz w:val="20"/>
                <w:szCs w:val="20"/>
                <w:color w:val="auto"/>
              </w:rPr>
            </w:pPr>
            <w:r>
              <w:rPr>
                <w:rFonts w:ascii="Arial" w:cs="Arial" w:eastAsia="Arial" w:hAnsi="Arial"/>
                <w:sz w:val="17"/>
                <w:szCs w:val="17"/>
                <w:color w:val="auto"/>
              </w:rPr>
              <w:t>F-30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2"/>
              </w:rPr>
              <w:t>Six Months Ended June 30,</w:t>
            </w:r>
          </w:p>
        </w:tc>
        <w:tc>
          <w:tcPr>
            <w:tcW w:w="0" w:type="dxa"/>
            <w:vAlign w:val="bottom"/>
          </w:tcPr>
          <w:p>
            <w:pPr>
              <w:spacing w:after="0"/>
              <w:rPr>
                <w:sz w:val="1"/>
                <w:szCs w:val="1"/>
                <w:color w:val="auto"/>
              </w:rPr>
            </w:pPr>
          </w:p>
        </w:tc>
      </w:tr>
      <w:tr>
        <w:trPr>
          <w:trHeight w:val="137"/>
        </w:trPr>
        <w:tc>
          <w:tcPr>
            <w:tcW w:w="70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10"/>
        </w:trPr>
        <w:tc>
          <w:tcPr>
            <w:tcW w:w="70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3,158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3,618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12,821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(8,874)</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(8,874)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7"/>
              </w:rPr>
              <w:t>638,318</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812,703</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(0.94)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pro forma net loss per common share, basic and diluted</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14,195,399</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(8,874)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(13,385)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(1,136)</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debt discount and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receivables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(437)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753</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10,000</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(10,623)</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issuance of long-term debt, net of debt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12,998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738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18,195</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6,681</w:t>
            </w:r>
          </w:p>
        </w:tc>
        <w:tc>
          <w:tcPr>
            <w:tcW w:w="0" w:type="dxa"/>
            <w:vAlign w:val="bottom"/>
          </w:tcPr>
          <w:p>
            <w:pPr>
              <w:spacing w:after="0"/>
              <w:rPr>
                <w:sz w:val="1"/>
                <w:szCs w:val="1"/>
                <w:color w:val="auto"/>
              </w:rPr>
            </w:pPr>
          </w:p>
        </w:tc>
      </w:tr>
      <w:tr>
        <w:trPr>
          <w:trHeight w:val="417"/>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14,002</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8,975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20,683</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89"/>
        <w:spacing w:after="0" w:line="280" w:lineRule="auto"/>
        <w:rPr>
          <w:sz w:val="20"/>
          <w:szCs w:val="20"/>
          <w:color w:val="auto"/>
        </w:rPr>
      </w:pPr>
      <w:r>
        <w:rPr>
          <w:rFonts w:ascii="Arial" w:cs="Arial" w:eastAsia="Arial" w:hAnsi="Arial"/>
          <w:sz w:val="16"/>
          <w:szCs w:val="16"/>
          <w:color w:val="auto"/>
        </w:rPr>
        <w:t>The interim balance sheet as of June 30, 2013, and the statements of operations and comprehensive loss and cash flows for the six months ended June 30,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June 30, 2013 and its results of operations and cash flows for the six months ended June 30, 2012 and 2013. The financial data and the other financial information contained in these notes to the financial statements related to the three month periods are also unaudited. The results of operations for the six months ended June 30,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75" w:lineRule="exact"/>
        <w:rPr>
          <w:sz w:val="20"/>
          <w:szCs w:val="20"/>
          <w:color w:val="auto"/>
        </w:rPr>
      </w:pPr>
    </w:p>
    <w:p>
      <w:pPr>
        <w:jc w:val="both"/>
        <w:ind w:firstLine="446"/>
        <w:spacing w:after="0" w:line="303" w:lineRule="auto"/>
        <w:rPr>
          <w:sz w:val="20"/>
          <w:szCs w:val="20"/>
          <w:color w:val="auto"/>
        </w:rPr>
      </w:pPr>
      <w:r>
        <w:rPr>
          <w:rFonts w:ascii="Arial" w:cs="Arial" w:eastAsia="Arial" w:hAnsi="Arial"/>
          <w:sz w:val="15"/>
          <w:szCs w:val="15"/>
          <w:color w:val="auto"/>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convertible preferred stock was also effected in connection with the reverse stock split. Except for pro forma financial information as of June 30, 2013, these financial statements have not been retroactively adjusted to give effect to the reverse split of the convertible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The pro forma stockholders' equity as of June 30, 2013 presents the Company's stockholders' equity as though all of the Company's convertible preferred stock outstanding had automatically converted into 14,997,312 shares of common stock upon the completion of a qualifying initial public offering ("IPO") of the Company's common stock. In addition, the pro forma stockholders' equity assumes the reclassification of the convertible preferred stock warrant liability to additional paid-in capital upon a qualifying initial public offering of the Company's common stock, as the warrants upon an initial public offering become common stock warrants that are not subject to remeasurement. The shares of common stock issuable and the proceeds expected to be received in the IPO are excluded from such pro forma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 source suppliers. If these single source suppliers fail to satisfy the Company's requirements on a timely basis, it could suffer delays in being able to deliver Afirma,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71"/>
        <w:spacing w:after="0" w:line="315" w:lineRule="auto"/>
        <w:rPr>
          <w:sz w:val="20"/>
          <w:szCs w:val="20"/>
          <w:color w:val="auto"/>
        </w:rPr>
      </w:pPr>
      <w:r>
        <w:rPr>
          <w:rFonts w:ascii="Arial" w:cs="Arial" w:eastAsia="Arial" w:hAnsi="Arial"/>
          <w:sz w:val="16"/>
          <w:szCs w:val="16"/>
          <w:color w:val="auto"/>
        </w:rPr>
        <w:t>As of December 31, 2012 and June 30,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9"/>
              </w:rPr>
              <w:t>Six Months</w:t>
            </w:r>
          </w:p>
        </w:tc>
      </w:tr>
      <w:tr>
        <w:trPr>
          <w:trHeight w:val="144"/>
        </w:trPr>
        <w:tc>
          <w:tcPr>
            <w:tcW w:w="6760" w:type="dxa"/>
            <w:vAlign w:val="bottom"/>
          </w:tcPr>
          <w:p>
            <w:pPr>
              <w:spacing w:after="0"/>
              <w:rPr>
                <w:sz w:val="12"/>
                <w:szCs w:val="12"/>
                <w:color w:val="auto"/>
              </w:rPr>
            </w:pPr>
          </w:p>
        </w:tc>
        <w:tc>
          <w:tcPr>
            <w:tcW w:w="720" w:type="dxa"/>
            <w:vAlign w:val="bottom"/>
            <w:gridSpan w:val="3"/>
          </w:tcPr>
          <w:p>
            <w:pPr>
              <w:jc w:val="center"/>
              <w:ind w:left="265"/>
              <w:spacing w:after="0" w:line="144" w:lineRule="exact"/>
              <w:rPr>
                <w:sz w:val="20"/>
                <w:szCs w:val="20"/>
                <w:color w:val="auto"/>
              </w:rPr>
            </w:pPr>
            <w:r>
              <w:rPr>
                <w:rFonts w:ascii="Arial" w:cs="Arial" w:eastAsia="Arial" w:hAnsi="Arial"/>
                <w:sz w:val="13"/>
                <w:szCs w:val="13"/>
                <w:b w:val="1"/>
                <w:bCs w:val="1"/>
                <w:color w:val="auto"/>
                <w:w w:val="95"/>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Aetna</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United Healthcare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0"/>
        <w:spacing w:after="0" w:line="282" w:lineRule="auto"/>
        <w:rPr>
          <w:sz w:val="20"/>
          <w:szCs w:val="20"/>
          <w:color w:val="auto"/>
        </w:rPr>
      </w:pPr>
      <w:r>
        <w:rPr>
          <w:rFonts w:ascii="Arial" w:cs="Arial" w:eastAsia="Arial" w:hAnsi="Arial"/>
          <w:sz w:val="17"/>
          <w:szCs w:val="17"/>
          <w:color w:val="auto"/>
        </w:rPr>
        <w:t>Accounts receivable from Medicare amounted to 87% and 86% of gross receivables as of December 31, 2012 and June 30, 2013, respectively. No other third-party payer represented more than 10% of the Company's service revenues or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Cash and cash equivalents consist of all highly liquid investments with original maturities of three months or less at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ind w:firstLine="388"/>
        <w:spacing w:after="0" w:line="315" w:lineRule="auto"/>
        <w:rPr>
          <w:sz w:val="20"/>
          <w:szCs w:val="20"/>
          <w:color w:val="auto"/>
        </w:rPr>
      </w:pPr>
      <w:r>
        <w:rPr>
          <w:rFonts w:ascii="Arial" w:cs="Arial" w:eastAsia="Arial" w:hAnsi="Arial"/>
          <w:sz w:val="16"/>
          <w:szCs w:val="16"/>
          <w:color w:val="auto"/>
        </w:rPr>
        <w:t>At December 31, 2012 and June 30, 2013, deposits of $168,000 and $118,000 were restricted from withdrawal and held by a bank in the form of certificates of deposit and collateral for letters of credit. The balance at December 31, 2012 and June 30, 2013 consists of a certificate of deposit of $50,000 and $0,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respectively, held as collateral for payment of the Company's credit cards and a letter of credit totaling $118,000 and $118,000, respectively, which is related to security for the lease of office space.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The Company accrues an allowance for doubtful accounts against its accounts receivable based on estimates consistent with historical payment experience. Bad debt expense is included in general and 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June 30, 2013 was $222,000 and $318,000, respectively. The provision for bad debt expense was $85,000 and $117,000 for the six months ended June 30, 2012 and 2013, respectively. There were no write-offs and $21,000 in write-offs for doubtful accounts against the allowance during the six months ended June 30, 2012 and 2013,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six months ended June 30, 2012 and 2013, the Company capitalized $0 and $166,000 of software development costs, respectively. Capitalized software is classified as part of property and equipment, and had a net book value of $184,000 and $311,000 as of December 31, 2012 and June 30,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June 30, 2013, the Company accrued $671,000 and $410,000, respectively, for liabilities associated with these employee and executive bonus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59"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224"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Common Share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Pro forma basic and diluted net loss per common share has been computed to give effect to the conversion of all of the outstanding shares of convertible preferred stock into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December 31,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June 30, 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auto"/>
              </w:rPr>
              <w:t>Accrued Genzyme co-promotion fees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80" w:type="dxa"/>
            <w:vAlign w:val="bottom"/>
            <w:vMerge w:val="restart"/>
          </w:tcPr>
          <w:p>
            <w:pPr>
              <w:spacing w:after="0"/>
              <w:rPr>
                <w:sz w:val="20"/>
                <w:szCs w:val="20"/>
                <w:color w:val="auto"/>
              </w:rPr>
            </w:pPr>
            <w:r>
              <w:rPr>
                <w:rFonts w:ascii="Arial" w:cs="Arial" w:eastAsia="Arial" w:hAnsi="Arial"/>
                <w:sz w:val="17"/>
                <w:szCs w:val="17"/>
                <w:color w:val="auto"/>
              </w:rPr>
              <w:t>Accrued liabilities</w:t>
            </w: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28"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3" w:lineRule="exact"/>
        <w:rPr>
          <w:sz w:val="20"/>
          <w:szCs w:val="20"/>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76"/>
        <w:spacing w:after="0" w:line="282" w:lineRule="auto"/>
        <w:rPr>
          <w:sz w:val="20"/>
          <w:szCs w:val="20"/>
          <w:color w:val="auto"/>
        </w:rPr>
      </w:pPr>
      <w:r>
        <w:rPr>
          <w:rFonts w:ascii="Arial" w:cs="Arial" w:eastAsia="Arial" w:hAnsi="Arial"/>
          <w:sz w:val="17"/>
          <w:szCs w:val="17"/>
          <w:color w:val="auto"/>
        </w:rPr>
        <w:t>The Company's financial assets and liabilities subject to fair value measurements on a recurring basis and the level of inputs used in such measurements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w w:val="92"/>
              </w:rPr>
              <w:t>December 31, 2012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520" w:type="dxa"/>
            <w:vAlign w:val="bottom"/>
            <w:gridSpan w:val="2"/>
            <w:vMerge w:val="restart"/>
          </w:tcPr>
          <w:p>
            <w:pPr>
              <w:ind w:left="1720"/>
              <w:spacing w:after="0"/>
              <w:rPr>
                <w:sz w:val="20"/>
                <w:szCs w:val="20"/>
                <w:color w:val="auto"/>
              </w:rPr>
            </w:pPr>
            <w:r>
              <w:rPr>
                <w:rFonts w:ascii="Arial" w:cs="Arial" w:eastAsia="Arial" w:hAnsi="Arial"/>
                <w:sz w:val="17"/>
                <w:szCs w:val="17"/>
                <w:color w:val="auto"/>
              </w:rPr>
              <w:t>Financial Liabilities:</w:t>
            </w:r>
          </w:p>
        </w:tc>
        <w:tc>
          <w:tcPr>
            <w:tcW w:w="1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52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2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financial liabilities</w:t>
            </w:r>
          </w:p>
        </w:tc>
        <w:tc>
          <w:tcPr>
            <w:tcW w:w="20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60" w:type="dxa"/>
            <w:vAlign w:val="bottom"/>
            <w:gridSpan w:val="2"/>
          </w:tcPr>
          <w:p>
            <w:pPr>
              <w:jc w:val="right"/>
              <w:ind w:right="615"/>
              <w:spacing w:after="0"/>
              <w:rPr>
                <w:sz w:val="20"/>
                <w:szCs w:val="20"/>
                <w:color w:val="auto"/>
              </w:rPr>
            </w:pPr>
            <w:r>
              <w:rPr>
                <w:rFonts w:ascii="Arial" w:cs="Arial" w:eastAsia="Arial" w:hAnsi="Arial"/>
                <w:sz w:val="17"/>
                <w:szCs w:val="17"/>
                <w:color w:val="auto"/>
              </w:rPr>
              <w:t>F-37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2"/>
              </w:rPr>
              <w:t>June 30, 2013</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11,896</w:t>
            </w:r>
          </w:p>
        </w:tc>
        <w:tc>
          <w:tcPr>
            <w:tcW w:w="3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11,896</w:t>
            </w:r>
          </w:p>
        </w:tc>
        <w:tc>
          <w:tcPr>
            <w:tcW w:w="38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11,896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Financial Liabilities: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warrant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Total financial liabilities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5"/>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175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65"/>
        <w:spacing w:after="0" w:line="282" w:lineRule="auto"/>
        <w:rPr>
          <w:sz w:val="20"/>
          <w:szCs w:val="20"/>
          <w:color w:val="auto"/>
        </w:rPr>
      </w:pPr>
      <w:r>
        <w:rPr>
          <w:rFonts w:ascii="Arial" w:cs="Arial" w:eastAsia="Arial" w:hAnsi="Arial"/>
          <w:sz w:val="17"/>
          <w:szCs w:val="17"/>
          <w:color w:val="auto"/>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2,070</w:t>
            </w:r>
          </w:p>
        </w:tc>
        <w:tc>
          <w:tcPr>
            <w:tcW w:w="160" w:type="dxa"/>
            <w:vAlign w:val="bottom"/>
          </w:tcPr>
          <w:p>
            <w:pPr>
              <w:spacing w:after="0"/>
              <w:rPr>
                <w:sz w:val="18"/>
                <w:szCs w:val="18"/>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Settlement of preferred stock liability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(2,653)</w:t>
            </w: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Fair value of preferred stock warrant liability</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7"/>
                <w:szCs w:val="17"/>
                <w:color w:val="auto"/>
              </w:rPr>
            </w:pPr>
          </w:p>
        </w:tc>
      </w:tr>
      <w:tr>
        <w:trPr>
          <w:trHeight w:val="26"/>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net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28"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7"/>
          <w:szCs w:val="17"/>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 (Continued)</w:t>
      </w:r>
    </w:p>
    <w:p>
      <w:pPr>
        <w:spacing w:after="0" w:line="228"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The Company's interest expense related to the amortization of the debt discount and accretion of the end of term payment was not material for the six months ended June 30, 2013.</w:t>
      </w:r>
    </w:p>
    <w:p>
      <w:pPr>
        <w:spacing w:after="0" w:line="175" w:lineRule="exact"/>
        <w:rPr>
          <w:sz w:val="20"/>
          <w:szCs w:val="20"/>
          <w:color w:val="auto"/>
        </w:rPr>
      </w:pPr>
    </w:p>
    <w:p>
      <w:pPr>
        <w:jc w:val="both"/>
        <w:ind w:firstLine="464"/>
        <w:spacing w:after="0" w:line="261"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Convertible Preferred Stock Warrant</w:t>
      </w:r>
    </w:p>
    <w:p>
      <w:pPr>
        <w:spacing w:after="0" w:line="22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24,801 shares of common stock (or 49,602 shares in the aggregate if the Company draws down the second term loan), at an exercise price of $7.56 per share.</w:t>
      </w:r>
    </w:p>
    <w:p>
      <w:pPr>
        <w:spacing w:after="0" w:line="192"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The fair value of the currently exercisable portion of the warrant in the amount of $175,000 was recorded as a preferred stock warrant liability upon issuance and is subject to remeasurement at each reporting period.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The fair value of the preferred stock warrant liability did not change from issuance to June 30, 2013.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Preferred Stock</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w:t>
      </w:r>
    </w:p>
    <w:p>
      <w:pPr>
        <w:spacing w:after="0" w:line="228"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7"/>
          <w:szCs w:val="17"/>
          <w:color w:val="auto"/>
        </w:rPr>
        <w:t>The following table summarizes activity under the Company's 2008 Stock Plan, including grants to non-employees and restricted stock issued (in thousands, except per share amounts):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2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Shares Available</w:t>
            </w:r>
          </w:p>
        </w:tc>
        <w:tc>
          <w:tcPr>
            <w:tcW w:w="104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Options</w:t>
            </w:r>
          </w:p>
        </w:tc>
        <w:tc>
          <w:tcPr>
            <w:tcW w:w="13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Exercise Price per</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for Grant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Intrinsic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347,386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2,227,669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Additional options authorized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250,000</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granted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(627,654)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627,654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Options exercised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(261,029)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forfeited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173,992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(173,992)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Balances at June 30, 2013</w:t>
            </w:r>
          </w:p>
        </w:tc>
        <w:tc>
          <w:tcPr>
            <w:tcW w:w="1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143,724</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2,420,302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Vested–June 30, 2013</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1,176,194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6,957</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Expected to vest–June 30, 2013</w:t>
            </w: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2,281,039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57"/>
        <w:spacing w:after="0" w:line="282" w:lineRule="auto"/>
        <w:rPr>
          <w:sz w:val="20"/>
          <w:szCs w:val="20"/>
          <w:color w:val="auto"/>
        </w:rPr>
      </w:pPr>
      <w:r>
        <w:rPr>
          <w:rFonts w:ascii="Arial" w:cs="Arial" w:eastAsia="Arial" w:hAnsi="Arial"/>
          <w:sz w:val="17"/>
          <w:szCs w:val="17"/>
          <w:color w:val="auto"/>
        </w:rPr>
        <w:t>The aggregate intrinsic value was calculated as the difference between the exercise price of the options to purchase common stock and the estimated fair value of the Company's common stock of $7.92 per share as of June 30,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Outstanding and exercisable stock options at June 30, 2013 are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Pr>
          <w:p>
            <w:pPr>
              <w:spacing w:after="0"/>
              <w:rPr>
                <w:sz w:val="13"/>
                <w:szCs w:val="13"/>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Options Vested and Exercisable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0" w:type="dxa"/>
            <w:vAlign w:val="bottom"/>
          </w:tcPr>
          <w:p>
            <w:pPr>
              <w:spacing w:after="0"/>
              <w:rPr>
                <w:sz w:val="1"/>
                <w:szCs w:val="1"/>
                <w:color w:val="auto"/>
              </w:rPr>
            </w:pPr>
          </w:p>
        </w:tc>
      </w:tr>
      <w:tr>
        <w:trPr>
          <w:trHeight w:val="157"/>
        </w:trPr>
        <w:tc>
          <w:tcPr>
            <w:tcW w:w="274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820" w:type="dxa"/>
            <w:vAlign w:val="bottom"/>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1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Life (in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$0.08</w:t>
            </w:r>
          </w:p>
        </w:tc>
        <w:tc>
          <w:tcPr>
            <w:tcW w:w="18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180,875</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180,875</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$0.80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196,194</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168,717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$2.36</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456,281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331,818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$2.40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223,750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127,301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$2.68</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687,622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265,018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$4.00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476,049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102,465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$6.04</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199,531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 w:type="dxa"/>
            <w:vAlign w:val="bottom"/>
            <w:gridSpan w:val="2"/>
            <w:vMerge w:val="restart"/>
          </w:tcPr>
          <w:p>
            <w:pPr>
              <w:spacing w:after="0"/>
              <w:rPr>
                <w:sz w:val="20"/>
                <w:szCs w:val="20"/>
                <w:color w:val="auto"/>
              </w:rPr>
            </w:pPr>
            <w:r>
              <w:rPr>
                <w:rFonts w:ascii="Arial" w:cs="Arial" w:eastAsia="Arial" w:hAnsi="Arial"/>
                <w:sz w:val="17"/>
                <w:szCs w:val="17"/>
                <w:color w:val="auto"/>
              </w:rPr>
              <w:t>$0.08-6.04</w:t>
            </w: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8.26</w:t>
            </w:r>
          </w:p>
        </w:tc>
        <w:tc>
          <w:tcPr>
            <w:tcW w:w="980" w:type="dxa"/>
            <w:vAlign w:val="bottom"/>
            <w:gridSpan w:val="2"/>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7.50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2,420,302</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1,176,194</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weighted average fair value of stock options granted was $1.88 and $3.18 per share in the six months ended June 30, 2012 and 2013, respectively.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vested was $1.39 and $2.10 per share in the six months ended June 30, 2012 and 2013, respectively.</w:t>
      </w:r>
    </w:p>
    <w:p>
      <w:pPr>
        <w:spacing w:after="0" w:line="236" w:lineRule="exact"/>
        <w:rPr>
          <w:sz w:val="20"/>
          <w:szCs w:val="20"/>
          <w:color w:val="auto"/>
        </w:rPr>
      </w:pPr>
    </w:p>
    <w:p>
      <w:pPr>
        <w:jc w:val="both"/>
        <w:ind w:firstLine="393"/>
        <w:spacing w:after="0" w:line="315" w:lineRule="auto"/>
        <w:rPr>
          <w:sz w:val="20"/>
          <w:szCs w:val="20"/>
          <w:color w:val="auto"/>
        </w:rPr>
      </w:pPr>
      <w:r>
        <w:rPr>
          <w:rFonts w:ascii="Arial" w:cs="Arial" w:eastAsia="Arial" w:hAnsi="Arial"/>
          <w:sz w:val="16"/>
          <w:szCs w:val="16"/>
          <w:color w:val="auto"/>
        </w:rPr>
        <w:t>The weighted average fair value of stock options exercised was $0.96 and $0.83 per share in the three months ended June 30, 2012 and 2013, respectively. The intrinsic value of stock options exercised was $109,000 and $1.7 million in the six months ended June 30, 2012 and 2013,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Stock-based compensation expense recognized was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184"/>
              <w:spacing w:after="0" w:line="144" w:lineRule="exact"/>
              <w:rPr>
                <w:sz w:val="20"/>
                <w:szCs w:val="20"/>
                <w:color w:val="auto"/>
              </w:rPr>
            </w:pPr>
            <w:r>
              <w:rPr>
                <w:rFonts w:ascii="Arial" w:cs="Arial" w:eastAsia="Arial" w:hAnsi="Arial"/>
                <w:sz w:val="13"/>
                <w:szCs w:val="13"/>
                <w:b w:val="1"/>
                <w:bCs w:val="1"/>
                <w:color w:val="auto"/>
                <w:w w:val="90"/>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297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As of June 30, 2013, the Company had $2.6 million of unrecognized compensation expense related to unvested stock options, which is expected to be recognized over an estimated weighted-average period of 3.0 years.</w:t>
      </w:r>
    </w:p>
    <w:p>
      <w:pPr>
        <w:spacing w:after="0" w:line="170"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The estimated grant date fair value of employee stock options was calculated using the Black-Scholes option-pricing valuation model, based on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205"/>
              <w:spacing w:after="0"/>
              <w:rPr>
                <w:sz w:val="20"/>
                <w:szCs w:val="20"/>
                <w:color w:val="auto"/>
              </w:rPr>
            </w:pPr>
            <w:r>
              <w:rPr>
                <w:rFonts w:ascii="Arial" w:cs="Arial" w:eastAsia="Arial" w:hAnsi="Arial"/>
                <w:sz w:val="13"/>
                <w:szCs w:val="13"/>
                <w:b w:val="1"/>
                <w:bCs w:val="1"/>
                <w:color w:val="auto"/>
                <w:w w:val="92"/>
              </w:rPr>
              <w:t>June 30,</w:t>
            </w:r>
          </w:p>
        </w:tc>
        <w:tc>
          <w:tcPr>
            <w:tcW w:w="700" w:type="dxa"/>
            <w:vAlign w:val="bottom"/>
            <w:tcBorders>
              <w:bottom w:val="single" w:sz="8" w:color="auto"/>
            </w:tcBorders>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5"/>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20"/>
              <w:spacing w:after="0" w:line="138" w:lineRule="exact"/>
              <w:rPr>
                <w:sz w:val="20"/>
                <w:szCs w:val="20"/>
                <w:color w:val="auto"/>
              </w:rPr>
            </w:pPr>
            <w:r>
              <w:rPr>
                <w:rFonts w:ascii="Arial" w:cs="Arial" w:eastAsia="Arial" w:hAnsi="Arial"/>
                <w:sz w:val="13"/>
                <w:szCs w:val="13"/>
                <w:b w:val="1"/>
                <w:bCs w:val="1"/>
                <w:color w:val="auto"/>
                <w:w w:val="89"/>
              </w:rPr>
              <w:t>2013</w:t>
            </w: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83.06</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- 83.69%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- 81.41%</w:t>
            </w:r>
          </w:p>
        </w:tc>
      </w:tr>
      <w:tr>
        <w:trPr>
          <w:trHeight w:val="210"/>
        </w:trPr>
        <w:tc>
          <w:tcPr>
            <w:tcW w:w="5580" w:type="dxa"/>
            <w:vAlign w:val="bottom"/>
          </w:tcPr>
          <w:p>
            <w:pPr>
              <w:spacing w:after="0"/>
              <w:rPr>
                <w:sz w:val="20"/>
                <w:szCs w:val="20"/>
                <w:color w:val="auto"/>
              </w:rPr>
            </w:pPr>
            <w:r>
              <w:rPr>
                <w:rFonts w:ascii="Arial" w:cs="Arial" w:eastAsia="Arial" w:hAnsi="Arial"/>
                <w:sz w:val="17"/>
                <w:szCs w:val="17"/>
                <w:color w:val="auto"/>
              </w:rPr>
              <w:t>Weighted-average expected term (years)</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5.0 - 6.08</w:t>
            </w:r>
          </w:p>
        </w:tc>
        <w:tc>
          <w:tcPr>
            <w:tcW w:w="12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5.0 - 6.08</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- 1.60%</w:t>
            </w: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20" w:type="dxa"/>
            <w:vAlign w:val="bottom"/>
          </w:tcPr>
          <w:p>
            <w:pPr>
              <w:spacing w:after="0"/>
              <w:rPr>
                <w:sz w:val="18"/>
                <w:szCs w:val="18"/>
                <w:color w:val="auto"/>
              </w:rPr>
            </w:pPr>
          </w:p>
        </w:tc>
        <w:tc>
          <w:tcPr>
            <w:tcW w:w="700" w:type="dxa"/>
            <w:vAlign w:val="bottom"/>
          </w:tcPr>
          <w:p>
            <w:pPr>
              <w:jc w:val="center"/>
              <w:ind w:right="345"/>
              <w:spacing w:after="0"/>
              <w:rPr>
                <w:sz w:val="20"/>
                <w:szCs w:val="20"/>
                <w:color w:val="auto"/>
              </w:rPr>
            </w:pPr>
            <w:r>
              <w:rPr>
                <w:rFonts w:ascii="Arial" w:cs="Arial" w:eastAsia="Arial" w:hAnsi="Arial"/>
                <w:sz w:val="17"/>
                <w:szCs w:val="17"/>
                <w:color w:val="auto"/>
                <w:w w:val="97"/>
              </w:rPr>
              <w:t>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center"/>
              <w:ind w:right="340"/>
              <w:spacing w:after="0"/>
              <w:rPr>
                <w:sz w:val="20"/>
                <w:szCs w:val="20"/>
                <w:color w:val="auto"/>
              </w:rPr>
            </w:pPr>
            <w:r>
              <w:rPr>
                <w:rFonts w:ascii="Arial" w:cs="Arial" w:eastAsia="Arial" w:hAnsi="Arial"/>
                <w:sz w:val="17"/>
                <w:szCs w:val="17"/>
                <w:color w:val="auto"/>
                <w:w w:val="97"/>
              </w:rPr>
              <w:t>0%</w:t>
            </w:r>
          </w:p>
        </w:tc>
      </w:tr>
    </w:tbl>
    <w:p>
      <w:pPr>
        <w:spacing w:after="0" w:line="195"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7"/>
          <w:szCs w:val="17"/>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8.73 years to 9.69 years as of June 30, 2012 and 8.22 years to 9.43 years as of June 30, 2013; risk free rate is based on the U.S. Treasury Constant Maturity rate with a term similar to the expected life of the option at the measurement date ranging from 1.43%-1.61% as of June 30, 2012 and 2.19%-2.41% as of June 30, 2013; expected dividend yield of 0%; and volatilities ranging from 82.48% to 82.96% as of June 30, 2012 and 79.01% to 79.58% as of June 30, 2013.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66"/>
        <w:spacing w:after="0" w:line="270" w:lineRule="auto"/>
        <w:rPr>
          <w:sz w:val="20"/>
          <w:szCs w:val="20"/>
          <w:color w:val="auto"/>
        </w:rPr>
      </w:pPr>
      <w:r>
        <w:rPr>
          <w:rFonts w:ascii="Arial" w:cs="Arial" w:eastAsia="Arial" w:hAnsi="Arial"/>
          <w:sz w:val="17"/>
          <w:szCs w:val="17"/>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June 30, 2013, respectively, and is included in accrued liabilities in the balance sheet.</w:t>
      </w:r>
    </w:p>
    <w:p>
      <w:pPr>
        <w:spacing w:after="0" w:line="179" w:lineRule="exact"/>
        <w:rPr>
          <w:sz w:val="20"/>
          <w:szCs w:val="20"/>
          <w:color w:val="auto"/>
        </w:rPr>
      </w:pPr>
    </w:p>
    <w:p>
      <w:pPr>
        <w:jc w:val="both"/>
        <w:ind w:firstLine="357"/>
        <w:spacing w:after="0" w:line="265" w:lineRule="auto"/>
        <w:rPr>
          <w:sz w:val="20"/>
          <w:szCs w:val="20"/>
          <w:color w:val="auto"/>
        </w:rPr>
      </w:pPr>
      <w:r>
        <w:rPr>
          <w:rFonts w:ascii="Arial" w:cs="Arial" w:eastAsia="Arial" w:hAnsi="Arial"/>
          <w:sz w:val="17"/>
          <w:szCs w:val="17"/>
          <w:color w:val="auto"/>
        </w:rPr>
        <w:t>In February 2013, the Company's Board of Directors authorized the grant of 100,498 fully vested stock options at a fair value of approximately $2.59 resulting in $259,000 in expense in the year ended December 31, 2012. The fair value of the stock options was determined using the Black-Scholes option-pricing valuation model. The grant date fair market value was $4.00 as determined by the Company's Board of Directors, the risk free rate was 0.88%, the expected life was 5.0 years, the volatility was determined to be 81.41% and there was no dividend yield.</w:t>
      </w:r>
    </w:p>
    <w:p>
      <w:pPr>
        <w:spacing w:after="0" w:line="185"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In February 2013, the Company granted its Chief Executive Officer an incentive stock option to purchase 12,500 shares of common stock with an exercise price of $4.00 per share and a contractual term of 10 years. The option will only vest if an initial public offering or merger occurs in 2013. The Company has not recorded any compensation expense related to this option grant as the vesting event is not deemed probable of occurring as of June 30, 2013.</w:t>
      </w:r>
    </w:p>
    <w:p>
      <w:pPr>
        <w:spacing w:after="0" w:line="163" w:lineRule="exact"/>
        <w:rPr>
          <w:sz w:val="20"/>
          <w:szCs w:val="20"/>
          <w:color w:val="auto"/>
        </w:rPr>
      </w:pPr>
    </w:p>
    <w:p>
      <w:pPr>
        <w:jc w:val="both"/>
        <w:ind w:firstLine="365"/>
        <w:spacing w:after="0" w:line="282" w:lineRule="auto"/>
        <w:rPr>
          <w:sz w:val="20"/>
          <w:szCs w:val="20"/>
          <w:color w:val="auto"/>
        </w:rPr>
      </w:pPr>
      <w:r>
        <w:rPr>
          <w:rFonts w:ascii="Arial" w:cs="Arial" w:eastAsia="Arial" w:hAnsi="Arial"/>
          <w:sz w:val="17"/>
          <w:szCs w:val="17"/>
          <w:color w:val="auto"/>
        </w:rPr>
        <w:t>The following table summarizes equity-based compensation expense for the six months ended June 30, 2012 and 2013, which were included in the statements of operations and comprehensive loss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6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Genzyme Co–promotion Agreement</w:t>
      </w:r>
    </w:p>
    <w:p>
      <w:pPr>
        <w:spacing w:after="0" w:line="228"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6"/>
          <w:szCs w:val="16"/>
          <w:color w:val="auto"/>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Genzyme Co–promotion Agreement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over a four-year period, which is management's best estimate of the life of the arrangement, in part because after that period either party may terminate the agreement without penalty. The Company amortized $1.1 million and $1.3 million in the six months ended June 30, 2012 and 2013, respectively, which are reflected as a reduction to selling and marketing expenses in the statements of operations and comprehensive loss. The unamortized balance of the co-promotion fee is $6.4 million as of June 30, 2013.</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Thyroid Cytology Partners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 operating expense costs for the leased facility. The Company does not have an ownership interest in or provide any form of financial or other support to TCP.</w:t>
      </w:r>
    </w:p>
    <w:p>
      <w:pPr>
        <w:spacing w:after="0" w:line="175" w:lineRule="exact"/>
        <w:rPr>
          <w:sz w:val="20"/>
          <w:szCs w:val="20"/>
          <w:color w:val="auto"/>
        </w:rPr>
      </w:pPr>
    </w:p>
    <w:p>
      <w:pPr>
        <w:jc w:val="both"/>
        <w:ind w:firstLine="386"/>
        <w:spacing w:after="0" w:line="322" w:lineRule="auto"/>
        <w:rPr>
          <w:sz w:val="20"/>
          <w:szCs w:val="20"/>
          <w:color w:val="auto"/>
        </w:rPr>
      </w:pPr>
      <w:r>
        <w:rPr>
          <w:rFonts w:ascii="Arial" w:cs="Arial" w:eastAsia="Arial" w:hAnsi="Arial"/>
          <w:sz w:val="15"/>
          <w:szCs w:val="15"/>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45"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TCP provided $643,000 and $1.5 million in cytopathology testing and evaluation services in the six months ended June 30, 2012 and 2013, respectively. The Company also reimbursed TCP for licensure fees of $58,000 and $0 in six months ended June 30, 2012 and 2013, respectively. Expenses for testing and evaluation services and reimbursed professional licensure fees are included in cost of revenue in the statements of operations and comprehensive loss. The Company's outstanding obligations to TCP were $458,000 and $536,000 as of December 31, 2012 and June 30, 2013, respectively, which were included in accounts payable in the Company's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six months ended June 30, 2012 and 2103 (in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0" w:type="dxa"/>
            <w:vAlign w:val="bottom"/>
            <w:gridSpan w:val="6"/>
          </w:tcPr>
          <w:p>
            <w:pPr>
              <w:ind w:left="2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3"/>
                <w:szCs w:val="13"/>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2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638,318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812,703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880" w:type="dxa"/>
            <w:vAlign w:val="bottom"/>
            <w:vMerge w:val="restart"/>
          </w:tcPr>
          <w:p>
            <w:pPr>
              <w:ind w:left="3840"/>
              <w:spacing w:after="0"/>
              <w:rPr>
                <w:sz w:val="20"/>
                <w:szCs w:val="20"/>
                <w:color w:val="auto"/>
              </w:rPr>
            </w:pPr>
            <w:r>
              <w:rPr>
                <w:rFonts w:ascii="Arial" w:cs="Arial" w:eastAsia="Arial" w:hAnsi="Arial"/>
                <w:sz w:val="17"/>
                <w:szCs w:val="17"/>
                <w:color w:val="auto"/>
              </w:rPr>
              <w:t>F-43</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 (Continued)</w:t>
      </w:r>
    </w:p>
    <w:p>
      <w:pPr>
        <w:spacing w:after="0" w:line="228" w:lineRule="exact"/>
        <w:rPr>
          <w:sz w:val="20"/>
          <w:szCs w:val="20"/>
          <w:color w:val="auto"/>
        </w:rPr>
      </w:pPr>
    </w:p>
    <w:p>
      <w:pPr>
        <w:ind w:firstLine="493"/>
        <w:spacing w:after="0" w:line="282" w:lineRule="auto"/>
        <w:rPr>
          <w:sz w:val="20"/>
          <w:szCs w:val="20"/>
          <w:color w:val="auto"/>
        </w:rPr>
      </w:pPr>
      <w:r>
        <w:rPr>
          <w:rFonts w:ascii="Arial" w:cs="Arial" w:eastAsia="Arial" w:hAnsi="Arial"/>
          <w:sz w:val="17"/>
          <w:szCs w:val="17"/>
          <w:color w:val="auto"/>
        </w:rPr>
        <w:t>The following outstanding common stock equivalents were excluded from the computation of diluted net loss per common share for the periods presented because including them would have been antidilutive:</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25"/>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11,286,998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14,997,312</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900" w:type="dxa"/>
            <w:vAlign w:val="bottom"/>
          </w:tcPr>
          <w:p>
            <w:pPr>
              <w:jc w:val="right"/>
              <w:spacing w:after="0"/>
              <w:rPr>
                <w:sz w:val="20"/>
                <w:szCs w:val="20"/>
                <w:color w:val="auto"/>
              </w:rPr>
            </w:pPr>
            <w:r>
              <w:rPr>
                <w:rFonts w:ascii="Arial" w:cs="Arial" w:eastAsia="Arial" w:hAnsi="Arial"/>
                <w:sz w:val="17"/>
                <w:szCs w:val="17"/>
                <w:color w:val="auto"/>
              </w:rPr>
              <w:t>2,122,332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2,420,302</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24,801</w:t>
            </w:r>
          </w:p>
        </w:tc>
        <w:tc>
          <w:tcPr>
            <w:tcW w:w="160" w:type="dxa"/>
            <w:vAlign w:val="bottom"/>
            <w:shd w:val="clear" w:color="auto" w:fill="CCEEFF"/>
          </w:tcPr>
          <w:p>
            <w:pPr>
              <w:spacing w:after="0"/>
              <w:rPr>
                <w:sz w:val="18"/>
                <w:szCs w:val="18"/>
                <w:color w:val="auto"/>
              </w:rPr>
            </w:pPr>
          </w:p>
        </w:tc>
      </w:tr>
      <w:tr>
        <w:trPr>
          <w:trHeight w:val="26"/>
        </w:trPr>
        <w:tc>
          <w:tcPr>
            <w:tcW w:w="5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13,409,330</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17,442,415</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common share during the six months ended June 30, 2013 (in thousands, except share and per share amounts):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Net loss used in computing pro forma net loss per common share, 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812,703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13,382,696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computing pro forma net loss per common share, basic and 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14,195,399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40" w:type="dxa"/>
            <w:vAlign w:val="bottom"/>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4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(0.94)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Subsequent Events</w:t>
      </w:r>
    </w:p>
    <w:p>
      <w:pPr>
        <w:spacing w:after="0" w:line="228"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The Company has evaluated subsequent events through August 30, 2013, the date the unaudited interim financial statements for the six months ended June 30, 2013 were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7254875" cy="75692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5" w:name="page186"/>
    <w:bookmarkEnd w:id="1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7254875" cy="17087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170878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The following table sets forth the various expenses expected to be incurred by the Registrant in connection with the sale and distribution of the securities being registered hereby, other than underwriting discounts and commissions. All amounts are estimated except the Securities and Exchange Commission registration fee and the Financial Industry Regulatory Authority, Inc. filing fee.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Financial Industry Regulatory Authority, Inc. filing fee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NASDAQ Stock Market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Registrar and transfer agent fees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8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$11,011</w:t>
      </w:r>
    </w:p>
    <w:p>
      <w:pPr>
        <w:spacing w:after="0" w:line="20"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$11,851</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$25,000</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$25,000</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$715,000</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$975,000</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$180,000</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$2,500</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$554,638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41910</wp:posOffset>
            </wp:positionV>
            <wp:extent cx="5994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45720</wp:posOffset>
            </wp:positionV>
            <wp:extent cx="5994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944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62230</wp:posOffset>
            </wp:positionV>
            <wp:extent cx="5994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8780" w:space="720"/>
            <w:col w:w="1920"/>
          </w:cols>
          <w:pgMar w:left="240" w:top="131" w:right="239" w:bottom="1440" w:gutter="0" w:footer="0" w:header="0"/>
          <w:type w:val="continuous"/>
        </w:sectPr>
      </w:pPr>
    </w:p>
    <w:p>
      <w:pPr>
        <w:spacing w:after="0" w:line="2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5"/>
          <w:szCs w:val="15"/>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of the Registrant's Restated Certificate of Incorporation (Exhibit 3.1(b) hereto), and Article of the Registrant's Amended and Restated Bylaws (Exhibit 3.2(b) hereto),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62"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The Underwriting Agreement (Exhibit 1.1 hereto) provides for indemnification by the Underwriters of us and our directors and officers for certain liabilities, including liabilities arising under the Securities Act of 1933 (the "Securities Act"), and affords certain rights of contribution with respect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sets forth information regarding all unregistered securities sold since January 1, 2010 through October 3, 2013.</w:t>
      </w:r>
    </w:p>
    <w:p>
      <w:pPr>
        <w:spacing w:after="0" w:line="224" w:lineRule="exact"/>
        <w:rPr>
          <w:sz w:val="20"/>
          <w:szCs w:val="20"/>
          <w:color w:val="auto"/>
        </w:rPr>
      </w:pPr>
    </w:p>
    <w:p>
      <w:pPr>
        <w:jc w:val="both"/>
        <w:ind w:firstLine="347"/>
        <w:spacing w:after="0" w:line="287" w:lineRule="auto"/>
        <w:rPr>
          <w:sz w:val="20"/>
          <w:szCs w:val="20"/>
          <w:color w:val="auto"/>
        </w:rPr>
      </w:pPr>
      <w:r>
        <w:rPr>
          <w:rFonts w:ascii="Arial" w:cs="Arial" w:eastAsia="Arial" w:hAnsi="Arial"/>
          <w:sz w:val="17"/>
          <w:szCs w:val="17"/>
          <w:color w:val="auto"/>
        </w:rPr>
        <w:t>From June 4, 2010 to July 26, 2011, the Registrant issued and sold an aggregate of 22,748,000 shares of its Series B convertible preferred stock at $1.25 per share to 10 accredited investors for aggregate consideration of $28,435,000.</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7"/>
          <w:szCs w:val="17"/>
          <w:color w:val="auto"/>
        </w:rPr>
        <w:t>From November 6, 2012 to June 27, 2013, the Registrant issued and sold an aggregate of 14,841,269 shares of its Series C convertible preferred stock at $1.89 per share to 11 accredited investors for aggregate consideration of $28,049,998.</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The Registrant has granted to its directors, officers and employees options to purchase 2,754,594 shares of common stock under the Registrant's 2008 Stock Plan, as amended, with per share exercise prices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7" w:name="page188"/>
    <w:bookmarkEnd w:id="1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ranging from $0.80 to $12.12, and issued 450,067 shares of common stock upon exercise of such options for aggregate consideration of $583,640, at exercise prices ranging from $0.08 to $4.00.</w:t>
      </w:r>
      <w:r>
        <w:rPr>
          <w:rFonts w:ascii="Arial" w:cs="Arial" w:eastAsia="Arial" w:hAnsi="Arial"/>
          <w:sz w:val="28"/>
          <w:szCs w:val="28"/>
          <w:color w:val="auto"/>
          <w:vertAlign w:val="superscript"/>
        </w:rPr>
        <w:t>(2)</w:t>
      </w:r>
    </w:p>
    <w:p>
      <w:pPr>
        <w:spacing w:after="0" w:line="50" w:lineRule="exact"/>
        <w:rPr>
          <w:sz w:val="20"/>
          <w:szCs w:val="20"/>
          <w:color w:val="auto"/>
        </w:rPr>
      </w:pPr>
    </w:p>
    <w:p>
      <w:pPr>
        <w:ind w:firstLine="393"/>
        <w:spacing w:after="0" w:line="28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83" w:lineRule="exact"/>
        <w:rPr>
          <w:sz w:val="20"/>
          <w:szCs w:val="20"/>
          <w:color w:val="auto"/>
        </w:rPr>
      </w:pPr>
    </w:p>
    <w:p>
      <w:pPr>
        <w:jc w:val="both"/>
        <w:ind w:left="1060" w:hanging="531"/>
        <w:spacing w:after="0" w:line="283"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99" w:lineRule="exact"/>
        <w:rPr>
          <w:rFonts w:ascii="Arial" w:cs="Arial" w:eastAsia="Arial" w:hAnsi="Arial"/>
          <w:sz w:val="16"/>
          <w:szCs w:val="16"/>
          <w:color w:val="auto"/>
        </w:rPr>
      </w:pPr>
    </w:p>
    <w:p>
      <w:pPr>
        <w:jc w:val="both"/>
        <w:ind w:left="1060" w:hanging="531"/>
        <w:spacing w:after="0" w:line="306" w:lineRule="auto"/>
        <w:tabs>
          <w:tab w:leader="none" w:pos="10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5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1" w:lineRule="exact"/>
        <w:rPr>
          <w:sz w:val="20"/>
          <w:szCs w:val="20"/>
          <w:color w:val="auto"/>
        </w:rPr>
      </w:pPr>
    </w:p>
    <w:p>
      <w:pPr>
        <w:ind w:left="520" w:hanging="515"/>
        <w:spacing w:after="0"/>
        <w:tabs>
          <w:tab w:leader="none" w:pos="520" w:val="left"/>
        </w:tabs>
        <w:numPr>
          <w:ilvl w:val="0"/>
          <w:numId w:val="86"/>
        </w:numPr>
        <w:rPr>
          <w:rFonts w:ascii="Arial" w:cs="Arial" w:eastAsia="Arial" w:hAnsi="Arial"/>
          <w:sz w:val="17"/>
          <w:szCs w:val="17"/>
          <w:i w:val="1"/>
          <w:iCs w:val="1"/>
          <w:color w:val="auto"/>
        </w:rPr>
      </w:pPr>
      <w:r>
        <w:rPr>
          <w:rFonts w:ascii="Arial" w:cs="Arial" w:eastAsia="Arial" w:hAnsi="Arial"/>
          <w:sz w:val="17"/>
          <w:szCs w:val="17"/>
          <w:i w:val="1"/>
          <w:iCs w:val="1"/>
          <w:color w:val="auto"/>
        </w:rPr>
        <w:t>Exhibits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Exhibit</w:t>
            </w:r>
          </w:p>
        </w:tc>
        <w:tc>
          <w:tcPr>
            <w:tcW w:w="7900" w:type="dxa"/>
            <w:vAlign w:val="bottom"/>
          </w:tcPr>
          <w:p>
            <w:pPr>
              <w:spacing w:after="0"/>
              <w:rPr>
                <w:sz w:val="13"/>
                <w:szCs w:val="13"/>
                <w:color w:val="auto"/>
              </w:rPr>
            </w:pPr>
          </w:p>
        </w:tc>
      </w:tr>
      <w:tr>
        <w:trPr>
          <w:trHeight w:val="157"/>
        </w:trPr>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Number</w:t>
            </w:r>
          </w:p>
        </w:tc>
        <w:tc>
          <w:tcPr>
            <w:tcW w:w="7900" w:type="dxa"/>
            <w:vAlign w:val="bottom"/>
          </w:tcPr>
          <w:p>
            <w:pPr>
              <w:ind w:left="36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620" w:type="dxa"/>
            <w:vAlign w:val="bottom"/>
            <w:tcBorders>
              <w:top w:val="single" w:sz="8" w:color="auto"/>
            </w:tcBorders>
          </w:tcPr>
          <w:p>
            <w:pPr>
              <w:ind w:left="420"/>
              <w:spacing w:after="0" w:line="194" w:lineRule="exact"/>
              <w:rPr>
                <w:sz w:val="20"/>
                <w:szCs w:val="20"/>
                <w:color w:val="auto"/>
              </w:rPr>
            </w:pPr>
            <w:r>
              <w:rPr>
                <w:rFonts w:ascii="Arial" w:cs="Arial" w:eastAsia="Arial" w:hAnsi="Arial"/>
                <w:sz w:val="17"/>
                <w:szCs w:val="17"/>
                <w:color w:val="auto"/>
                <w:w w:val="75"/>
              </w:rPr>
              <w:t>1.1</w:t>
            </w:r>
          </w:p>
        </w:tc>
        <w:tc>
          <w:tcPr>
            <w:tcW w:w="600" w:type="dxa"/>
            <w:vAlign w:val="bottom"/>
          </w:tcPr>
          <w:p>
            <w:pPr>
              <w:spacing w:after="0"/>
              <w:rPr>
                <w:sz w:val="16"/>
                <w:szCs w:val="16"/>
                <w:color w:val="auto"/>
              </w:rPr>
            </w:pPr>
          </w:p>
        </w:tc>
        <w:tc>
          <w:tcPr>
            <w:tcW w:w="790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3.1(a)(i)+</w:t>
            </w:r>
          </w:p>
        </w:tc>
        <w:tc>
          <w:tcPr>
            <w:tcW w:w="7900" w:type="dxa"/>
            <w:vAlign w:val="bottom"/>
          </w:tcPr>
          <w:p>
            <w:pPr>
              <w:ind w:left="2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3.1(a)(ii)+</w:t>
            </w:r>
          </w:p>
        </w:tc>
        <w:tc>
          <w:tcPr>
            <w:tcW w:w="7900" w:type="dxa"/>
            <w:vAlign w:val="bottom"/>
          </w:tcPr>
          <w:p>
            <w:pPr>
              <w:ind w:left="20"/>
              <w:spacing w:after="0"/>
              <w:rPr>
                <w:sz w:val="20"/>
                <w:szCs w:val="20"/>
                <w:color w:val="auto"/>
              </w:rPr>
            </w:pPr>
            <w:r>
              <w:rPr>
                <w:rFonts w:ascii="Arial" w:cs="Arial" w:eastAsia="Arial" w:hAnsi="Arial"/>
                <w:sz w:val="17"/>
                <w:szCs w:val="17"/>
                <w:color w:val="auto"/>
                <w:w w:val="97"/>
              </w:rPr>
              <w:t>Certificate of Amendment of Fourth Amended and Restated Certificate of Incorporation of the Registrant, as</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amended.</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3.1(b)+</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Form of Restated Certificate of Incorporation of the Registrant, to be in effect upon the completion of this offering.</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3.2(a)+</w:t>
            </w:r>
          </w:p>
        </w:tc>
        <w:tc>
          <w:tcPr>
            <w:tcW w:w="7900" w:type="dxa"/>
            <w:vAlign w:val="bottom"/>
          </w:tcPr>
          <w:p>
            <w:pPr>
              <w:ind w:left="20"/>
              <w:spacing w:after="0"/>
              <w:rPr>
                <w:sz w:val="20"/>
                <w:szCs w:val="20"/>
                <w:color w:val="auto"/>
              </w:rPr>
            </w:pPr>
            <w:r>
              <w:rPr>
                <w:rFonts w:ascii="Arial" w:cs="Arial" w:eastAsia="Arial" w:hAnsi="Arial"/>
                <w:sz w:val="17"/>
                <w:szCs w:val="17"/>
                <w:color w:val="auto"/>
              </w:rPr>
              <w:t>Bylaws of the Registrant.</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3.2(b)+</w:t>
            </w:r>
          </w:p>
        </w:tc>
        <w:tc>
          <w:tcPr>
            <w:tcW w:w="7900" w:type="dxa"/>
            <w:vAlign w:val="bottom"/>
          </w:tcPr>
          <w:p>
            <w:pPr>
              <w:ind w:left="20"/>
              <w:spacing w:after="0"/>
              <w:rPr>
                <w:sz w:val="20"/>
                <w:szCs w:val="20"/>
                <w:color w:val="auto"/>
              </w:rPr>
            </w:pPr>
            <w:r>
              <w:rPr>
                <w:rFonts w:ascii="Arial" w:cs="Arial" w:eastAsia="Arial" w:hAnsi="Arial"/>
                <w:sz w:val="17"/>
                <w:szCs w:val="17"/>
                <w:color w:val="auto"/>
                <w:w w:val="96"/>
              </w:rPr>
              <w:t>Form of Amended and Restated Bylaws of the Registrant, to be in effect upon the completion of this offering.</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4.1+</w:t>
            </w:r>
          </w:p>
        </w:tc>
        <w:tc>
          <w:tcPr>
            <w:tcW w:w="7900" w:type="dxa"/>
            <w:vAlign w:val="bottom"/>
          </w:tcPr>
          <w:p>
            <w:pPr>
              <w:ind w:left="2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4.2+</w:t>
            </w:r>
          </w:p>
        </w:tc>
        <w:tc>
          <w:tcPr>
            <w:tcW w:w="7900" w:type="dxa"/>
            <w:vAlign w:val="bottom"/>
          </w:tcPr>
          <w:p>
            <w:pPr>
              <w:ind w:left="20"/>
              <w:spacing w:after="0"/>
              <w:rPr>
                <w:sz w:val="20"/>
                <w:szCs w:val="20"/>
                <w:color w:val="auto"/>
              </w:rPr>
            </w:pPr>
            <w:r>
              <w:rPr>
                <w:rFonts w:ascii="Arial" w:cs="Arial" w:eastAsia="Arial" w:hAnsi="Arial"/>
                <w:sz w:val="17"/>
                <w:szCs w:val="17"/>
                <w:color w:val="auto"/>
                <w:w w:val="90"/>
              </w:rPr>
              <w:t>Second Amended and Restated Investors Rights Agreement, dated November 6, 2012, between the Registrant and</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certain investors.</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4.3+</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Amendment to Second Amended and Restated Investors Rights Agreement, dated June 14, 2013, between the</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 and certain investors.</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4.4+</w:t>
            </w:r>
          </w:p>
        </w:tc>
        <w:tc>
          <w:tcPr>
            <w:tcW w:w="7900" w:type="dxa"/>
            <w:vAlign w:val="bottom"/>
          </w:tcPr>
          <w:p>
            <w:pPr>
              <w:ind w:left="2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5.1+</w:t>
            </w:r>
          </w:p>
        </w:tc>
        <w:tc>
          <w:tcPr>
            <w:tcW w:w="7900" w:type="dxa"/>
            <w:vAlign w:val="bottom"/>
          </w:tcPr>
          <w:p>
            <w:pPr>
              <w:ind w:left="2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1220" w:type="dxa"/>
            <w:vAlign w:val="bottom"/>
            <w:gridSpan w:val="2"/>
          </w:tcPr>
          <w:p>
            <w:pPr>
              <w:ind w:left="320"/>
              <w:spacing w:after="0"/>
              <w:rPr>
                <w:sz w:val="20"/>
                <w:szCs w:val="20"/>
                <w:color w:val="auto"/>
              </w:rPr>
            </w:pPr>
            <w:r>
              <w:rPr>
                <w:rFonts w:ascii="Arial" w:cs="Arial" w:eastAsia="Arial" w:hAnsi="Arial"/>
                <w:sz w:val="17"/>
                <w:szCs w:val="17"/>
                <w:color w:val="auto"/>
              </w:rPr>
              <w:t>10.1+</w:t>
            </w:r>
          </w:p>
        </w:tc>
        <w:tc>
          <w:tcPr>
            <w:tcW w:w="7900" w:type="dxa"/>
            <w:vAlign w:val="bottom"/>
          </w:tcPr>
          <w:p>
            <w:pPr>
              <w:ind w:left="2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1220" w:type="dxa"/>
            <w:vAlign w:val="bottom"/>
            <w:gridSpan w:val="2"/>
          </w:tcPr>
          <w:p>
            <w:pPr>
              <w:ind w:left="320"/>
              <w:spacing w:after="0"/>
              <w:rPr>
                <w:sz w:val="20"/>
                <w:szCs w:val="20"/>
                <w:color w:val="auto"/>
              </w:rPr>
            </w:pPr>
            <w:r>
              <w:rPr>
                <w:rFonts w:ascii="Arial" w:cs="Arial" w:eastAsia="Arial" w:hAnsi="Arial"/>
                <w:sz w:val="17"/>
                <w:szCs w:val="17"/>
                <w:color w:val="auto"/>
              </w:rPr>
              <w:t>10.2#+</w:t>
            </w:r>
          </w:p>
        </w:tc>
        <w:tc>
          <w:tcPr>
            <w:tcW w:w="7900" w:type="dxa"/>
            <w:vAlign w:val="bottom"/>
          </w:tcPr>
          <w:p>
            <w:pPr>
              <w:ind w:left="20"/>
              <w:spacing w:after="0"/>
              <w:rPr>
                <w:sz w:val="20"/>
                <w:szCs w:val="20"/>
                <w:color w:val="auto"/>
              </w:rPr>
            </w:pPr>
            <w:r>
              <w:rPr>
                <w:rFonts w:ascii="Arial" w:cs="Arial" w:eastAsia="Arial" w:hAnsi="Arial"/>
                <w:sz w:val="17"/>
                <w:szCs w:val="17"/>
                <w:color w:val="auto"/>
              </w:rPr>
              <w:t>2008 Stock Plan and forms of agreements thereunder.</w:t>
            </w:r>
          </w:p>
        </w:tc>
      </w:tr>
      <w:tr>
        <w:trPr>
          <w:trHeight w:val="216"/>
        </w:trPr>
        <w:tc>
          <w:tcPr>
            <w:tcW w:w="1220" w:type="dxa"/>
            <w:vAlign w:val="bottom"/>
            <w:gridSpan w:val="2"/>
          </w:tcPr>
          <w:p>
            <w:pPr>
              <w:ind w:left="320"/>
              <w:spacing w:after="0"/>
              <w:rPr>
                <w:sz w:val="20"/>
                <w:szCs w:val="20"/>
                <w:color w:val="auto"/>
              </w:rPr>
            </w:pPr>
            <w:r>
              <w:rPr>
                <w:rFonts w:ascii="Arial" w:cs="Arial" w:eastAsia="Arial" w:hAnsi="Arial"/>
                <w:sz w:val="17"/>
                <w:szCs w:val="17"/>
                <w:color w:val="auto"/>
              </w:rPr>
              <w:t>10.3#+</w:t>
            </w:r>
          </w:p>
        </w:tc>
        <w:tc>
          <w:tcPr>
            <w:tcW w:w="7900" w:type="dxa"/>
            <w:vAlign w:val="bottom"/>
          </w:tcPr>
          <w:p>
            <w:pPr>
              <w:ind w:left="20"/>
              <w:spacing w:after="0"/>
              <w:rPr>
                <w:sz w:val="20"/>
                <w:szCs w:val="20"/>
                <w:color w:val="auto"/>
              </w:rPr>
            </w:pPr>
            <w:r>
              <w:rPr>
                <w:rFonts w:ascii="Arial" w:cs="Arial" w:eastAsia="Arial" w:hAnsi="Arial"/>
                <w:sz w:val="17"/>
                <w:szCs w:val="17"/>
                <w:color w:val="auto"/>
              </w:rPr>
              <w:t>2013 Stock Incentive Plan and forms of agreements thereunder.</w:t>
            </w: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2"/>
              </w:rPr>
              <w:t>Exhibit</w:t>
            </w:r>
          </w:p>
        </w:tc>
        <w:tc>
          <w:tcPr>
            <w:tcW w:w="79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600" w:type="dxa"/>
            <w:vAlign w:val="bottom"/>
          </w:tcPr>
          <w:p>
            <w:pPr>
              <w:spacing w:after="0"/>
              <w:rPr>
                <w:sz w:val="13"/>
                <w:szCs w:val="13"/>
                <w:color w:val="auto"/>
              </w:rPr>
            </w:pPr>
          </w:p>
        </w:tc>
        <w:tc>
          <w:tcPr>
            <w:tcW w:w="7900" w:type="dxa"/>
            <w:vAlign w:val="bottom"/>
            <w:tcBorders>
              <w:bottom w:val="single" w:sz="8" w:color="auto"/>
            </w:tcBorders>
          </w:tcPr>
          <w:p>
            <w:pPr>
              <w:ind w:left="36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140" w:type="dxa"/>
            <w:vAlign w:val="bottom"/>
          </w:tcPr>
          <w:p>
            <w:pPr>
              <w:spacing w:after="0"/>
              <w:rPr>
                <w:sz w:val="16"/>
                <w:szCs w:val="16"/>
                <w:color w:val="auto"/>
              </w:rPr>
            </w:pPr>
          </w:p>
        </w:tc>
        <w:tc>
          <w:tcPr>
            <w:tcW w:w="1220" w:type="dxa"/>
            <w:vAlign w:val="bottom"/>
            <w:gridSpan w:val="3"/>
          </w:tcPr>
          <w:p>
            <w:pPr>
              <w:jc w:val="center"/>
              <w:ind w:right="180"/>
              <w:spacing w:after="0" w:line="194" w:lineRule="exact"/>
              <w:rPr>
                <w:sz w:val="20"/>
                <w:szCs w:val="20"/>
                <w:color w:val="auto"/>
              </w:rPr>
            </w:pPr>
            <w:r>
              <w:rPr>
                <w:rFonts w:ascii="Arial" w:cs="Arial" w:eastAsia="Arial" w:hAnsi="Arial"/>
                <w:sz w:val="17"/>
                <w:szCs w:val="17"/>
                <w:color w:val="auto"/>
                <w:w w:val="92"/>
              </w:rPr>
              <w:t>10.4+</w:t>
            </w:r>
          </w:p>
        </w:tc>
        <w:tc>
          <w:tcPr>
            <w:tcW w:w="7900" w:type="dxa"/>
            <w:vAlign w:val="bottom"/>
          </w:tcPr>
          <w:p>
            <w:pPr>
              <w:ind w:left="20"/>
              <w:spacing w:after="0" w:line="194" w:lineRule="exact"/>
              <w:rPr>
                <w:sz w:val="20"/>
                <w:szCs w:val="20"/>
                <w:color w:val="auto"/>
              </w:rPr>
            </w:pPr>
            <w:r>
              <w:rPr>
                <w:rFonts w:ascii="Arial" w:cs="Arial" w:eastAsia="Arial" w:hAnsi="Arial"/>
                <w:sz w:val="17"/>
                <w:szCs w:val="17"/>
                <w:color w:val="auto"/>
                <w:w w:val="94"/>
              </w:rPr>
              <w:t>Lease Agreement dated as of February 10, 2010 between ARE-San Francisco No 17, LLC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10.5+</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First Amendment to Lease Agreement entered into as of July 11, 2012 between ARE-San Francisco No 17, LLC</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10.6+</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Lease Agreement between Riata Holdings, L.P., as landlord, and the Registrant, as tenant, dated November 28,</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2012.</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auto"/>
              </w:rPr>
              <w:t>10.7†+</w:t>
            </w:r>
          </w:p>
        </w:tc>
        <w:tc>
          <w:tcPr>
            <w:tcW w:w="7900" w:type="dxa"/>
            <w:vAlign w:val="bottom"/>
          </w:tcPr>
          <w:p>
            <w:pPr>
              <w:ind w:left="20"/>
              <w:spacing w:after="0"/>
              <w:rPr>
                <w:sz w:val="20"/>
                <w:szCs w:val="20"/>
                <w:color w:val="auto"/>
              </w:rPr>
            </w:pPr>
            <w:r>
              <w:rPr>
                <w:rFonts w:ascii="Arial" w:cs="Arial" w:eastAsia="Arial" w:hAnsi="Arial"/>
                <w:sz w:val="17"/>
                <w:szCs w:val="17"/>
                <w:color w:val="auto"/>
                <w:w w:val="97"/>
              </w:rPr>
              <w:t>Co-Promotion Agreement dated as of January 18, 2012 between Genzyme Corporation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10.8+</w:t>
            </w:r>
          </w:p>
        </w:tc>
        <w:tc>
          <w:tcPr>
            <w:tcW w:w="7900" w:type="dxa"/>
            <w:vAlign w:val="bottom"/>
          </w:tcPr>
          <w:p>
            <w:pPr>
              <w:ind w:left="20"/>
              <w:spacing w:after="0"/>
              <w:rPr>
                <w:sz w:val="20"/>
                <w:szCs w:val="20"/>
                <w:color w:val="auto"/>
              </w:rPr>
            </w:pPr>
            <w:r>
              <w:rPr>
                <w:rFonts w:ascii="Arial" w:cs="Arial" w:eastAsia="Arial" w:hAnsi="Arial"/>
                <w:sz w:val="17"/>
                <w:szCs w:val="17"/>
                <w:color w:val="auto"/>
                <w:w w:val="99"/>
              </w:rPr>
              <w:t>Amendment to Co-Promotion Agreement, effective April 9, 2013, between Genzyme Corporation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10.9+</w:t>
            </w:r>
          </w:p>
        </w:tc>
        <w:tc>
          <w:tcPr>
            <w:tcW w:w="7900" w:type="dxa"/>
            <w:vAlign w:val="bottom"/>
          </w:tcPr>
          <w:p>
            <w:pPr>
              <w:ind w:left="20"/>
              <w:spacing w:after="0"/>
              <w:rPr>
                <w:sz w:val="20"/>
                <w:szCs w:val="20"/>
                <w:color w:val="auto"/>
              </w:rPr>
            </w:pPr>
            <w:r>
              <w:rPr>
                <w:rFonts w:ascii="Arial" w:cs="Arial" w:eastAsia="Arial" w:hAnsi="Arial"/>
                <w:sz w:val="17"/>
                <w:szCs w:val="17"/>
                <w:color w:val="auto"/>
                <w:w w:val="99"/>
              </w:rPr>
              <w:t>Loan and Security Agreement dated as of June 26, 2013 between Silicon Valley Bank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10.10#+</w:t>
            </w:r>
          </w:p>
        </w:tc>
        <w:tc>
          <w:tcPr>
            <w:tcW w:w="7900" w:type="dxa"/>
            <w:vAlign w:val="bottom"/>
          </w:tcPr>
          <w:p>
            <w:pPr>
              <w:ind w:left="2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7"/>
                <w:szCs w:val="17"/>
                <w:color w:val="auto"/>
                <w:w w:val="87"/>
              </w:rPr>
              <w:t>10.11#+</w:t>
            </w:r>
          </w:p>
        </w:tc>
        <w:tc>
          <w:tcPr>
            <w:tcW w:w="7900" w:type="dxa"/>
            <w:vAlign w:val="bottom"/>
          </w:tcPr>
          <w:p>
            <w:pPr>
              <w:ind w:left="20"/>
              <w:spacing w:after="0"/>
              <w:rPr>
                <w:sz w:val="20"/>
                <w:szCs w:val="20"/>
                <w:color w:val="auto"/>
              </w:rPr>
            </w:pPr>
            <w:r>
              <w:rPr>
                <w:rFonts w:ascii="Arial" w:cs="Arial" w:eastAsia="Arial" w:hAnsi="Arial"/>
                <w:sz w:val="17"/>
                <w:szCs w:val="17"/>
                <w:color w:val="auto"/>
                <w:w w:val="96"/>
              </w:rPr>
              <w:t>Amendment to Bonnie Anderson Employment Agreement, dated as of December 22, 2008, between Bonnie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10.12#+</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Amendment No. 2 to Bonnie Anderson Employment Agreement, effective as of March 11, 2009, between Bonnie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10.13#+</w:t>
            </w:r>
          </w:p>
        </w:tc>
        <w:tc>
          <w:tcPr>
            <w:tcW w:w="7900" w:type="dxa"/>
            <w:vAlign w:val="bottom"/>
          </w:tcPr>
          <w:p>
            <w:pPr>
              <w:ind w:left="20"/>
              <w:spacing w:after="0"/>
              <w:rPr>
                <w:sz w:val="20"/>
                <w:szCs w:val="20"/>
                <w:color w:val="auto"/>
              </w:rPr>
            </w:pPr>
            <w:r>
              <w:rPr>
                <w:rFonts w:ascii="Arial" w:cs="Arial" w:eastAsia="Arial" w:hAnsi="Arial"/>
                <w:sz w:val="17"/>
                <w:szCs w:val="17"/>
                <w:color w:val="auto"/>
                <w:w w:val="91"/>
              </w:rPr>
              <w:t>Change of Control and Severance Agreement, effective as of August 24, 2012, between Bonnie Anderson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10.14#+</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Change of Control and Severance Agreement, effective as of August 24, 2012, between Christopher Hall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10.15#+</w:t>
            </w:r>
          </w:p>
        </w:tc>
        <w:tc>
          <w:tcPr>
            <w:tcW w:w="7900" w:type="dxa"/>
            <w:vAlign w:val="bottom"/>
          </w:tcPr>
          <w:p>
            <w:pPr>
              <w:ind w:left="20"/>
              <w:spacing w:after="0"/>
              <w:rPr>
                <w:sz w:val="20"/>
                <w:szCs w:val="20"/>
                <w:color w:val="auto"/>
              </w:rPr>
            </w:pPr>
            <w:r>
              <w:rPr>
                <w:rFonts w:ascii="Arial" w:cs="Arial" w:eastAsia="Arial" w:hAnsi="Arial"/>
                <w:sz w:val="17"/>
                <w:szCs w:val="17"/>
                <w:color w:val="auto"/>
                <w:w w:val="98"/>
              </w:rPr>
              <w:t>Change of Control and Severance Agreement, effective as of April 8, 2013, between Shelly Guyer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10.16#+</w:t>
            </w:r>
          </w:p>
        </w:tc>
        <w:tc>
          <w:tcPr>
            <w:tcW w:w="7900" w:type="dxa"/>
            <w:vAlign w:val="bottom"/>
          </w:tcPr>
          <w:p>
            <w:pPr>
              <w:ind w:left="20"/>
              <w:spacing w:after="0"/>
              <w:rPr>
                <w:sz w:val="20"/>
                <w:szCs w:val="20"/>
                <w:color w:val="auto"/>
              </w:rPr>
            </w:pPr>
            <w:r>
              <w:rPr>
                <w:rFonts w:ascii="Arial" w:cs="Arial" w:eastAsia="Arial" w:hAnsi="Arial"/>
                <w:sz w:val="17"/>
                <w:szCs w:val="17"/>
                <w:color w:val="auto"/>
              </w:rPr>
              <w:t>Executive Bonus Plan</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10.17#+</w:t>
            </w:r>
          </w:p>
        </w:tc>
        <w:tc>
          <w:tcPr>
            <w:tcW w:w="7900" w:type="dxa"/>
            <w:vAlign w:val="bottom"/>
          </w:tcPr>
          <w:p>
            <w:pPr>
              <w:ind w:left="20"/>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10.18#+</w:t>
            </w:r>
          </w:p>
        </w:tc>
        <w:tc>
          <w:tcPr>
            <w:tcW w:w="7900" w:type="dxa"/>
            <w:vAlign w:val="bottom"/>
          </w:tcPr>
          <w:p>
            <w:pPr>
              <w:ind w:left="20"/>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10.19†+</w:t>
            </w:r>
          </w:p>
        </w:tc>
        <w:tc>
          <w:tcPr>
            <w:tcW w:w="7900" w:type="dxa"/>
            <w:vAlign w:val="bottom"/>
          </w:tcPr>
          <w:p>
            <w:pPr>
              <w:ind w:left="20"/>
              <w:spacing w:after="0"/>
              <w:rPr>
                <w:sz w:val="20"/>
                <w:szCs w:val="20"/>
                <w:color w:val="auto"/>
              </w:rPr>
            </w:pPr>
            <w:r>
              <w:rPr>
                <w:rFonts w:ascii="Arial" w:cs="Arial" w:eastAsia="Arial" w:hAnsi="Arial"/>
                <w:sz w:val="17"/>
                <w:szCs w:val="17"/>
                <w:color w:val="auto"/>
                <w:w w:val="95"/>
              </w:rPr>
              <w:t>Pathology Services Agreement dated as of November 12, 2010 between Brazos Valley Pathology, P.A. D/B/A</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Reitpath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7"/>
                <w:szCs w:val="17"/>
                <w:color w:val="auto"/>
              </w:rPr>
              <w:t>10.20+</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Approval of the Registrant to the Assignment of the Pathology Services Agreement with Brazos Valley Pathology</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to Thyroid Cytopathology Partners, P.A. as of May 18, 2011.</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10.21†+</w:t>
            </w:r>
          </w:p>
        </w:tc>
        <w:tc>
          <w:tcPr>
            <w:tcW w:w="7900" w:type="dxa"/>
            <w:vAlign w:val="bottom"/>
          </w:tcPr>
          <w:p>
            <w:pPr>
              <w:ind w:left="20"/>
              <w:spacing w:after="0"/>
              <w:rPr>
                <w:sz w:val="20"/>
                <w:szCs w:val="20"/>
                <w:color w:val="auto"/>
              </w:rPr>
            </w:pPr>
            <w:r>
              <w:rPr>
                <w:rFonts w:ascii="Arial" w:cs="Arial" w:eastAsia="Arial" w:hAnsi="Arial"/>
                <w:sz w:val="17"/>
                <w:szCs w:val="17"/>
                <w:color w:val="auto"/>
                <w:w w:val="94"/>
              </w:rPr>
              <w:t>First Amendment to Pathology Services Agreement dated as of December 19, 2012 between Thyroid Cytology</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Partners, P.A.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7"/>
                <w:szCs w:val="17"/>
                <w:color w:val="auto"/>
              </w:rPr>
              <w:t>23.1</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23.2+</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23.3+</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WorldOne, Inc.</w:t>
            </w:r>
          </w:p>
        </w:tc>
      </w:tr>
      <w:tr>
        <w:trPr>
          <w:trHeight w:val="216"/>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24.1+</w:t>
            </w:r>
          </w:p>
        </w:tc>
        <w:tc>
          <w:tcPr>
            <w:tcW w:w="7900" w:type="dxa"/>
            <w:vAlign w:val="bottom"/>
          </w:tcPr>
          <w:p>
            <w:pPr>
              <w:ind w:left="20"/>
              <w:spacing w:after="0"/>
              <w:rPr>
                <w:sz w:val="20"/>
                <w:szCs w:val="20"/>
                <w:color w:val="auto"/>
              </w:rPr>
            </w:pPr>
            <w:r>
              <w:rPr>
                <w:rFonts w:ascii="Arial" w:cs="Arial" w:eastAsia="Arial" w:hAnsi="Arial"/>
                <w:sz w:val="17"/>
                <w:szCs w:val="17"/>
                <w:color w:val="auto"/>
              </w:rPr>
              <w:t>Power of Attorney.</w:t>
            </w:r>
          </w:p>
        </w:tc>
      </w:tr>
      <w:tr>
        <w:trPr>
          <w:trHeight w:val="107"/>
        </w:trPr>
        <w:tc>
          <w:tcPr>
            <w:tcW w:w="1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90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50" w:lineRule="exact"/>
        <w:rPr>
          <w:sz w:val="20"/>
          <w:szCs w:val="20"/>
          <w:color w:val="auto"/>
        </w:rPr>
      </w:pPr>
    </w:p>
    <w:p>
      <w:pPr>
        <w:ind w:left="520" w:hanging="515"/>
        <w:spacing w:after="0"/>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3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6"/>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353"/>
        <w:spacing w:after="0" w:line="352" w:lineRule="auto"/>
        <w:rPr>
          <w:sz w:val="20"/>
          <w:szCs w:val="20"/>
          <w:color w:val="auto"/>
        </w:rPr>
      </w:pPr>
      <w:r>
        <w:rPr>
          <w:rFonts w:ascii="Arial" w:cs="Arial" w:eastAsia="Arial" w:hAnsi="Arial"/>
          <w:sz w:val="15"/>
          <w:szCs w:val="15"/>
          <w:color w:val="auto"/>
        </w:rPr>
        <w:t>Pursuant to the requirements of the Securities Act of 1933, the Registrant has duly caused this Amendment No. 4 to the Registration Statement on Form S-1 to be signed on its behalf by the undersigned, thereunto duly authorized in the City of South San Francisco, State of California, on the 25th day of October, 2013.</w:t>
      </w:r>
    </w:p>
    <w:p>
      <w:pPr>
        <w:spacing w:after="0" w:line="1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50" w:lineRule="exact"/>
        <w:rPr>
          <w:sz w:val="20"/>
          <w:szCs w:val="20"/>
          <w:color w:val="auto"/>
        </w:rPr>
      </w:pPr>
    </w:p>
    <w:p>
      <w:pPr>
        <w:ind w:left="5720"/>
        <w:spacing w:after="0"/>
        <w:tabs>
          <w:tab w:leader="none" w:pos="7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Bonnie H. Anderson</w:t>
      </w:r>
    </w:p>
    <w:p>
      <w:pPr>
        <w:spacing w:after="0" w:line="2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18" w:lineRule="exact"/>
        <w:rPr>
          <w:sz w:val="20"/>
          <w:szCs w:val="20"/>
          <w:color w:val="auto"/>
        </w:rPr>
      </w:pPr>
    </w:p>
    <w:p>
      <w:pPr>
        <w:ind w:firstLine="400"/>
        <w:spacing w:after="0" w:line="282" w:lineRule="auto"/>
        <w:rPr>
          <w:sz w:val="20"/>
          <w:szCs w:val="20"/>
          <w:color w:val="auto"/>
        </w:rPr>
      </w:pPr>
      <w:r>
        <w:rPr>
          <w:rFonts w:ascii="Arial" w:cs="Arial" w:eastAsia="Arial" w:hAnsi="Arial"/>
          <w:sz w:val="17"/>
          <w:szCs w:val="17"/>
          <w:color w:val="auto"/>
        </w:rPr>
        <w:t>Pursuant to the requirements of the Securities Act of 1933, this Amendment No. 4 to the Registration Statement on Form S-1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1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7"/>
              </w:rPr>
              <w:t>Title</w:t>
            </w:r>
          </w:p>
        </w:tc>
        <w:tc>
          <w:tcPr>
            <w:tcW w:w="1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ind w:left="320"/>
              <w:spacing w:after="0" w:line="194" w:lineRule="exact"/>
              <w:rPr>
                <w:sz w:val="20"/>
                <w:szCs w:val="20"/>
                <w:color w:val="auto"/>
              </w:rPr>
            </w:pPr>
            <w:r>
              <w:rPr>
                <w:rFonts w:ascii="Arial" w:cs="Arial" w:eastAsia="Arial" w:hAnsi="Arial"/>
                <w:sz w:val="17"/>
                <w:szCs w:val="17"/>
                <w:color w:val="auto"/>
                <w:w w:val="93"/>
              </w:rPr>
              <w:t>/s/ BONNIE</w:t>
            </w:r>
          </w:p>
        </w:tc>
        <w:tc>
          <w:tcPr>
            <w:tcW w:w="360" w:type="dxa"/>
            <w:vAlign w:val="bottom"/>
          </w:tcPr>
          <w:p>
            <w:pPr>
              <w:ind w:left="60"/>
              <w:spacing w:after="0" w:line="194" w:lineRule="exact"/>
              <w:rPr>
                <w:sz w:val="20"/>
                <w:szCs w:val="20"/>
                <w:color w:val="auto"/>
              </w:rPr>
            </w:pPr>
            <w:r>
              <w:rPr>
                <w:rFonts w:ascii="Arial" w:cs="Arial" w:eastAsia="Arial" w:hAnsi="Arial"/>
                <w:sz w:val="17"/>
                <w:szCs w:val="17"/>
                <w:color w:val="auto"/>
              </w:rPr>
              <w:t>H.</w:t>
            </w:r>
          </w:p>
        </w:tc>
        <w:tc>
          <w:tcPr>
            <w:tcW w:w="1780" w:type="dxa"/>
            <w:vAlign w:val="bottom"/>
          </w:tcPr>
          <w:p>
            <w:pPr>
              <w:spacing w:after="0" w:line="194" w:lineRule="exact"/>
              <w:rPr>
                <w:sz w:val="20"/>
                <w:szCs w:val="20"/>
                <w:color w:val="auto"/>
              </w:rPr>
            </w:pPr>
            <w:r>
              <w:rPr>
                <w:rFonts w:ascii="Arial" w:cs="Arial" w:eastAsia="Arial" w:hAnsi="Arial"/>
                <w:sz w:val="17"/>
                <w:szCs w:val="17"/>
                <w:color w:val="auto"/>
              </w:rPr>
              <w:t>ANDERSON</w:t>
            </w:r>
          </w:p>
        </w:tc>
        <w:tc>
          <w:tcPr>
            <w:tcW w:w="1960" w:type="dxa"/>
            <w:vAlign w:val="bottom"/>
            <w:gridSpan w:val="2"/>
          </w:tcPr>
          <w:p>
            <w:pPr>
              <w:ind w:left="160"/>
              <w:spacing w:after="0" w:line="194" w:lineRule="exact"/>
              <w:rPr>
                <w:sz w:val="20"/>
                <w:szCs w:val="20"/>
                <w:color w:val="auto"/>
              </w:rPr>
            </w:pPr>
            <w:r>
              <w:rPr>
                <w:rFonts w:ascii="Arial" w:cs="Arial" w:eastAsia="Arial" w:hAnsi="Arial"/>
                <w:sz w:val="17"/>
                <w:szCs w:val="17"/>
                <w:color w:val="auto"/>
                <w:w w:val="89"/>
              </w:rPr>
              <w:t>President, Chief Executive</w:t>
            </w:r>
          </w:p>
        </w:tc>
        <w:tc>
          <w:tcPr>
            <w:tcW w:w="1680" w:type="dxa"/>
            <w:vAlign w:val="bottom"/>
          </w:tcPr>
          <w:p>
            <w:pPr>
              <w:ind w:left="80"/>
              <w:spacing w:after="0" w:line="194" w:lineRule="exact"/>
              <w:rPr>
                <w:sz w:val="20"/>
                <w:szCs w:val="20"/>
                <w:color w:val="auto"/>
              </w:rPr>
            </w:pPr>
            <w:r>
              <w:rPr>
                <w:rFonts w:ascii="Arial" w:cs="Arial" w:eastAsia="Arial" w:hAnsi="Arial"/>
                <w:sz w:val="17"/>
                <w:szCs w:val="17"/>
                <w:color w:val="auto"/>
              </w:rPr>
              <w:t>Officer (Principal</w:t>
            </w:r>
          </w:p>
        </w:tc>
        <w:tc>
          <w:tcPr>
            <w:tcW w:w="2720" w:type="dxa"/>
            <w:vAlign w:val="bottom"/>
            <w:gridSpan w:val="3"/>
          </w:tcPr>
          <w:p>
            <w:pPr>
              <w:jc w:val="center"/>
              <w:ind w:right="1160"/>
              <w:spacing w:after="0" w:line="194" w:lineRule="exact"/>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640" w:type="dxa"/>
            <w:vAlign w:val="bottom"/>
            <w:gridSpan w:val="3"/>
            <w:vMerge w:val="restart"/>
          </w:tcPr>
          <w:p>
            <w:pPr>
              <w:ind w:left="160"/>
              <w:spacing w:after="0"/>
              <w:rPr>
                <w:sz w:val="20"/>
                <w:szCs w:val="20"/>
                <w:color w:val="auto"/>
              </w:rPr>
            </w:pPr>
            <w:r>
              <w:rPr>
                <w:rFonts w:ascii="Arial" w:cs="Arial" w:eastAsia="Arial" w:hAnsi="Arial"/>
                <w:sz w:val="17"/>
                <w:szCs w:val="17"/>
                <w:color w:val="auto"/>
              </w:rPr>
              <w:t>Executive Officer) and Director</w:t>
            </w: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300" w:type="dxa"/>
            <w:vAlign w:val="bottom"/>
            <w:gridSpan w:val="3"/>
            <w:vMerge w:val="restart"/>
          </w:tcPr>
          <w:p>
            <w:pPr>
              <w:jc w:val="center"/>
              <w:ind w:right="535"/>
              <w:spacing w:after="0"/>
              <w:rPr>
                <w:sz w:val="20"/>
                <w:szCs w:val="20"/>
                <w:color w:val="auto"/>
              </w:rPr>
            </w:pPr>
            <w:r>
              <w:rPr>
                <w:rFonts w:ascii="Arial" w:cs="Arial" w:eastAsia="Arial" w:hAnsi="Arial"/>
                <w:sz w:val="17"/>
                <w:szCs w:val="17"/>
                <w:color w:val="auto"/>
                <w:w w:val="91"/>
              </w:rPr>
              <w:t>Bonnie H. Anderson</w:t>
            </w:r>
          </w:p>
        </w:tc>
        <w:tc>
          <w:tcPr>
            <w:tcW w:w="364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00" w:type="dxa"/>
            <w:vAlign w:val="bottom"/>
            <w:gridSpan w:val="3"/>
            <w:vMerge w:val="continue"/>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96"/>
              </w:rPr>
              <w:t>/s/ SHELLY D. GUYER</w:t>
            </w: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w w:val="99"/>
              </w:rPr>
              <w:t>Chief Financial Officer (Principal Financial and</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3640" w:type="dxa"/>
            <w:vAlign w:val="bottom"/>
            <w:gridSpan w:val="3"/>
            <w:vMerge w:val="restart"/>
          </w:tcPr>
          <w:p>
            <w:pPr>
              <w:ind w:left="160"/>
              <w:spacing w:after="0"/>
              <w:rPr>
                <w:sz w:val="20"/>
                <w:szCs w:val="20"/>
                <w:color w:val="auto"/>
              </w:rPr>
            </w:pPr>
            <w:r>
              <w:rPr>
                <w:rFonts w:ascii="Arial" w:cs="Arial" w:eastAsia="Arial" w:hAnsi="Arial"/>
                <w:sz w:val="17"/>
                <w:szCs w:val="17"/>
                <w:color w:val="auto"/>
              </w:rPr>
              <w:t>Accounting Officer)</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300" w:type="dxa"/>
            <w:vAlign w:val="bottom"/>
            <w:gridSpan w:val="3"/>
            <w:vMerge w:val="restart"/>
          </w:tcPr>
          <w:p>
            <w:pPr>
              <w:jc w:val="center"/>
              <w:ind w:right="535"/>
              <w:spacing w:after="0"/>
              <w:rPr>
                <w:sz w:val="20"/>
                <w:szCs w:val="20"/>
                <w:color w:val="auto"/>
              </w:rPr>
            </w:pPr>
            <w:r>
              <w:rPr>
                <w:rFonts w:ascii="Arial" w:cs="Arial" w:eastAsia="Arial" w:hAnsi="Arial"/>
                <w:sz w:val="17"/>
                <w:szCs w:val="17"/>
                <w:color w:val="auto"/>
                <w:w w:val="94"/>
              </w:rPr>
              <w:t>Shelly D. Guyer</w:t>
            </w:r>
          </w:p>
        </w:tc>
        <w:tc>
          <w:tcPr>
            <w:tcW w:w="364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300" w:type="dxa"/>
            <w:vAlign w:val="bottom"/>
            <w:gridSpan w:val="3"/>
            <w:vMerge w:val="continue"/>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Chairman of Board of Directors</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55"/>
              <w:spacing w:after="0"/>
              <w:rPr>
                <w:sz w:val="20"/>
                <w:szCs w:val="20"/>
                <w:color w:val="auto"/>
              </w:rPr>
            </w:pPr>
            <w:r>
              <w:rPr>
                <w:rFonts w:ascii="Arial" w:cs="Arial" w:eastAsia="Arial" w:hAnsi="Arial"/>
                <w:sz w:val="17"/>
                <w:szCs w:val="17"/>
                <w:color w:val="auto"/>
                <w:w w:val="95"/>
              </w:rPr>
              <w:t>Brian G. Atwood</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94"/>
              </w:rPr>
              <w:t>Brook H. Byers</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92"/>
              </w:rPr>
              <w:t>Fred E. Cohen, M.D., D.Phil.</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91"/>
              </w:rPr>
              <w:t>Samuel D. Colella</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55"/>
              <w:spacing w:after="0"/>
              <w:rPr>
                <w:sz w:val="20"/>
                <w:szCs w:val="20"/>
                <w:color w:val="auto"/>
              </w:rPr>
            </w:pPr>
            <w:r>
              <w:rPr>
                <w:rFonts w:ascii="Arial" w:cs="Arial" w:eastAsia="Arial" w:hAnsi="Arial"/>
                <w:sz w:val="17"/>
                <w:szCs w:val="17"/>
                <w:color w:val="auto"/>
                <w:w w:val="91"/>
              </w:rPr>
              <w:t>Karin Eastham</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85"/>
              </w:rPr>
              <w:t>Evan Jones</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2"/>
          </w:tcPr>
          <w:p>
            <w:pPr>
              <w:jc w:val="center"/>
              <w:ind w:left="1075"/>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c>
          <w:tcPr>
            <w:tcW w:w="2720" w:type="dxa"/>
            <w:vAlign w:val="bottom"/>
            <w:gridSpan w:val="3"/>
          </w:tcPr>
          <w:p>
            <w:pPr>
              <w:jc w:val="center"/>
              <w:ind w:right="1160"/>
              <w:spacing w:after="0"/>
              <w:rPr>
                <w:sz w:val="20"/>
                <w:szCs w:val="20"/>
                <w:color w:val="auto"/>
              </w:rPr>
            </w:pPr>
            <w:r>
              <w:rPr>
                <w:rFonts w:ascii="Arial" w:cs="Arial" w:eastAsia="Arial" w:hAnsi="Arial"/>
                <w:sz w:val="17"/>
                <w:szCs w:val="17"/>
                <w:color w:val="auto"/>
                <w:w w:val="91"/>
              </w:rPr>
              <w:t>October 25, 2013</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gridSpan w:val="3"/>
          </w:tcPr>
          <w:p>
            <w:pPr>
              <w:spacing w:after="0"/>
              <w:rPr>
                <w:sz w:val="5"/>
                <w:szCs w:val="5"/>
                <w:color w:val="auto"/>
              </w:rPr>
            </w:pPr>
          </w:p>
        </w:tc>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gridSpan w:val="3"/>
          </w:tcPr>
          <w:p>
            <w:pPr>
              <w:jc w:val="center"/>
              <w:ind w:right="535"/>
              <w:spacing w:after="0"/>
              <w:rPr>
                <w:sz w:val="20"/>
                <w:szCs w:val="20"/>
                <w:color w:val="auto"/>
              </w:rPr>
            </w:pPr>
            <w:r>
              <w:rPr>
                <w:rFonts w:ascii="Arial" w:cs="Arial" w:eastAsia="Arial" w:hAnsi="Arial"/>
                <w:sz w:val="17"/>
                <w:szCs w:val="17"/>
                <w:color w:val="auto"/>
                <w:w w:val="87"/>
              </w:rPr>
              <w:t>Jesse I. Treu, Ph.D.</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7"/>
                <w:szCs w:val="17"/>
                <w:color w:val="auto"/>
              </w:rPr>
              <w:t>*By:</w:t>
            </w:r>
          </w:p>
        </w:tc>
        <w:tc>
          <w:tcPr>
            <w:tcW w:w="3300" w:type="dxa"/>
            <w:vAlign w:val="bottom"/>
            <w:gridSpan w:val="3"/>
          </w:tcPr>
          <w:p>
            <w:pPr>
              <w:jc w:val="center"/>
              <w:spacing w:after="0"/>
              <w:rPr>
                <w:sz w:val="20"/>
                <w:szCs w:val="20"/>
                <w:color w:val="auto"/>
              </w:rPr>
            </w:pPr>
            <w:r>
              <w:rPr>
                <w:rFonts w:ascii="Arial" w:cs="Arial" w:eastAsia="Arial" w:hAnsi="Arial"/>
                <w:sz w:val="17"/>
                <w:szCs w:val="17"/>
                <w:color w:val="auto"/>
                <w:w w:val="95"/>
              </w:rPr>
              <w:t>/s/ BONNIE H. ANDERSON</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300" w:type="dxa"/>
            <w:vAlign w:val="bottom"/>
            <w:tcBorders>
              <w:bottom w:val="single" w:sz="8" w:color="auto"/>
            </w:tcBorders>
            <w:gridSpan w:val="3"/>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300" w:type="dxa"/>
            <w:vAlign w:val="bottom"/>
            <w:gridSpan w:val="3"/>
          </w:tcPr>
          <w:p>
            <w:pPr>
              <w:jc w:val="center"/>
              <w:spacing w:after="0"/>
              <w:rPr>
                <w:sz w:val="20"/>
                <w:szCs w:val="20"/>
                <w:color w:val="auto"/>
              </w:rPr>
            </w:pPr>
            <w:r>
              <w:rPr>
                <w:rFonts w:ascii="Arial" w:cs="Arial" w:eastAsia="Arial" w:hAnsi="Arial"/>
                <w:sz w:val="17"/>
                <w:szCs w:val="17"/>
                <w:color w:val="auto"/>
                <w:w w:val="91"/>
              </w:rPr>
              <w:t>Bonnie H. Anderson</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00" w:type="dxa"/>
            <w:vAlign w:val="bottom"/>
            <w:gridSpan w:val="3"/>
          </w:tcPr>
          <w:p>
            <w:pPr>
              <w:jc w:val="center"/>
              <w:spacing w:after="0"/>
              <w:rPr>
                <w:sz w:val="20"/>
                <w:szCs w:val="20"/>
                <w:color w:val="auto"/>
              </w:rPr>
            </w:pPr>
            <w:r>
              <w:rPr>
                <w:rFonts w:ascii="Arial" w:cs="Arial" w:eastAsia="Arial" w:hAnsi="Arial"/>
                <w:sz w:val="17"/>
                <w:szCs w:val="17"/>
                <w:color w:val="auto"/>
                <w:w w:val="94"/>
              </w:rPr>
              <w:t>Attorney-in-Fact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40" w:type="dxa"/>
            <w:vAlign w:val="bottom"/>
            <w:gridSpan w:val="3"/>
          </w:tcPr>
          <w:p>
            <w:pPr>
              <w:ind w:left="520"/>
              <w:spacing w:after="0"/>
              <w:rPr>
                <w:sz w:val="20"/>
                <w:szCs w:val="20"/>
                <w:color w:val="auto"/>
              </w:rPr>
            </w:pPr>
            <w:r>
              <w:rPr>
                <w:rFonts w:ascii="Arial" w:cs="Arial" w:eastAsia="Arial" w:hAnsi="Arial"/>
                <w:sz w:val="17"/>
                <w:szCs w:val="17"/>
                <w:color w:val="auto"/>
              </w:rPr>
              <w:t>II-5</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0" w:type="dxa"/>
            <w:vAlign w:val="bottom"/>
          </w:tcPr>
          <w:p>
            <w:pPr>
              <w:ind w:left="3820"/>
              <w:spacing w:after="0"/>
              <w:rPr>
                <w:sz w:val="20"/>
                <w:szCs w:val="20"/>
                <w:color w:val="auto"/>
              </w:rPr>
            </w:pPr>
            <w:r>
              <w:rPr>
                <w:rFonts w:ascii="Arial" w:cs="Arial" w:eastAsia="Arial" w:hAnsi="Arial"/>
                <w:sz w:val="17"/>
                <w:szCs w:val="17"/>
                <w:b w:val="1"/>
                <w:bCs w:val="1"/>
                <w:color w:val="auto"/>
              </w:rPr>
              <w:t>EXHIBIT INDEX</w:t>
            </w:r>
          </w:p>
        </w:tc>
      </w:tr>
      <w:tr>
        <w:trPr>
          <w:trHeight w:val="356"/>
        </w:trPr>
        <w:tc>
          <w:tcPr>
            <w:tcW w:w="20" w:type="dxa"/>
            <w:vAlign w:val="bottom"/>
          </w:tcPr>
          <w:p>
            <w:pPr>
              <w:spacing w:after="0"/>
              <w:rPr>
                <w:sz w:val="24"/>
                <w:szCs w:val="24"/>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Exhibit Number</w:t>
            </w:r>
          </w:p>
        </w:tc>
        <w:tc>
          <w:tcPr>
            <w:tcW w:w="160" w:type="dxa"/>
            <w:vAlign w:val="bottom"/>
          </w:tcPr>
          <w:p>
            <w:pPr>
              <w:spacing w:after="0"/>
              <w:rPr>
                <w:sz w:val="24"/>
                <w:szCs w:val="24"/>
                <w:color w:val="auto"/>
              </w:rPr>
            </w:pPr>
          </w:p>
        </w:tc>
        <w:tc>
          <w:tcPr>
            <w:tcW w:w="10200" w:type="dxa"/>
            <w:vAlign w:val="bottom"/>
            <w:tcBorders>
              <w:bottom w:val="single" w:sz="8" w:color="auto"/>
            </w:tcBorders>
          </w:tcPr>
          <w:p>
            <w:pPr>
              <w:ind w:left="478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1040" w:type="dxa"/>
            <w:vAlign w:val="bottom"/>
          </w:tcPr>
          <w:p>
            <w:pPr>
              <w:ind w:left="80"/>
              <w:spacing w:after="0" w:line="194"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10200" w:type="dxa"/>
            <w:vAlign w:val="bottom"/>
          </w:tcPr>
          <w:p>
            <w:pPr>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3.1(a)(i)+</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3.1(a)(ii)+</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Certificate of Amendment of 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3.1(b)+</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Form of Restated Certificate of Incorporation of the Registrant, to be in effect upon the completion of this offering.</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3.2(a)+</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Bylaws of the Registrant.</w:t>
            </w:r>
          </w:p>
        </w:tc>
      </w:tr>
      <w:tr>
        <w:trPr>
          <w:trHeight w:val="210"/>
        </w:trPr>
        <w:tc>
          <w:tcPr>
            <w:tcW w:w="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7"/>
                <w:szCs w:val="17"/>
                <w:color w:val="auto"/>
              </w:rPr>
              <w:t>3.2(b)+</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Second Amended and Restated Investors Rights Agreement, dated November 6, 2012, between the Registrant and certain investors.</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4.3+</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w w:val="93"/>
              </w:rPr>
              <w:t>Amendment to Second Amended and Restated Investors Rights Agreement, dated June 14, 2013, between the Registrant and certain investors.</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4.4+</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7"/>
                <w:szCs w:val="17"/>
                <w:color w:val="auto"/>
              </w:rPr>
              <w:t>5.1+</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10.2#+</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2008 Stock Plan and forms of agreements thereunder.</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10.3#+</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2013 Stock Incentive Plan and forms of agreements thereunder.</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10.4+</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Lease Agreement dated as of February 10, 2010 between ARE-San Francisco No 17, LLC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10.5+</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First Amendment to Lease Agreement entered into as of July 11, 2012 between ARE-San Francisco No 17, LLC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10.6+</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Lease Agreement between Riata Holdings, L.P., as landlord, and the Registrant, as tenant, dated November 28, 2012.</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10.7†+</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10.8+</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Amendment to Co-Promotion Agreement, effective April 9, 2013, between Genzyme Corporation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10.9+</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10.10#+</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10.11#+</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w w:val="98"/>
              </w:rPr>
              <w:t>Amendment to Bonnie Anderson Employment Agreement, dated as of December 22, 2008, between Bonnie Anderson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10.12#+</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w w:val="94"/>
              </w:rPr>
              <w:t>Amendment No. 2 to Bonnie Anderson Employment Agreement, effective as of March 11, 2009, between Bonnie Anderson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10.13#+</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Bonnie Anderson and the Registrant.</w:t>
            </w:r>
          </w:p>
        </w:tc>
      </w:tr>
      <w:tr>
        <w:trPr>
          <w:trHeight w:val="216"/>
        </w:trPr>
        <w:tc>
          <w:tcPr>
            <w:tcW w:w="1060" w:type="dxa"/>
            <w:vAlign w:val="bottom"/>
            <w:gridSpan w:val="2"/>
          </w:tcPr>
          <w:p>
            <w:pPr>
              <w:spacing w:after="0"/>
              <w:rPr>
                <w:sz w:val="20"/>
                <w:szCs w:val="20"/>
                <w:color w:val="auto"/>
              </w:rPr>
            </w:pPr>
            <w:r>
              <w:rPr>
                <w:rFonts w:ascii="Arial" w:cs="Arial" w:eastAsia="Arial" w:hAnsi="Arial"/>
                <w:sz w:val="17"/>
                <w:szCs w:val="17"/>
                <w:color w:val="auto"/>
              </w:rPr>
              <w:t>10.14#+</w:t>
            </w:r>
          </w:p>
        </w:tc>
        <w:tc>
          <w:tcPr>
            <w:tcW w:w="1036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Christopher Hall and the Registrant.</w:t>
            </w:r>
          </w:p>
        </w:tc>
      </w:tr>
      <w:tr>
        <w:trPr>
          <w:trHeight w:val="117"/>
        </w:trPr>
        <w:tc>
          <w:tcPr>
            <w:tcW w:w="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Exhibit Number</w:t>
            </w:r>
          </w:p>
        </w:tc>
        <w:tc>
          <w:tcPr>
            <w:tcW w:w="40" w:type="dxa"/>
            <w:vAlign w:val="bottom"/>
          </w:tcPr>
          <w:p>
            <w:pPr>
              <w:spacing w:after="0"/>
              <w:rPr>
                <w:sz w:val="13"/>
                <w:szCs w:val="13"/>
                <w:color w:val="auto"/>
              </w:rPr>
            </w:pPr>
          </w:p>
        </w:tc>
        <w:tc>
          <w:tcPr>
            <w:tcW w:w="10200" w:type="dxa"/>
            <w:vAlign w:val="bottom"/>
          </w:tcPr>
          <w:p>
            <w:pPr>
              <w:ind w:left="478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10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10.15#+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Change of Control and Severance Agreement, effective as of April 8, 2013, between Shelly Guyer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Executive Bonus Plan</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10.17#+</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1180" w:type="dxa"/>
            <w:vAlign w:val="bottom"/>
            <w:gridSpan w:val="3"/>
          </w:tcPr>
          <w:p>
            <w:pPr>
              <w:spacing w:after="0"/>
              <w:rPr>
                <w:sz w:val="20"/>
                <w:szCs w:val="20"/>
                <w:color w:val="auto"/>
              </w:rPr>
            </w:pPr>
            <w:r>
              <w:rPr>
                <w:rFonts w:ascii="Arial" w:cs="Arial" w:eastAsia="Arial" w:hAnsi="Arial"/>
                <w:sz w:val="17"/>
                <w:szCs w:val="17"/>
                <w:color w:val="auto"/>
              </w:rPr>
              <w:t>10.19†+</w:t>
            </w: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w w:val="97"/>
              </w:rPr>
              <w:t>Pathology Services Agreement dated as of November 12, 2010 between Brazos Valley Pathology, P.A. D/B/A Reitpath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10.20+</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w w:val="97"/>
              </w:rPr>
              <w:t>Approval of the Registrant to the Assignment of the Pathology Services Agreement with Brazos Valley Pathology to Thyroid Cytopathology</w:t>
            </w: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Partners, P.A. as of May 18, 2011.</w:t>
            </w:r>
          </w:p>
        </w:tc>
      </w:tr>
      <w:tr>
        <w:trPr>
          <w:trHeight w:val="210"/>
        </w:trPr>
        <w:tc>
          <w:tcPr>
            <w:tcW w:w="1180" w:type="dxa"/>
            <w:vAlign w:val="bottom"/>
            <w:gridSpan w:val="3"/>
          </w:tcPr>
          <w:p>
            <w:pPr>
              <w:spacing w:after="0"/>
              <w:rPr>
                <w:sz w:val="20"/>
                <w:szCs w:val="20"/>
                <w:color w:val="auto"/>
              </w:rPr>
            </w:pPr>
            <w:r>
              <w:rPr>
                <w:rFonts w:ascii="Arial" w:cs="Arial" w:eastAsia="Arial" w:hAnsi="Arial"/>
                <w:sz w:val="17"/>
                <w:szCs w:val="17"/>
                <w:color w:val="auto"/>
              </w:rPr>
              <w:t>10.21†+</w:t>
            </w: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w w:val="93"/>
              </w:rPr>
              <w:t>First Amendment to Pathology Services Agreement dated as of December 19, 2012 between Thyroid Cytology Partners, P.A. and the Registrant.</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0"/>
        </w:trPr>
        <w:tc>
          <w:tcPr>
            <w:tcW w:w="1060" w:type="dxa"/>
            <w:vAlign w:val="bottom"/>
            <w:gridSpan w:val="2"/>
          </w:tcPr>
          <w:p>
            <w:pPr>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Consent of WorldOne, Inc.</w:t>
            </w:r>
          </w:p>
        </w:tc>
      </w:tr>
      <w:tr>
        <w:trPr>
          <w:trHeight w:val="216"/>
        </w:trPr>
        <w:tc>
          <w:tcPr>
            <w:tcW w:w="1060" w:type="dxa"/>
            <w:vAlign w:val="bottom"/>
            <w:gridSpan w:val="2"/>
          </w:tcPr>
          <w:p>
            <w:pPr>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8"/>
                <w:szCs w:val="18"/>
                <w:color w:val="auto"/>
              </w:rPr>
            </w:pPr>
          </w:p>
        </w:tc>
        <w:tc>
          <w:tcPr>
            <w:tcW w:w="10240" w:type="dxa"/>
            <w:vAlign w:val="bottom"/>
            <w:gridSpan w:val="2"/>
          </w:tcPr>
          <w:p>
            <w:pPr>
              <w:ind w:left="40"/>
              <w:spacing w:after="0"/>
              <w:rPr>
                <w:sz w:val="20"/>
                <w:szCs w:val="20"/>
                <w:color w:val="auto"/>
              </w:rPr>
            </w:pPr>
            <w:r>
              <w:rPr>
                <w:rFonts w:ascii="Arial" w:cs="Arial" w:eastAsia="Arial" w:hAnsi="Arial"/>
                <w:sz w:val="17"/>
                <w:szCs w:val="17"/>
                <w:color w:val="auto"/>
              </w:rPr>
              <w:t>Power of Attorney.</w:t>
            </w:r>
          </w:p>
        </w:tc>
      </w:tr>
      <w:tr>
        <w:trPr>
          <w:trHeight w:val="107"/>
        </w:trPr>
        <w:tc>
          <w:tcPr>
            <w:tcW w:w="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20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50" w:lineRule="exact"/>
        <w:rPr>
          <w:sz w:val="20"/>
          <w:szCs w:val="20"/>
          <w:color w:val="auto"/>
        </w:rPr>
      </w:pPr>
    </w:p>
    <w:p>
      <w:pPr>
        <w:ind w:left="520" w:hanging="515"/>
        <w:spacing w:after="0"/>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rFonts w:ascii="Arial" w:cs="Arial" w:eastAsia="Arial" w:hAnsi="Arial"/>
          <w:sz w:val="17"/>
          <w:szCs w:val="17"/>
          <w:b w:val="1"/>
          <w:bCs w:val="1"/>
          <w:color w:val="auto"/>
        </w:rPr>
        <w:t>Exhibit 1.1</w:t>
      </w:r>
    </w:p>
    <w:p>
      <w:pPr>
        <w:spacing w:after="0" w:line="224"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Shares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PAR VALUE $0.001 PER SHARE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AGREEMENT</w:t>
      </w:r>
    </w:p>
    <w:p>
      <w:pPr>
        <w:spacing w:after="0" w:line="23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representatives of the several Underwriters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named in Schedule I to the Underwriting</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Agreement referred to below</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1585 Broadway</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New York, New York 10036</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Leerink Swann LLC</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One Federal Street, 37th Floor</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Boston, Massachusetts 02110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Veracyte,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w:t>
      </w:r>
    </w:p>
    <w:p>
      <w:pPr>
        <w:spacing w:after="0" w:line="3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Underwriters</w:t>
      </w:r>
      <w:r>
        <w:rPr>
          <w:rFonts w:ascii="Arial" w:cs="Arial" w:eastAsia="Arial" w:hAnsi="Arial"/>
          <w:sz w:val="17"/>
          <w:szCs w:val="17"/>
          <w:color w:val="auto"/>
        </w:rPr>
        <w:t>”), for whom you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shares of its common stock, $0.001 par value per share, of the Company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not more than an additional shares of</w:t>
      </w:r>
    </w:p>
    <w:p>
      <w:pPr>
        <w:spacing w:after="0" w:line="1"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common stock, $0.001 par value per share, of the Company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 that you, as managers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$0.001 par value per share, of the Company to be outstanding after giving effect to the sales contemplated hereby are hereinafter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60"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Common Stock pursuant to Rule 462(b) under the Securities Act (the “</w:t>
      </w:r>
      <w:r>
        <w:rPr>
          <w:rFonts w:ascii="Arial" w:cs="Arial" w:eastAsia="Arial" w:hAnsi="Arial"/>
          <w:sz w:val="16"/>
          <w:szCs w:val="16"/>
          <w:b w:val="1"/>
          <w:bCs w:val="1"/>
          <w:color w:val="auto"/>
        </w:rPr>
        <w:t>Rule 462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177165</wp:posOffset>
            </wp:positionV>
            <wp:extent cx="7271385" cy="29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 Prospectus</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means the preliminary prospectus identified in Schedule II hereto together with the documents and pricing information set forth in Schedule II hereto,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 made available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without restriction to any person. As used herein, the terms “Registration Statement,” “preliminary prospectus,” “Time of Sale Prospectus” and “Prospectus” shall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include the documents, if any, incorporated by reference therein as of the date hereof.</w:t>
      </w:r>
    </w:p>
    <w:p>
      <w:pPr>
        <w:spacing w:after="0" w:line="212" w:lineRule="exact"/>
        <w:rPr>
          <w:sz w:val="20"/>
          <w:szCs w:val="20"/>
          <w:color w:val="auto"/>
        </w:rPr>
      </w:pPr>
    </w:p>
    <w:p>
      <w:pPr>
        <w:ind w:left="1260" w:hanging="626"/>
        <w:spacing w:after="0"/>
        <w:tabs>
          <w:tab w:leader="none" w:pos="126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The Company represents and warrants to and agrees with each of the Underwriters that:</w:t>
      </w:r>
    </w:p>
    <w:p>
      <w:pPr>
        <w:spacing w:after="0" w:line="224" w:lineRule="exact"/>
        <w:rPr>
          <w:rFonts w:ascii="Arial" w:cs="Arial" w:eastAsia="Arial" w:hAnsi="Arial"/>
          <w:sz w:val="17"/>
          <w:szCs w:val="17"/>
          <w:color w:val="auto"/>
        </w:rPr>
      </w:pPr>
    </w:p>
    <w:p>
      <w:pPr>
        <w:ind w:left="640" w:right="140" w:firstLine="623"/>
        <w:spacing w:after="0" w:line="289" w:lineRule="auto"/>
        <w:tabs>
          <w:tab w:leader="none" w:pos="1896"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158" w:lineRule="exact"/>
        <w:rPr>
          <w:rFonts w:ascii="Arial" w:cs="Arial" w:eastAsia="Arial" w:hAnsi="Arial"/>
          <w:sz w:val="17"/>
          <w:szCs w:val="17"/>
          <w:color w:val="auto"/>
        </w:rPr>
      </w:pPr>
    </w:p>
    <w:p>
      <w:pPr>
        <w:ind w:left="640" w:firstLine="623"/>
        <w:spacing w:after="0" w:line="297" w:lineRule="auto"/>
        <w:tabs>
          <w:tab w:leader="none" w:pos="1905" w:val="left"/>
        </w:tabs>
        <w:numPr>
          <w:ilvl w:val="1"/>
          <w:numId w:val="92"/>
        </w:numPr>
        <w:rPr>
          <w:rFonts w:ascii="Arial" w:cs="Arial" w:eastAsia="Arial" w:hAnsi="Arial"/>
          <w:sz w:val="15"/>
          <w:szCs w:val="15"/>
          <w:color w:val="auto"/>
        </w:rPr>
      </w:pPr>
      <w:r>
        <w:rPr>
          <w:rFonts w:ascii="Arial" w:cs="Arial" w:eastAsia="Arial" w:hAnsi="Arial"/>
          <w:sz w:val="15"/>
          <w:szCs w:val="15"/>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as of its date and as of the Closing Date and any Option Closing Date (as defined in Section 4), any untrue statement of a material fact or omit to state a material fact necessary to make the statements therein, in the light of the circumstances under which they were made, not misleading, except that the representations and warranties set forth in this</w:t>
      </w:r>
    </w:p>
    <w:p>
      <w:pPr>
        <w:sectPr>
          <w:pgSz w:w="11900" w:h="16838" w:orient="portrait"/>
          <w:cols w:equalWidth="0" w:num="1">
            <w:col w:w="11420"/>
          </w:cols>
          <w:pgMar w:left="240" w:top="357" w:right="239" w:bottom="0" w:gutter="0" w:footer="0" w:header="0"/>
        </w:sectPr>
      </w:pPr>
    </w:p>
    <w:bookmarkStart w:id="195" w:name="page196"/>
    <w:bookmarkEnd w:id="195"/>
    <w:p>
      <w:pPr>
        <w:spacing w:after="0" w:line="144" w:lineRule="exact"/>
        <w:rPr>
          <w:sz w:val="20"/>
          <w:szCs w:val="20"/>
          <w:color w:val="auto"/>
        </w:rPr>
      </w:pPr>
    </w:p>
    <w:p>
      <w:pPr>
        <w:ind w:left="6" w:right="160"/>
        <w:spacing w:after="0" w:line="289" w:lineRule="auto"/>
        <w:rPr>
          <w:sz w:val="20"/>
          <w:szCs w:val="20"/>
          <w:color w:val="auto"/>
        </w:rPr>
      </w:pPr>
      <w:r>
        <w:rPr>
          <w:rFonts w:ascii="Arial" w:cs="Arial" w:eastAsia="Arial" w:hAnsi="Arial"/>
          <w:sz w:val="17"/>
          <w:szCs w:val="17"/>
          <w:color w:val="auto"/>
        </w:rPr>
        <w:t>paragraph do not apply to statements or omissions in the Registration Statement, the Time of Sale Prospectus or the Prospectus based upon information relating to any Underwriter furnished to the Company in writing by such Underwriter through you expressly for use therein.</w:t>
      </w:r>
    </w:p>
    <w:p>
      <w:pPr>
        <w:spacing w:after="0" w:line="158"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firstLine="623"/>
        <w:spacing w:after="0" w:line="280" w:lineRule="auto"/>
        <w:tabs>
          <w:tab w:leader="none" w:pos="1274"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as of the time of such filing, comply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spacing w:after="0" w:line="170" w:lineRule="exact"/>
        <w:rPr>
          <w:rFonts w:ascii="Arial" w:cs="Arial" w:eastAsia="Arial" w:hAnsi="Arial"/>
          <w:sz w:val="16"/>
          <w:szCs w:val="16"/>
          <w:color w:val="auto"/>
        </w:rPr>
      </w:pPr>
    </w:p>
    <w:p>
      <w:pPr>
        <w:ind w:left="6" w:right="60" w:firstLine="623"/>
        <w:spacing w:after="0" w:line="265" w:lineRule="auto"/>
        <w:tabs>
          <w:tab w:leader="none" w:pos="127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The Company does not have any subsidiaries.</w:t>
      </w:r>
    </w:p>
    <w:p>
      <w:pPr>
        <w:spacing w:after="0" w:line="179" w:lineRule="exact"/>
        <w:rPr>
          <w:rFonts w:ascii="Arial" w:cs="Arial" w:eastAsia="Arial" w:hAnsi="Arial"/>
          <w:sz w:val="17"/>
          <w:szCs w:val="17"/>
          <w:color w:val="auto"/>
        </w:rPr>
      </w:pPr>
    </w:p>
    <w:p>
      <w:pPr>
        <w:ind w:left="1266" w:hanging="637"/>
        <w:spacing w:after="0"/>
        <w:tabs>
          <w:tab w:leader="none" w:pos="1266"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224" w:lineRule="exact"/>
        <w:rPr>
          <w:rFonts w:ascii="Arial" w:cs="Arial" w:eastAsia="Arial" w:hAnsi="Arial"/>
          <w:sz w:val="17"/>
          <w:szCs w:val="17"/>
          <w:color w:val="auto"/>
        </w:rPr>
      </w:pPr>
    </w:p>
    <w:p>
      <w:pPr>
        <w:ind w:left="6" w:right="180" w:firstLine="623"/>
        <w:spacing w:after="0" w:line="289" w:lineRule="auto"/>
        <w:tabs>
          <w:tab w:leader="none" w:pos="12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of the Closing Date and any Option Closing Date, the authorized capital stock of the Company will conform as to legal matters to the description thereof contained in each of the Time of Sale Prospectus and the Prospectus.</w:t>
      </w:r>
    </w:p>
    <w:p>
      <w:pPr>
        <w:spacing w:after="0" w:line="158" w:lineRule="exact"/>
        <w:rPr>
          <w:rFonts w:ascii="Arial" w:cs="Arial" w:eastAsia="Arial" w:hAnsi="Arial"/>
          <w:sz w:val="17"/>
          <w:szCs w:val="17"/>
          <w:color w:val="auto"/>
        </w:rPr>
      </w:pPr>
    </w:p>
    <w:p>
      <w:pPr>
        <w:ind w:left="6" w:right="260" w:firstLine="623"/>
        <w:spacing w:after="0" w:line="289" w:lineRule="auto"/>
        <w:tabs>
          <w:tab w:leader="none" w:pos="1284"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shares of Common Stock outstanding prior to the issuance of the Shares have been duly authorized and are validly issued, fully paid and non-assessable.</w:t>
      </w:r>
    </w:p>
    <w:p>
      <w:pPr>
        <w:spacing w:after="0" w:line="158" w:lineRule="exact"/>
        <w:rPr>
          <w:rFonts w:ascii="Arial" w:cs="Arial" w:eastAsia="Arial" w:hAnsi="Arial"/>
          <w:sz w:val="17"/>
          <w:szCs w:val="17"/>
          <w:color w:val="auto"/>
        </w:rPr>
      </w:pPr>
    </w:p>
    <w:p>
      <w:pPr>
        <w:ind w:left="6" w:right="140" w:firstLine="623"/>
        <w:spacing w:after="0" w:line="289" w:lineRule="auto"/>
        <w:tabs>
          <w:tab w:leader="none" w:pos="127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58" w:lineRule="exact"/>
        <w:rPr>
          <w:rFonts w:ascii="Arial" w:cs="Arial" w:eastAsia="Arial" w:hAnsi="Arial"/>
          <w:sz w:val="17"/>
          <w:szCs w:val="17"/>
          <w:color w:val="auto"/>
        </w:rPr>
      </w:pPr>
    </w:p>
    <w:p>
      <w:pPr>
        <w:ind w:left="6" w:right="60" w:firstLine="623"/>
        <w:spacing w:after="0" w:line="273" w:lineRule="auto"/>
        <w:tabs>
          <w:tab w:leader="none" w:pos="128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w:t>
      </w:r>
    </w:p>
    <w:p>
      <w:pPr>
        <w:spacing w:after="0" w:line="17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140"/>
        <w:spacing w:after="0" w:line="305" w:lineRule="auto"/>
        <w:rPr>
          <w:sz w:val="20"/>
          <w:szCs w:val="20"/>
          <w:color w:val="auto"/>
        </w:rPr>
      </w:pPr>
      <w:r>
        <w:rPr>
          <w:rFonts w:ascii="Arial" w:cs="Arial" w:eastAsia="Arial" w:hAnsi="Arial"/>
          <w:sz w:val="15"/>
          <w:szCs w:val="15"/>
          <w:color w:val="auto"/>
        </w:rPr>
        <w:t>the Company that is material to the Company or (iv) any judgment, order or decree of any governmental body, agency or court having jurisdiction over the Company, except that in the case of clauses (i), (iii) and (iv) as would not, individually or in the aggregate, have a material adverse effect on the Company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or foreign jurisdictions or the rules and regulations of the Financial Industry Regulatory Authority, Inc. (“</w:t>
      </w:r>
      <w:r>
        <w:rPr>
          <w:rFonts w:ascii="Arial" w:cs="Arial" w:eastAsia="Arial" w:hAnsi="Arial"/>
          <w:sz w:val="15"/>
          <w:szCs w:val="15"/>
          <w:b w:val="1"/>
          <w:bCs w:val="1"/>
          <w:color w:val="auto"/>
        </w:rPr>
        <w:t>FINRA</w:t>
      </w:r>
      <w:r>
        <w:rPr>
          <w:rFonts w:ascii="Arial" w:cs="Arial" w:eastAsia="Arial" w:hAnsi="Arial"/>
          <w:sz w:val="15"/>
          <w:szCs w:val="15"/>
          <w:color w:val="auto"/>
        </w:rPr>
        <w:t>”) in connection with the offer and sale of the Shares.</w:t>
      </w:r>
    </w:p>
    <w:p>
      <w:pPr>
        <w:spacing w:after="0" w:line="153" w:lineRule="exact"/>
        <w:rPr>
          <w:sz w:val="20"/>
          <w:szCs w:val="20"/>
          <w:color w:val="auto"/>
        </w:rPr>
      </w:pPr>
    </w:p>
    <w:p>
      <w:pPr>
        <w:ind w:left="6" w:right="140" w:firstLine="623"/>
        <w:spacing w:after="0" w:line="273" w:lineRule="auto"/>
        <w:tabs>
          <w:tab w:leader="none" w:pos="1272"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reasonably likely to result in a prospective material adverse change, in the condition, financial or otherwise, or in the earnings, business or operations of the Company from that set forth in the Time of Sale Prospectus.</w:t>
      </w:r>
    </w:p>
    <w:p>
      <w:pPr>
        <w:spacing w:after="0" w:line="171" w:lineRule="exact"/>
        <w:rPr>
          <w:rFonts w:ascii="Arial" w:cs="Arial" w:eastAsia="Arial" w:hAnsi="Arial"/>
          <w:sz w:val="17"/>
          <w:szCs w:val="17"/>
          <w:color w:val="auto"/>
        </w:rPr>
      </w:pPr>
    </w:p>
    <w:p>
      <w:pPr>
        <w:ind w:left="6" w:right="60" w:firstLine="623"/>
        <w:spacing w:after="0" w:line="281" w:lineRule="auto"/>
        <w:tabs>
          <w:tab w:leader="none" w:pos="1271"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Company’s knowledge, threatened to which the Company is a party or to which any of the properties of the Company is subject (i) other than proceedings accurately described in all material respects in the Time of Sale Prospectus or proceedings that would not reasonably be expected to have a material adverse effect on the Company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70" w:lineRule="exact"/>
        <w:rPr>
          <w:rFonts w:ascii="Arial" w:cs="Arial" w:eastAsia="Arial" w:hAnsi="Arial"/>
          <w:sz w:val="16"/>
          <w:szCs w:val="16"/>
          <w:color w:val="auto"/>
        </w:rPr>
      </w:pPr>
    </w:p>
    <w:p>
      <w:pPr>
        <w:ind w:left="6" w:right="80" w:firstLine="623"/>
        <w:spacing w:after="0" w:line="273" w:lineRule="auto"/>
        <w:tabs>
          <w:tab w:leader="none" w:pos="1285" w:val="left"/>
        </w:tabs>
        <w:numPr>
          <w:ilvl w:val="1"/>
          <w:numId w:val="94"/>
        </w:numPr>
        <w:rPr>
          <w:rFonts w:ascii="Arial" w:cs="Arial" w:eastAsia="Arial" w:hAnsi="Arial"/>
          <w:sz w:val="17"/>
          <w:szCs w:val="17"/>
          <w:color w:val="auto"/>
        </w:rPr>
      </w:pPr>
      <w:r>
        <w:rPr>
          <w:rFonts w:ascii="Arial" w:cs="Arial" w:eastAsia="Arial" w:hAnsi="Arial"/>
          <w:sz w:val="17"/>
          <w:szCs w:val="17"/>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1" w:lineRule="exact"/>
        <w:rPr>
          <w:rFonts w:ascii="Arial" w:cs="Arial" w:eastAsia="Arial" w:hAnsi="Arial"/>
          <w:sz w:val="17"/>
          <w:szCs w:val="17"/>
          <w:color w:val="auto"/>
        </w:rPr>
      </w:pPr>
    </w:p>
    <w:p>
      <w:pPr>
        <w:ind w:left="6" w:right="40" w:firstLine="623"/>
        <w:spacing w:after="0" w:line="273" w:lineRule="auto"/>
        <w:tabs>
          <w:tab w:leader="none" w:pos="1267"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71" w:lineRule="exact"/>
        <w:rPr>
          <w:rFonts w:ascii="Arial" w:cs="Arial" w:eastAsia="Arial" w:hAnsi="Arial"/>
          <w:sz w:val="17"/>
          <w:szCs w:val="17"/>
          <w:color w:val="auto"/>
        </w:rPr>
      </w:pPr>
    </w:p>
    <w:p>
      <w:pPr>
        <w:ind w:left="6" w:firstLine="623"/>
        <w:spacing w:after="0" w:line="300" w:lineRule="auto"/>
        <w:tabs>
          <w:tab w:leader="none" w:pos="1271" w:val="left"/>
        </w:tabs>
        <w:numPr>
          <w:ilvl w:val="1"/>
          <w:numId w:val="94"/>
        </w:numPr>
        <w:rPr>
          <w:rFonts w:ascii="Arial" w:cs="Arial" w:eastAsia="Arial" w:hAnsi="Arial"/>
          <w:sz w:val="15"/>
          <w:szCs w:val="15"/>
          <w:color w:val="auto"/>
        </w:rPr>
      </w:pPr>
      <w:r>
        <w:rPr>
          <w:rFonts w:ascii="Arial" w:cs="Arial" w:eastAsia="Arial" w:hAnsi="Arial"/>
          <w:sz w:val="15"/>
          <w:szCs w:val="15"/>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5"/>
          <w:szCs w:val="15"/>
          <w:b w:val="1"/>
          <w:bCs w:val="1"/>
          <w:color w:val="auto"/>
        </w:rPr>
        <w:t>Environmental Laws</w:t>
      </w:r>
      <w:r>
        <w:rPr>
          <w:rFonts w:ascii="Arial" w:cs="Arial" w:eastAsia="Arial" w:hAnsi="Arial"/>
          <w:sz w:val="15"/>
          <w:szCs w:val="15"/>
          <w:color w:val="auto"/>
        </w:rPr>
        <w:t>”),</w:t>
      </w:r>
    </w:p>
    <w:p>
      <w:pPr>
        <w:ind w:left="266" w:hanging="266"/>
        <w:spacing w:after="0"/>
        <w:tabs>
          <w:tab w:leader="none" w:pos="266" w:val="left"/>
        </w:tabs>
        <w:numPr>
          <w:ilvl w:val="0"/>
          <w:numId w:val="95"/>
        </w:numPr>
        <w:rPr>
          <w:rFonts w:ascii="Arial" w:cs="Arial" w:eastAsia="Arial" w:hAnsi="Arial"/>
          <w:sz w:val="17"/>
          <w:szCs w:val="17"/>
          <w:color w:val="auto"/>
        </w:rPr>
      </w:pPr>
      <w:r>
        <w:rPr>
          <w:rFonts w:ascii="Arial" w:cs="Arial" w:eastAsia="Arial" w:hAnsi="Arial"/>
          <w:sz w:val="17"/>
          <w:szCs w:val="17"/>
          <w:color w:val="auto"/>
        </w:rPr>
        <w:t>has received all</w:t>
      </w:r>
    </w:p>
    <w:p>
      <w:pPr>
        <w:spacing w:after="0" w:line="21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40"/>
        <w:spacing w:after="0" w:line="360" w:lineRule="auto"/>
        <w:rPr>
          <w:sz w:val="20"/>
          <w:szCs w:val="20"/>
          <w:color w:val="auto"/>
        </w:rPr>
      </w:pPr>
      <w:r>
        <w:rPr>
          <w:rFonts w:ascii="Arial" w:cs="Arial" w:eastAsia="Arial" w:hAnsi="Arial"/>
          <w:sz w:val="15"/>
          <w:szCs w:val="15"/>
          <w:color w:val="auto"/>
        </w:rPr>
        <w:t>permits, licenses or other approvals required of them under applicable Environmental Laws to conduct their respective businesses and (iii) is in compliance with all terms and conditions of any such permit, license or approval, except where such noncompliance with Environmental Laws, failure to</w:t>
      </w:r>
    </w:p>
    <w:p>
      <w:pPr>
        <w:sectPr>
          <w:pgSz w:w="11900" w:h="16983" w:orient="portrait"/>
          <w:cols w:equalWidth="0" w:num="1">
            <w:col w:w="10746"/>
          </w:cols>
          <w:pgMar w:left="874" w:top="127" w:right="279" w:bottom="0" w:gutter="0" w:footer="0" w:header="0"/>
        </w:sectPr>
      </w:pPr>
    </w:p>
    <w:bookmarkStart w:id="196" w:name="page197"/>
    <w:bookmarkEnd w:id="196"/>
    <w:p>
      <w:pPr>
        <w:ind w:left="6" w:right="100"/>
        <w:spacing w:after="0" w:line="289" w:lineRule="auto"/>
        <w:rPr>
          <w:sz w:val="20"/>
          <w:szCs w:val="20"/>
          <w:color w:val="auto"/>
        </w:rPr>
      </w:pPr>
      <w:r>
        <w:rPr>
          <w:rFonts w:ascii="Arial" w:cs="Arial" w:eastAsia="Arial" w:hAnsi="Arial"/>
          <w:sz w:val="17"/>
          <w:szCs w:val="17"/>
          <w:color w:val="auto"/>
        </w:rPr>
        <w:t>receive required permits, licenses or other approvals or failure to comply with the terms and conditions of such permits, licenses or approvals would not, singly or in the aggregate, reasonably be expected to have a material adverse effect on the Company.</w:t>
      </w:r>
    </w:p>
    <w:p>
      <w:pPr>
        <w:spacing w:after="0" w:line="158" w:lineRule="exact"/>
        <w:rPr>
          <w:sz w:val="20"/>
          <w:szCs w:val="20"/>
          <w:color w:val="auto"/>
        </w:rPr>
      </w:pPr>
    </w:p>
    <w:p>
      <w:pPr>
        <w:ind w:left="6" w:right="140" w:firstLine="623"/>
        <w:spacing w:after="0" w:line="268" w:lineRule="auto"/>
        <w:tabs>
          <w:tab w:leader="none" w:pos="1271"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175" w:lineRule="exact"/>
        <w:rPr>
          <w:rFonts w:ascii="Arial" w:cs="Arial" w:eastAsia="Arial" w:hAnsi="Arial"/>
          <w:sz w:val="17"/>
          <w:szCs w:val="17"/>
          <w:color w:val="auto"/>
        </w:rPr>
      </w:pPr>
    </w:p>
    <w:p>
      <w:pPr>
        <w:jc w:val="both"/>
        <w:ind w:left="6" w:right="140" w:firstLine="623"/>
        <w:spacing w:after="0" w:line="326" w:lineRule="auto"/>
        <w:tabs>
          <w:tab w:leader="none" w:pos="1271" w:val="left"/>
        </w:tabs>
        <w:numPr>
          <w:ilvl w:val="0"/>
          <w:numId w:val="96"/>
        </w:numPr>
        <w:rPr>
          <w:rFonts w:ascii="Arial" w:cs="Arial" w:eastAsia="Arial" w:hAnsi="Arial"/>
          <w:sz w:val="15"/>
          <w:szCs w:val="15"/>
          <w:color w:val="auto"/>
        </w:rPr>
      </w:pPr>
      <w:r>
        <w:rPr>
          <w:rFonts w:ascii="Arial" w:cs="Arial" w:eastAsia="Arial" w:hAnsi="Arial"/>
          <w:sz w:val="15"/>
          <w:szCs w:val="15"/>
          <w:color w:val="auto"/>
        </w:rPr>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36" w:lineRule="exact"/>
        <w:rPr>
          <w:rFonts w:ascii="Arial" w:cs="Arial" w:eastAsia="Arial" w:hAnsi="Arial"/>
          <w:sz w:val="15"/>
          <w:szCs w:val="15"/>
          <w:color w:val="auto"/>
        </w:rPr>
      </w:pPr>
    </w:p>
    <w:p>
      <w:pPr>
        <w:ind w:left="6" w:right="40" w:firstLine="623"/>
        <w:spacing w:after="0" w:line="281" w:lineRule="auto"/>
        <w:tabs>
          <w:tab w:leader="none" w:pos="12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Neither the Company nor any director or officer, nor, to the Company’s knowledge, any employee, agent, affiliate or representative of the Company, has taken (or has any plans to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illegally influence official action or secure an improper advantage for the Company; and the Company has conducted its business in compliance with applicable anti-corruption laws and has instituted and maintains (and has no intent to discontinue) policies and procedures designed to promote and achieve compliance with such laws.</w:t>
      </w:r>
    </w:p>
    <w:p>
      <w:pPr>
        <w:spacing w:after="0" w:line="170" w:lineRule="exact"/>
        <w:rPr>
          <w:rFonts w:ascii="Arial" w:cs="Arial" w:eastAsia="Arial" w:hAnsi="Arial"/>
          <w:sz w:val="16"/>
          <w:szCs w:val="16"/>
          <w:color w:val="auto"/>
        </w:rPr>
      </w:pPr>
    </w:p>
    <w:p>
      <w:pPr>
        <w:ind w:left="6" w:firstLine="623"/>
        <w:spacing w:after="0" w:line="265" w:lineRule="auto"/>
        <w:tabs>
          <w:tab w:leader="none" w:pos="1281"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w:t>
      </w:r>
    </w:p>
    <w:p>
      <w:pPr>
        <w:spacing w:after="0" w:line="179"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 w:right="180"/>
        <w:spacing w:after="0" w:line="277" w:lineRule="auto"/>
        <w:rPr>
          <w:sz w:val="20"/>
          <w:szCs w:val="20"/>
          <w:color w:val="auto"/>
        </w:rPr>
      </w:pPr>
      <w:r>
        <w:rPr>
          <w:rFonts w:ascii="Arial" w:cs="Arial" w:eastAsia="Arial" w:hAnsi="Arial"/>
          <w:sz w:val="17"/>
          <w:szCs w:val="17"/>
          <w:color w:val="auto"/>
        </w:rPr>
        <w:t>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68" w:lineRule="exact"/>
        <w:rPr>
          <w:sz w:val="20"/>
          <w:szCs w:val="20"/>
          <w:color w:val="auto"/>
        </w:rPr>
      </w:pPr>
    </w:p>
    <w:p>
      <w:pPr>
        <w:ind w:left="6" w:right="600" w:firstLine="623"/>
        <w:spacing w:after="0" w:line="289" w:lineRule="auto"/>
        <w:tabs>
          <w:tab w:leader="none" w:pos="1278" w:val="left"/>
        </w:tabs>
        <w:numPr>
          <w:ilvl w:val="1"/>
          <w:numId w:val="97"/>
        </w:numPr>
        <w:rPr>
          <w:rFonts w:ascii="Arial" w:cs="Arial" w:eastAsia="Arial" w:hAnsi="Arial"/>
          <w:sz w:val="17"/>
          <w:szCs w:val="17"/>
          <w:color w:val="auto"/>
        </w:rPr>
      </w:pPr>
      <w:r>
        <w:rPr>
          <w:rFonts w:ascii="Arial" w:cs="Arial" w:eastAsia="Arial" w:hAnsi="Arial"/>
          <w:sz w:val="17"/>
          <w:szCs w:val="17"/>
          <w:color w:val="auto"/>
        </w:rPr>
        <w:t>(i) Neither the Company nor any director or officer thereof, nor, to the Company’s knowledge, any employee, agent, affiliate or representative of the Company,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w:t>
      </w:r>
    </w:p>
    <w:p>
      <w:pPr>
        <w:spacing w:after="0" w:line="158" w:lineRule="exact"/>
        <w:rPr>
          <w:rFonts w:ascii="Arial" w:cs="Arial" w:eastAsia="Arial" w:hAnsi="Arial"/>
          <w:sz w:val="17"/>
          <w:szCs w:val="17"/>
          <w:color w:val="auto"/>
        </w:rPr>
      </w:pPr>
    </w:p>
    <w:p>
      <w:pPr>
        <w:ind w:left="626" w:right="240" w:firstLine="947"/>
        <w:spacing w:after="0" w:line="273" w:lineRule="auto"/>
        <w:tabs>
          <w:tab w:leader="none" w:pos="2219" w:val="left"/>
        </w:tabs>
        <w:numPr>
          <w:ilvl w:val="3"/>
          <w:numId w:val="97"/>
        </w:numPr>
        <w:rPr>
          <w:rFonts w:ascii="Arial" w:cs="Arial" w:eastAsia="Arial" w:hAnsi="Arial"/>
          <w:sz w:val="17"/>
          <w:szCs w:val="17"/>
          <w:color w:val="auto"/>
        </w:rPr>
      </w:pPr>
      <w:r>
        <w:rPr>
          <w:rFonts w:ascii="Arial" w:cs="Arial" w:eastAsia="Arial" w:hAnsi="Arial"/>
          <w:sz w:val="17"/>
          <w:szCs w:val="17"/>
          <w:color w:val="auto"/>
        </w:rPr>
        <w:t>the subject of any sanctions administered or enforced by the U.S. Department of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w:t>
      </w:r>
    </w:p>
    <w:p>
      <w:pPr>
        <w:spacing w:after="0" w:line="171" w:lineRule="exact"/>
        <w:rPr>
          <w:rFonts w:ascii="Arial" w:cs="Arial" w:eastAsia="Arial" w:hAnsi="Arial"/>
          <w:sz w:val="17"/>
          <w:szCs w:val="17"/>
          <w:color w:val="auto"/>
        </w:rPr>
      </w:pPr>
    </w:p>
    <w:p>
      <w:pPr>
        <w:ind w:left="626" w:right="480" w:firstLine="947"/>
        <w:spacing w:after="0" w:line="289" w:lineRule="auto"/>
        <w:tabs>
          <w:tab w:leader="none" w:pos="2209" w:val="left"/>
        </w:tabs>
        <w:numPr>
          <w:ilvl w:val="3"/>
          <w:numId w:val="97"/>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Cuba, Iran, North Korea, Sudan and Syria).</w:t>
      </w:r>
    </w:p>
    <w:p>
      <w:pPr>
        <w:spacing w:after="0" w:line="158" w:lineRule="exact"/>
        <w:rPr>
          <w:rFonts w:ascii="Arial" w:cs="Arial" w:eastAsia="Arial" w:hAnsi="Arial"/>
          <w:sz w:val="17"/>
          <w:szCs w:val="17"/>
          <w:color w:val="auto"/>
        </w:rPr>
      </w:pPr>
    </w:p>
    <w:p>
      <w:pPr>
        <w:ind w:left="6" w:right="220" w:firstLine="1001"/>
        <w:spacing w:after="0" w:line="289" w:lineRule="auto"/>
        <w:tabs>
          <w:tab w:leader="none" w:pos="1423" w:val="left"/>
        </w:tabs>
        <w:numPr>
          <w:ilvl w:val="2"/>
          <w:numId w:val="97"/>
        </w:numPr>
        <w:rPr>
          <w:rFonts w:ascii="Arial" w:cs="Arial" w:eastAsia="Arial" w:hAnsi="Arial"/>
          <w:sz w:val="17"/>
          <w:szCs w:val="17"/>
          <w:color w:val="auto"/>
        </w:rPr>
      </w:pPr>
      <w:r>
        <w:rPr>
          <w:rFonts w:ascii="Arial" w:cs="Arial" w:eastAsia="Arial" w:hAnsi="Arial"/>
          <w:sz w:val="17"/>
          <w:szCs w:val="17"/>
          <w:color w:val="auto"/>
        </w:rPr>
        <w:t>The Company will not, directly or indirectly, use the proceeds of the offering, or lend, contribute or otherwise make available such proceeds to any subsidiary, joint venture partner or other Person:</w:t>
      </w:r>
    </w:p>
    <w:p>
      <w:pPr>
        <w:spacing w:after="0" w:line="158" w:lineRule="exact"/>
        <w:rPr>
          <w:rFonts w:ascii="Arial" w:cs="Arial" w:eastAsia="Arial" w:hAnsi="Arial"/>
          <w:sz w:val="17"/>
          <w:szCs w:val="17"/>
          <w:color w:val="auto"/>
        </w:rPr>
      </w:pPr>
    </w:p>
    <w:p>
      <w:pPr>
        <w:ind w:left="626" w:right="120" w:firstLine="947"/>
        <w:spacing w:after="0" w:line="289" w:lineRule="auto"/>
        <w:tabs>
          <w:tab w:leader="none" w:pos="2219" w:val="left"/>
        </w:tabs>
        <w:numPr>
          <w:ilvl w:val="3"/>
          <w:numId w:val="97"/>
        </w:numPr>
        <w:rPr>
          <w:rFonts w:ascii="Arial" w:cs="Arial" w:eastAsia="Arial" w:hAnsi="Arial"/>
          <w:sz w:val="17"/>
          <w:szCs w:val="17"/>
          <w:color w:val="auto"/>
        </w:rPr>
      </w:pPr>
      <w:r>
        <w:rPr>
          <w:rFonts w:ascii="Arial" w:cs="Arial" w:eastAsia="Arial" w:hAnsi="Arial"/>
          <w:sz w:val="17"/>
          <w:szCs w:val="17"/>
          <w:color w:val="auto"/>
        </w:rPr>
        <w:t>to fund or facilitate any activities or business of or with any Person or in any country or territory that, at the time of such funding or facilitation, is the subject of Sanctions; or</w:t>
      </w:r>
    </w:p>
    <w:p>
      <w:pPr>
        <w:spacing w:after="0" w:line="158" w:lineRule="exact"/>
        <w:rPr>
          <w:rFonts w:ascii="Arial" w:cs="Arial" w:eastAsia="Arial" w:hAnsi="Arial"/>
          <w:sz w:val="17"/>
          <w:szCs w:val="17"/>
          <w:color w:val="auto"/>
        </w:rPr>
      </w:pPr>
    </w:p>
    <w:p>
      <w:pPr>
        <w:ind w:left="626" w:right="240" w:firstLine="947"/>
        <w:spacing w:after="0" w:line="289" w:lineRule="auto"/>
        <w:tabs>
          <w:tab w:leader="none" w:pos="2209" w:val="left"/>
        </w:tabs>
        <w:numPr>
          <w:ilvl w:val="3"/>
          <w:numId w:val="97"/>
        </w:numPr>
        <w:rPr>
          <w:rFonts w:ascii="Arial" w:cs="Arial" w:eastAsia="Arial" w:hAnsi="Arial"/>
          <w:sz w:val="17"/>
          <w:szCs w:val="17"/>
          <w:color w:val="auto"/>
        </w:rPr>
      </w:pPr>
      <w:r>
        <w:rPr>
          <w:rFonts w:ascii="Arial" w:cs="Arial" w:eastAsia="Arial" w:hAnsi="Arial"/>
          <w:sz w:val="17"/>
          <w:szCs w:val="17"/>
          <w:color w:val="auto"/>
        </w:rPr>
        <w:t>in any other manner that will result in a violation of Sanctions by any Person (including any Person participating in the offering, whether as underwriter, advisor, investor or otherwise).</w:t>
      </w:r>
    </w:p>
    <w:p>
      <w:pPr>
        <w:spacing w:after="0" w:line="158" w:lineRule="exact"/>
        <w:rPr>
          <w:rFonts w:ascii="Arial" w:cs="Arial" w:eastAsia="Arial" w:hAnsi="Arial"/>
          <w:sz w:val="17"/>
          <w:szCs w:val="17"/>
          <w:color w:val="auto"/>
        </w:rPr>
      </w:pPr>
    </w:p>
    <w:p>
      <w:pPr>
        <w:ind w:left="6" w:right="140" w:firstLine="1001"/>
        <w:spacing w:after="0" w:line="273" w:lineRule="auto"/>
        <w:tabs>
          <w:tab w:leader="none" w:pos="1432" w:val="left"/>
        </w:tabs>
        <w:numPr>
          <w:ilvl w:val="2"/>
          <w:numId w:val="97"/>
        </w:numPr>
        <w:rPr>
          <w:rFonts w:ascii="Arial" w:cs="Arial" w:eastAsia="Arial" w:hAnsi="Arial"/>
          <w:sz w:val="17"/>
          <w:szCs w:val="17"/>
          <w:color w:val="auto"/>
        </w:rPr>
      </w:pPr>
      <w:r>
        <w:rPr>
          <w:rFonts w:ascii="Arial" w:cs="Arial" w:eastAsia="Arial" w:hAnsi="Arial"/>
          <w:sz w:val="17"/>
          <w:szCs w:val="17"/>
          <w:color w:val="auto"/>
        </w:rPr>
        <w:t>For the past 5 years, the Company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71" w:lineRule="exact"/>
        <w:rPr>
          <w:rFonts w:ascii="Arial" w:cs="Arial" w:eastAsia="Arial" w:hAnsi="Arial"/>
          <w:sz w:val="17"/>
          <w:szCs w:val="17"/>
          <w:color w:val="auto"/>
        </w:rPr>
      </w:pPr>
    </w:p>
    <w:p>
      <w:pPr>
        <w:ind w:left="6" w:right="120" w:firstLine="623"/>
        <w:spacing w:after="0" w:line="300" w:lineRule="auto"/>
        <w:tabs>
          <w:tab w:leader="none" w:pos="1272" w:val="left"/>
        </w:tabs>
        <w:numPr>
          <w:ilvl w:val="1"/>
          <w:numId w:val="97"/>
        </w:numPr>
        <w:rPr>
          <w:rFonts w:ascii="Arial" w:cs="Arial" w:eastAsia="Arial" w:hAnsi="Arial"/>
          <w:sz w:val="15"/>
          <w:szCs w:val="15"/>
          <w:color w:val="auto"/>
        </w:rPr>
      </w:pPr>
      <w:r>
        <w:rPr>
          <w:rFonts w:ascii="Arial" w:cs="Arial" w:eastAsia="Arial" w:hAnsi="Arial"/>
          <w:sz w:val="15"/>
          <w:szCs w:val="15"/>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w:t>
      </w:r>
    </w:p>
    <w:p>
      <w:pPr>
        <w:ind w:left="6" w:right="40" w:hanging="6"/>
        <w:spacing w:after="0" w:line="263" w:lineRule="auto"/>
        <w:tabs>
          <w:tab w:leader="none" w:pos="26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has not purchased any of its outstanding capital stock (other than pursuant to agreements that permit the Company to repurchase Common Stock upon an employee or service provider’s termination of employment or services or in exercise of the Company’s right of first refusal upon a proposed transfer), nor declared, paid or otherwise made any dividend or distribution of any kind on its capital stock other than ordinary and customary dividends; and (iii) there has not</w:t>
      </w:r>
    </w:p>
    <w:p>
      <w:pPr>
        <w:spacing w:after="0" w:line="180"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720"/>
        <w:spacing w:after="0" w:line="289" w:lineRule="auto"/>
        <w:rPr>
          <w:sz w:val="20"/>
          <w:szCs w:val="20"/>
          <w:color w:val="auto"/>
        </w:rPr>
      </w:pPr>
      <w:r>
        <w:rPr>
          <w:rFonts w:ascii="Arial" w:cs="Arial" w:eastAsia="Arial" w:hAnsi="Arial"/>
          <w:sz w:val="17"/>
          <w:szCs w:val="17"/>
          <w:color w:val="auto"/>
        </w:rPr>
        <w:t>been any material change in the capital stock, short-term debt or long-term debt of the Company, except in each case as described in each of the Registration Statement, the Time of Sale Prospectus and the Prospectus, respectively.</w:t>
      </w:r>
    </w:p>
    <w:p>
      <w:pPr>
        <w:spacing w:after="0" w:line="158" w:lineRule="exact"/>
        <w:rPr>
          <w:sz w:val="20"/>
          <w:szCs w:val="20"/>
          <w:color w:val="auto"/>
        </w:rPr>
      </w:pPr>
    </w:p>
    <w:p>
      <w:pPr>
        <w:ind w:left="6" w:right="80" w:firstLine="623"/>
        <w:spacing w:after="0" w:line="283" w:lineRule="auto"/>
        <w:tabs>
          <w:tab w:leader="none" w:pos="127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does not own any real property. The Company has good and marketable title to all personal property owned by it that is material to the business of the Company,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to the Company’s knowledge, enforceable leases with such exceptions as are not material and do not materially interfere with the use made and proposed to be made of such property and buildings by the Company, in each case except as described in the Time of Sale Prospectus.</w:t>
      </w:r>
    </w:p>
    <w:p>
      <w:pPr>
        <w:sectPr>
          <w:pgSz w:w="11900" w:h="16838" w:orient="portrait"/>
          <w:cols w:equalWidth="0" w:num="1">
            <w:col w:w="10766"/>
          </w:cols>
          <w:pgMar w:left="874" w:top="127" w:right="259" w:bottom="0" w:gutter="0" w:footer="0" w:header="0"/>
        </w:sectPr>
      </w:pPr>
    </w:p>
    <w:bookmarkStart w:id="197" w:name="page198"/>
    <w:bookmarkEnd w:id="197"/>
    <w:p>
      <w:pPr>
        <w:spacing w:after="0" w:line="21" w:lineRule="exact"/>
        <w:rPr>
          <w:sz w:val="20"/>
          <w:szCs w:val="20"/>
          <w:color w:val="auto"/>
        </w:rPr>
      </w:pPr>
    </w:p>
    <w:p>
      <w:pPr>
        <w:ind w:left="6" w:firstLine="623"/>
        <w:spacing w:after="0" w:line="296" w:lineRule="auto"/>
        <w:tabs>
          <w:tab w:leader="none" w:pos="1271" w:val="left"/>
        </w:tabs>
        <w:numPr>
          <w:ilvl w:val="1"/>
          <w:numId w:val="100"/>
        </w:numPr>
        <w:rPr>
          <w:rFonts w:ascii="Arial" w:cs="Arial" w:eastAsia="Arial" w:hAnsi="Arial"/>
          <w:sz w:val="15"/>
          <w:szCs w:val="15"/>
          <w:color w:val="auto"/>
        </w:rPr>
      </w:pPr>
      <w:r>
        <w:rPr>
          <w:rFonts w:ascii="Arial" w:cs="Arial" w:eastAsia="Arial" w:hAnsi="Arial"/>
          <w:sz w:val="15"/>
          <w:szCs w:val="15"/>
          <w:color w:val="auto"/>
        </w:rPr>
        <w:t>The Company owns or possesses, or can acquire on commercially reasonable terms, valid and enforceable rights to use all material patents, patent rights, licenses, inventions, copyrights, know-how (including trade secrets and other unpatented and/or unpatentable proprietary or confidential information, systems or procedures), trademarks, service marks and trade names (collectively, “</w:t>
      </w:r>
      <w:r>
        <w:rPr>
          <w:rFonts w:ascii="Arial" w:cs="Arial" w:eastAsia="Arial" w:hAnsi="Arial"/>
          <w:sz w:val="15"/>
          <w:szCs w:val="15"/>
          <w:b w:val="1"/>
          <w:bCs w:val="1"/>
          <w:color w:val="auto"/>
        </w:rPr>
        <w:t>Intellectual Property</w:t>
      </w:r>
      <w:r>
        <w:rPr>
          <w:rFonts w:ascii="Arial" w:cs="Arial" w:eastAsia="Arial" w:hAnsi="Arial"/>
          <w:sz w:val="15"/>
          <w:szCs w:val="15"/>
          <w:color w:val="auto"/>
        </w:rPr>
        <w:t>”) reasonably necessary for the conduct of its business as currently conducted or as currently proposed to be conducted and, except as described in the Time of Sale Prospectus,</w:t>
      </w:r>
    </w:p>
    <w:p>
      <w:pPr>
        <w:ind w:left="6" w:right="20" w:hanging="6"/>
        <w:spacing w:after="0" w:line="261" w:lineRule="auto"/>
        <w:tabs>
          <w:tab w:leader="none" w:pos="21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 has not received any notice of infringement of or conflict with asserted rights of others with respect to any of the foregoing and (ii) to the Company’s knowledge, the conduct of the Company’s business as currently conducted does not, and the Company’s business as currently proposed to be conducted would not reasonably be expected to, infringe, misappropriate or otherwise violate in any material respect any such rights of others, which in either case, singly or in the aggregate, if the subject of an unfavorable decision, ruling or finding, would reasonably be expected to have a material adverse effect on the Company.</w:t>
      </w:r>
    </w:p>
    <w:p>
      <w:pPr>
        <w:spacing w:after="0" w:line="183" w:lineRule="exact"/>
        <w:rPr>
          <w:rFonts w:ascii="Arial" w:cs="Arial" w:eastAsia="Arial" w:hAnsi="Arial"/>
          <w:sz w:val="17"/>
          <w:szCs w:val="17"/>
          <w:color w:val="auto"/>
        </w:rPr>
      </w:pPr>
    </w:p>
    <w:p>
      <w:pPr>
        <w:ind w:left="6" w:right="220" w:firstLine="623"/>
        <w:spacing w:after="0" w:line="268" w:lineRule="auto"/>
        <w:tabs>
          <w:tab w:leader="none" w:pos="128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No material labor dispute with the employees of the Company exists, except as described in the Time of Sale Prospectus, or, to the knowledge of the Company, is imminent; and the Company is not aware of any existing, threatened or imminent labor disturbance by the employees of any of its principal suppliers, manufacturers or contractors (including, without limitation, Thyroid Cytopathology Partners, P.A. (“TCP”)) that would reasonably be expected to have a material adverse effect on the Company.</w:t>
      </w:r>
    </w:p>
    <w:p>
      <w:pPr>
        <w:spacing w:after="0" w:line="175" w:lineRule="exact"/>
        <w:rPr>
          <w:rFonts w:ascii="Arial" w:cs="Arial" w:eastAsia="Arial" w:hAnsi="Arial"/>
          <w:sz w:val="17"/>
          <w:szCs w:val="17"/>
          <w:color w:val="auto"/>
        </w:rPr>
      </w:pPr>
    </w:p>
    <w:p>
      <w:pPr>
        <w:ind w:left="6" w:right="60" w:firstLine="623"/>
        <w:spacing w:after="0" w:line="273" w:lineRule="auto"/>
        <w:tabs>
          <w:tab w:leader="none" w:pos="127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are, in the reasonable judgment of the Company, prudent and customary in the business in which it is engaged; the Company has not been refused any insurance coverage sought or applied for; and the Company does not have any reason to believe that it</w:t>
      </w:r>
    </w:p>
    <w:p>
      <w:pPr>
        <w:spacing w:after="0" w:line="17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60"/>
        <w:spacing w:after="0" w:line="273" w:lineRule="auto"/>
        <w:rPr>
          <w:sz w:val="20"/>
          <w:szCs w:val="20"/>
          <w:color w:val="auto"/>
        </w:rPr>
      </w:pPr>
      <w:r>
        <w:rPr>
          <w:rFonts w:ascii="Arial" w:cs="Arial" w:eastAsia="Arial" w:hAnsi="Arial"/>
          <w:sz w:val="17"/>
          <w:szCs w:val="17"/>
          <w:color w:val="auto"/>
        </w:rPr>
        <w:t>will not be able to renew its existing insurance coverage as and when such coverage expires or to obtain similar coverage from similar insurers as may be necessary to continue its business at a cost that would not have a material adverse effect on the Company, except as described in the Time of Sale Prospectus.</w:t>
      </w:r>
    </w:p>
    <w:p>
      <w:pPr>
        <w:spacing w:after="0" w:line="172" w:lineRule="exact"/>
        <w:rPr>
          <w:sz w:val="20"/>
          <w:szCs w:val="20"/>
          <w:color w:val="auto"/>
        </w:rPr>
      </w:pPr>
    </w:p>
    <w:p>
      <w:pPr>
        <w:ind w:left="6" w:right="20" w:firstLine="623"/>
        <w:spacing w:after="0" w:line="261" w:lineRule="auto"/>
        <w:tabs>
          <w:tab w:leader="none" w:pos="127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Company possesses and, to the knowledge of the Company, TCP possesses or is in the process of obtaining, all licenses, certificates, authorizations and permits issued by the appropriate federal, state or foreign regulatory authorities necessary to conduct its business, including, without limitation, all such certificates, authorizations and permits required by any federal, state or foreign agencies or bodies engaged in regulation of clinical laboratories, except where the failure to obtain such certificates, authorizations or permits would not, singly or in the aggregate, be reasonably expected to have a material adverse effect on the Company; and the Company and, to the knowledge of the Company, TCP, have not received any notice of proceedings relating to the revocation or modification of any such license, certificate, authorization or permit nor does the Company have any reason to believe that any such license, certificate, authorization or permit will not be renewed in the future, which, singly or in the aggregate, if the subject of an unfavorable decision, ruling or finding, would reasonably be expected to have a material adverse effect on the Company, except as described in the Time of Sale Prospectus.</w:t>
      </w:r>
    </w:p>
    <w:p>
      <w:pPr>
        <w:spacing w:after="0" w:line="184" w:lineRule="exact"/>
        <w:rPr>
          <w:rFonts w:ascii="Arial" w:cs="Arial" w:eastAsia="Arial" w:hAnsi="Arial"/>
          <w:sz w:val="17"/>
          <w:szCs w:val="17"/>
          <w:color w:val="auto"/>
        </w:rPr>
      </w:pPr>
    </w:p>
    <w:p>
      <w:pPr>
        <w:ind w:left="6" w:right="20" w:firstLine="623"/>
        <w:spacing w:after="0" w:line="280" w:lineRule="auto"/>
        <w:tabs>
          <w:tab w:leader="none" w:pos="127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generally accepted accounting principles (“</w:t>
      </w:r>
      <w:r>
        <w:rPr>
          <w:rFonts w:ascii="Arial" w:cs="Arial" w:eastAsia="Arial" w:hAnsi="Arial"/>
          <w:sz w:val="16"/>
          <w:szCs w:val="16"/>
          <w:b w:val="1"/>
          <w:bCs w:val="1"/>
          <w:color w:val="auto"/>
        </w:rPr>
        <w:t>U.S. GAAP</w:t>
      </w:r>
      <w:r>
        <w:rPr>
          <w:rFonts w:ascii="Arial" w:cs="Arial" w:eastAsia="Arial" w:hAnsi="Arial"/>
          <w:sz w:val="16"/>
          <w:szCs w:val="16"/>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71" w:lineRule="exact"/>
        <w:rPr>
          <w:sz w:val="20"/>
          <w:szCs w:val="20"/>
          <w:color w:val="auto"/>
        </w:rPr>
      </w:pPr>
    </w:p>
    <w:p>
      <w:pPr>
        <w:ind w:left="6" w:right="80" w:firstLine="623"/>
        <w:spacing w:after="0" w:line="268" w:lineRule="auto"/>
        <w:tabs>
          <w:tab w:leader="none" w:pos="124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stock option plans or other employee compensation plans or pursuant to outstanding options, rights or warrants.</w:t>
      </w:r>
    </w:p>
    <w:p>
      <w:pPr>
        <w:spacing w:after="0" w:line="175" w:lineRule="exact"/>
        <w:rPr>
          <w:rFonts w:ascii="Arial" w:cs="Arial" w:eastAsia="Arial" w:hAnsi="Arial"/>
          <w:sz w:val="17"/>
          <w:szCs w:val="17"/>
          <w:color w:val="auto"/>
        </w:rPr>
      </w:pPr>
    </w:p>
    <w:p>
      <w:pPr>
        <w:ind w:left="1266" w:hanging="637"/>
        <w:spacing w:after="0"/>
        <w:tabs>
          <w:tab w:leader="none" w:pos="126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has filed all federal, state, local and foreign tax returns required to be filed through the date of this Agreement or has</w:t>
      </w:r>
    </w:p>
    <w:p>
      <w:pPr>
        <w:spacing w:after="0" w:line="37"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7"/>
          <w:szCs w:val="17"/>
          <w:color w:val="auto"/>
        </w:rPr>
        <w:t>requested</w:t>
      </w:r>
    </w:p>
    <w:p>
      <w:pPr>
        <w:spacing w:after="0" w:line="212" w:lineRule="exact"/>
        <w:rPr>
          <w:sz w:val="20"/>
          <w:szCs w:val="20"/>
          <w:color w:val="auto"/>
        </w:rPr>
      </w:pPr>
    </w:p>
    <w:p>
      <w:pPr>
        <w:ind w:left="5046"/>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spacing w:after="0" w:line="283" w:lineRule="auto"/>
        <w:rPr>
          <w:sz w:val="20"/>
          <w:szCs w:val="20"/>
          <w:color w:val="auto"/>
        </w:rPr>
      </w:pPr>
      <w:r>
        <w:rPr>
          <w:rFonts w:ascii="Arial" w:cs="Arial" w:eastAsia="Arial" w:hAnsi="Arial"/>
          <w:sz w:val="16"/>
          <w:szCs w:val="16"/>
          <w:color w:val="auto"/>
        </w:rPr>
        <w:t>extensions thereof (except where the failure to file would not, individually or in the aggregate, be reasonably expected to have a material adverse effect on the Company) and have paid all taxes required to be paid thereon (except for cases in which the failure to pay would not be reasonably expected to have a material adverse effect on the Company or except as are currently being contested in good faith and for which reserves required by U.S. GAAP have been created in the financial statements of the Company), and no unpaid tax deficiency has been determined adversely to the Company which has had (nor does the Company have any notice or knowledge of any unpaid tax deficiency which could reasonably be expected to be determined adversely to the Company and which would reasonably be expected to have) a material adverse effect on the Company.</w:t>
      </w:r>
    </w:p>
    <w:p>
      <w:pPr>
        <w:spacing w:after="0" w:line="167" w:lineRule="exact"/>
        <w:rPr>
          <w:sz w:val="20"/>
          <w:szCs w:val="20"/>
          <w:color w:val="auto"/>
        </w:rPr>
      </w:pPr>
    </w:p>
    <w:p>
      <w:pPr>
        <w:jc w:val="both"/>
        <w:ind w:left="6" w:right="160" w:firstLine="623"/>
        <w:spacing w:after="0" w:line="297" w:lineRule="auto"/>
        <w:tabs>
          <w:tab w:leader="none" w:pos="127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5"/>
          <w:szCs w:val="15"/>
          <w:b w:val="1"/>
          <w:bCs w:val="1"/>
          <w:color w:val="auto"/>
        </w:rPr>
        <w:t>Emerging Growth Company</w:t>
      </w:r>
      <w:r>
        <w:rPr>
          <w:rFonts w:ascii="Arial" w:cs="Arial" w:eastAsia="Arial" w:hAnsi="Arial"/>
          <w:sz w:val="15"/>
          <w:szCs w:val="15"/>
          <w:color w:val="auto"/>
        </w:rPr>
        <w:t>”).</w:t>
      </w:r>
    </w:p>
    <w:p>
      <w:pPr>
        <w:ind w:left="6" w:right="160"/>
        <w:spacing w:after="0" w:line="275" w:lineRule="auto"/>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oral or written communication with potential investors undertaken in reliance on Section 5(d) of the Securities Act.</w:t>
      </w:r>
    </w:p>
    <w:p>
      <w:pPr>
        <w:spacing w:after="0" w:line="169" w:lineRule="exact"/>
        <w:rPr>
          <w:rFonts w:ascii="Arial" w:cs="Arial" w:eastAsia="Arial" w:hAnsi="Arial"/>
          <w:sz w:val="15"/>
          <w:szCs w:val="15"/>
          <w:color w:val="auto"/>
        </w:rPr>
      </w:pPr>
    </w:p>
    <w:p>
      <w:pPr>
        <w:ind w:left="6" w:right="20" w:firstLine="623"/>
        <w:spacing w:after="0" w:line="281" w:lineRule="auto"/>
        <w:tabs>
          <w:tab w:leader="none" w:pos="126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Morgan Stanley &amp; Co. LLC and Leerink Swann LLC to engage in Testing-the-Waters Communications. The Company reconfirms that Morgan Stanley &amp; Co. LLC and Leerink Swann LLC have been authorized to act on its behalf in undertaking Testing-the-Waters Communications. The Company has not distributed any Written Testing-the-Waters Communications. “</w:t>
      </w:r>
      <w:r>
        <w:rPr>
          <w:rFonts w:ascii="Arial" w:cs="Arial" w:eastAsia="Arial" w:hAnsi="Arial"/>
          <w:sz w:val="16"/>
          <w:szCs w:val="16"/>
          <w:b w:val="1"/>
          <w:b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ectPr>
          <w:pgSz w:w="11900" w:h="16859" w:orient="portrait"/>
          <w:cols w:equalWidth="0" w:num="1">
            <w:col w:w="10786"/>
          </w:cols>
          <w:pgMar w:left="874" w:top="127" w:right="239" w:bottom="0" w:gutter="0" w:footer="0" w:header="0"/>
        </w:sectPr>
      </w:pPr>
    </w:p>
    <w:bookmarkStart w:id="198" w:name="page199"/>
    <w:bookmarkEnd w:id="198"/>
    <w:p>
      <w:pPr>
        <w:spacing w:after="0" w:line="18" w:lineRule="exact"/>
        <w:rPr>
          <w:sz w:val="20"/>
          <w:szCs w:val="20"/>
          <w:color w:val="auto"/>
        </w:rPr>
      </w:pPr>
    </w:p>
    <w:p>
      <w:pPr>
        <w:ind w:left="640" w:right="260" w:firstLine="623"/>
        <w:spacing w:after="0" w:line="300" w:lineRule="auto"/>
        <w:tabs>
          <w:tab w:leader="none" w:pos="1908" w:val="left"/>
        </w:tabs>
        <w:numPr>
          <w:ilvl w:val="1"/>
          <w:numId w:val="105"/>
        </w:numPr>
        <w:rPr>
          <w:rFonts w:ascii="Arial" w:cs="Arial" w:eastAsia="Arial" w:hAnsi="Arial"/>
          <w:sz w:val="15"/>
          <w:szCs w:val="15"/>
          <w:color w:val="auto"/>
        </w:rPr>
      </w:pPr>
      <w:r>
        <w:rPr>
          <w:rFonts w:ascii="Arial" w:cs="Arial" w:eastAsia="Arial" w:hAnsi="Arial"/>
          <w:sz w:val="15"/>
          <w:szCs w:val="15"/>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w:t>
      </w:r>
    </w:p>
    <w:p>
      <w:pPr>
        <w:ind w:left="640" w:right="180" w:hanging="6"/>
        <w:spacing w:after="0" w:line="266" w:lineRule="auto"/>
        <w:tabs>
          <w:tab w:leader="none" w:pos="91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firstLine="623"/>
        <w:spacing w:after="0" w:line="277" w:lineRule="auto"/>
        <w:tabs>
          <w:tab w:leader="none" w:pos="189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and, to the knowledge of the Company, TCP, have operated and currently are in compliance with the Clinical Laboratory Improvement Amendments of 1998 and other applicable rules and regulations of federal, state and foreign governmental agencies or bodies engaged in regulation of clinical laboratories or biohazardous materials and, except where the failure to so operate or be in compliance would not reasonably be expected to have a material adverse effect on the Company, and the Company and, to the knowledge of the Company, TCP, have not received, and are not aware of, any notice from any such governmental agencies or bodies requiring the termination, suspension, clinical hold or material modification of any tests, studies or trials conducted by or on behalf of the Company, which termination, suspension, clinical hold or material modification would reasonably be expected to have a material adverse effect on the Company. The clinical studies and tests and clinical trials conducted by on behalf of the Company that are described in the Time of Sale Prospectus and the Prospectus were and are being conducted in all material respects in accordance with experimental protocols, procedures and controls pursuant to any applicable professional and scientific standards for products and product candidates comparable to those being developed by the Company, and the description of such studies, tests or trials, and the results thereof contained in the Time of Sale Prospectus and the Prospectus are accurate and complete in all material respects. The Company is not aware of any tests, studies or trials not described in the Time of Sale Prospectus and the Prospectus, the results of which reasonably call into question the results of the tests, studies and trials described in the Time of Sale Prospectus and the Prospectus.</w:t>
      </w:r>
    </w:p>
    <w:p>
      <w:pPr>
        <w:spacing w:after="0" w:line="175" w:lineRule="exact"/>
        <w:rPr>
          <w:rFonts w:ascii="Arial" w:cs="Arial" w:eastAsia="Arial" w:hAnsi="Arial"/>
          <w:sz w:val="16"/>
          <w:szCs w:val="16"/>
          <w:color w:val="auto"/>
        </w:rPr>
      </w:pPr>
    </w:p>
    <w:p>
      <w:pPr>
        <w:ind w:left="640" w:right="40" w:firstLine="623"/>
        <w:spacing w:after="0" w:line="314" w:lineRule="auto"/>
        <w:tabs>
          <w:tab w:leader="none" w:pos="192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To the extent required under applicable rules, the Company maintains disclosure controls and procedures (as defined in Rule 13a-15 under the Exchange Act (as defined below)), that comply with the requirements of the Exchange Act; such disclosure controls and procedures have been designed to ensure that material information relating to the Company is made known to the Company’s principal executive officer and principal financial officer in accordance with any such applicable requirements; and such disclosure controls and procedures are effective in all material respects.</w:t>
      </w:r>
    </w:p>
    <w:p>
      <w:pPr>
        <w:spacing w:after="0" w:line="146" w:lineRule="exact"/>
        <w:rPr>
          <w:rFonts w:ascii="Arial" w:cs="Arial" w:eastAsia="Arial" w:hAnsi="Arial"/>
          <w:sz w:val="15"/>
          <w:szCs w:val="15"/>
          <w:color w:val="auto"/>
        </w:rPr>
      </w:pPr>
    </w:p>
    <w:p>
      <w:pPr>
        <w:ind w:left="640" w:right="20" w:firstLine="623"/>
        <w:spacing w:after="0" w:line="290" w:lineRule="auto"/>
        <w:tabs>
          <w:tab w:leader="none" w:pos="190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There is and has been no failure on the part of the Company, and to the Company’s knowledge, any of the Company’s directors or officers, in their capacities as such, to comply in all material respects with the provisions of the Sarbanes-Oxley Act of 2002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currently applicable to it, and the Company is taking steps to ensure that it will be in compliance with the provisions of the Sarbanes-Oxley Act that are, or will become, applicable to the Company after the date hereof.</w:t>
      </w:r>
    </w:p>
    <w:p>
      <w:pPr>
        <w:spacing w:after="0" w:line="159" w:lineRule="exact"/>
        <w:rPr>
          <w:rFonts w:ascii="Arial" w:cs="Arial" w:eastAsia="Arial" w:hAnsi="Arial"/>
          <w:sz w:val="16"/>
          <w:szCs w:val="16"/>
          <w:color w:val="auto"/>
        </w:rPr>
      </w:pPr>
    </w:p>
    <w:p>
      <w:pPr>
        <w:ind w:left="640" w:right="160" w:firstLine="623"/>
        <w:spacing w:after="0" w:line="273" w:lineRule="auto"/>
        <w:tabs>
          <w:tab w:leader="none" w:pos="19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financial statements of the Company filed with the Commission as part of the Registration Statement and included in each of the Time of Sale Prospectus and the Prospectus present fairly the financial position of the Company as of the dates indicated therein and the results of its operations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300"/>
        <w:spacing w:after="0" w:line="289" w:lineRule="auto"/>
        <w:rPr>
          <w:sz w:val="20"/>
          <w:szCs w:val="20"/>
          <w:color w:val="auto"/>
        </w:rPr>
      </w:pPr>
      <w:r>
        <w:rPr>
          <w:rFonts w:ascii="Arial" w:cs="Arial" w:eastAsia="Arial" w:hAnsi="Arial"/>
          <w:sz w:val="17"/>
          <w:szCs w:val="17"/>
          <w:color w:val="auto"/>
        </w:rPr>
        <w:t>cash flows for the periods specified therein. Such financial statements have been prepared in conformity with U.S. GAAP and applied on a consistent basis throughout the periods involved.</w:t>
      </w:r>
    </w:p>
    <w:p>
      <w:pPr>
        <w:spacing w:after="0" w:line="158" w:lineRule="exact"/>
        <w:rPr>
          <w:sz w:val="20"/>
          <w:szCs w:val="20"/>
          <w:color w:val="auto"/>
        </w:rPr>
      </w:pPr>
    </w:p>
    <w:p>
      <w:pPr>
        <w:ind w:left="640" w:right="40" w:firstLine="623"/>
        <w:spacing w:after="0" w:line="273" w:lineRule="auto"/>
        <w:tabs>
          <w:tab w:leader="none" w:pos="190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statistical, industry related and market related data included in the Time of Sale Prospectus and the Prospectus are based on or derived from sources which the Company reasonably and in good faith believes are reliable and are accurate, and such data is consistent with the sources from which they are derived.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Shares have been approved for listing, subject to notice of issuance, on The NASDAQ Stock Market.</w:t>
      </w:r>
    </w:p>
    <w:p>
      <w:pPr>
        <w:spacing w:after="0" w:line="224" w:lineRule="exact"/>
        <w:rPr>
          <w:rFonts w:ascii="Arial" w:cs="Arial" w:eastAsia="Arial" w:hAnsi="Arial"/>
          <w:sz w:val="17"/>
          <w:szCs w:val="17"/>
          <w:color w:val="auto"/>
        </w:rPr>
      </w:pPr>
    </w:p>
    <w:p>
      <w:pPr>
        <w:ind w:left="640" w:right="340" w:firstLine="623"/>
        <w:spacing w:after="0" w:line="289" w:lineRule="auto"/>
        <w:tabs>
          <w:tab w:leader="none" w:pos="192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 has not taken and will not take, directly or indirectly, any action designed to or that could reasonably be expected to cause or result in any stabilization or manipulation of the price of the Shares.</w:t>
      </w:r>
    </w:p>
    <w:p>
      <w:pPr>
        <w:spacing w:after="0" w:line="158" w:lineRule="exact"/>
        <w:rPr>
          <w:sz w:val="20"/>
          <w:szCs w:val="20"/>
          <w:color w:val="auto"/>
        </w:rPr>
      </w:pPr>
    </w:p>
    <w:p>
      <w:pPr>
        <w:jc w:val="both"/>
        <w:ind w:right="140" w:firstLine="634"/>
        <w:spacing w:after="0" w:line="300" w:lineRule="auto"/>
        <w:tabs>
          <w:tab w:leader="none" w:pos="1258"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 xml:space="preserve">Agreements to Sell and Purchase. </w:t>
      </w:r>
      <w:r>
        <w:rPr>
          <w:rFonts w:ascii="Arial" w:cs="Arial" w:eastAsia="Arial" w:hAnsi="Arial"/>
          <w:sz w:val="15"/>
          <w:szCs w:val="15"/>
          <w:color w:val="auto"/>
        </w:rPr>
        <w:t>The Company hereby agrees to sell to the several Underwriters, and each Underwriter, upon the basis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representations and warranties herein contained, but subject to the conditions hereinafter stated, agrees, severally and not jointly, to purchase from the Company</w:t>
      </w:r>
    </w:p>
    <w:p>
      <w:pPr>
        <w:spacing w:after="0"/>
        <w:tabs>
          <w:tab w:leader="none" w:pos="6880" w:val="left"/>
        </w:tabs>
        <w:rPr>
          <w:sz w:val="20"/>
          <w:szCs w:val="20"/>
          <w:color w:val="auto"/>
        </w:rPr>
      </w:pPr>
      <w:r>
        <w:rPr>
          <w:rFonts w:ascii="Arial" w:cs="Arial" w:eastAsia="Arial" w:hAnsi="Arial"/>
          <w:sz w:val="17"/>
          <w:szCs w:val="17"/>
          <w:color w:val="auto"/>
        </w:rPr>
        <w:t>the respective numbers of Firm Shares set forth in Schedule I hereto opposite its name at $</w:t>
      </w:r>
      <w:r>
        <w:rPr>
          <w:sz w:val="20"/>
          <w:szCs w:val="20"/>
          <w:color w:val="auto"/>
        </w:rPr>
        <w:tab/>
      </w:r>
      <w:r>
        <w:rPr>
          <w:rFonts w:ascii="Arial" w:cs="Arial" w:eastAsia="Arial" w:hAnsi="Arial"/>
          <w:sz w:val="15"/>
          <w:szCs w:val="15"/>
          <w:color w:val="auto"/>
        </w:rPr>
        <w:t>a share (the “</w:t>
      </w:r>
      <w:r>
        <w:rPr>
          <w:rFonts w:ascii="Arial" w:cs="Arial" w:eastAsia="Arial" w:hAnsi="Arial"/>
          <w:sz w:val="15"/>
          <w:szCs w:val="15"/>
          <w:b w:val="1"/>
          <w:bCs w:val="1"/>
          <w:color w:val="auto"/>
        </w:rPr>
        <w:t>Purchase Price</w:t>
      </w:r>
      <w:r>
        <w:rPr>
          <w:rFonts w:ascii="Arial" w:cs="Arial" w:eastAsia="Arial" w:hAnsi="Arial"/>
          <w:sz w:val="15"/>
          <w:szCs w:val="15"/>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On the basis of the representations and warranties contained in this Agreement, and subject to its terms and conditions, the Company agrees to sell to the</w:t>
      </w:r>
    </w:p>
    <w:p>
      <w:pPr>
        <w:spacing w:after="0" w:line="4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Underwriters the Additional Shares, and the Underwriters shall have the right to purchase, severally and not jointly, up to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You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34"/>
        <w:spacing w:after="0" w:line="281" w:lineRule="auto"/>
        <w:tabs>
          <w:tab w:leader="none" w:pos="1258"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Company is advised by you that the Underwriters propose to make a public offering of their respective portions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Shares as soon after the Registration Statement and this Agreement have become effective as in your judgment is advisable. The Company is further</w:t>
      </w:r>
    </w:p>
    <w:p>
      <w:pPr>
        <w:spacing w:after="0" w:line="1"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advised by you that the Shares are to be offered to the public initially at $</w:t>
      </w:r>
      <w:r>
        <w:rPr>
          <w:sz w:val="20"/>
          <w:szCs w:val="20"/>
          <w:color w:val="auto"/>
        </w:rPr>
        <w:tab/>
      </w:r>
      <w:r>
        <w:rPr>
          <w:rFonts w:ascii="Arial" w:cs="Arial" w:eastAsia="Arial" w:hAnsi="Arial"/>
          <w:sz w:val="15"/>
          <w:szCs w:val="15"/>
          <w:color w:val="auto"/>
        </w:rPr>
        <w:t>a share (the “</w:t>
      </w:r>
      <w:r>
        <w:rPr>
          <w:rFonts w:ascii="Arial" w:cs="Arial" w:eastAsia="Arial" w:hAnsi="Arial"/>
          <w:sz w:val="15"/>
          <w:szCs w:val="15"/>
          <w:b w:val="1"/>
          <w:bCs w:val="1"/>
          <w:color w:val="auto"/>
        </w:rPr>
        <w:t>Public Offering Price</w:t>
      </w:r>
      <w:r>
        <w:rPr>
          <w:rFonts w:ascii="Arial" w:cs="Arial" w:eastAsia="Arial" w:hAnsi="Arial"/>
          <w:sz w:val="15"/>
          <w:szCs w:val="15"/>
          <w:color w:val="auto"/>
        </w:rPr>
        <w:t>”) and to certain dealers selected by</w:t>
      </w:r>
    </w:p>
    <w:p>
      <w:pPr>
        <w:sectPr>
          <w:pgSz w:w="11900" w:h="16856" w:orient="portrait"/>
          <w:cols w:equalWidth="0" w:num="1">
            <w:col w:w="11380"/>
          </w:cols>
          <w:pgMar w:left="240" w:top="337" w:right="279" w:bottom="0" w:gutter="0" w:footer="0" w:header="0"/>
        </w:sectPr>
      </w:pPr>
    </w:p>
    <w:bookmarkStart w:id="199" w:name="page200"/>
    <w:bookmarkEnd w:id="199"/>
    <w:p>
      <w:pPr>
        <w:spacing w:after="0" w:line="1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you at a price that represents a concession not in excess of $ a share under the Public Offering Price, and that any Underwriter may allow, and such dealers may reallow, a concession, not in excess of $ a share, to any Underwriter or to certain other dealers.</w:t>
      </w:r>
    </w:p>
    <w:p>
      <w:pPr>
        <w:ind w:left="1260" w:hanging="626"/>
        <w:spacing w:after="0"/>
        <w:tabs>
          <w:tab w:leader="none" w:pos="1260" w:val="left"/>
        </w:tabs>
        <w:numPr>
          <w:ilvl w:val="0"/>
          <w:numId w:val="111"/>
        </w:numPr>
        <w:rPr>
          <w:rFonts w:ascii="Arial" w:cs="Arial" w:eastAsia="Arial" w:hAnsi="Arial"/>
          <w:sz w:val="15"/>
          <w:szCs w:val="15"/>
          <w:color w:val="auto"/>
        </w:rPr>
      </w:pPr>
      <w:r>
        <w:rPr>
          <w:rFonts w:ascii="Arial" w:cs="Arial" w:eastAsia="Arial" w:hAnsi="Arial"/>
          <w:sz w:val="15"/>
          <w:szCs w:val="15"/>
          <w:i w:val="1"/>
          <w:iCs w:val="1"/>
          <w:color w:val="auto"/>
        </w:rPr>
        <w:t xml:space="preserve">Payment and Delivery. </w:t>
      </w:r>
      <w:r>
        <w:rPr>
          <w:rFonts w:ascii="Arial" w:cs="Arial" w:eastAsia="Arial" w:hAnsi="Arial"/>
          <w:sz w:val="15"/>
          <w:szCs w:val="15"/>
          <w:color w:val="auto"/>
        </w:rPr>
        <w:t>Payment for the Firm Shares shall be made to the Company in Federal or other funds immediately available in New York</w:t>
      </w:r>
    </w:p>
    <w:p>
      <w:pPr>
        <w:spacing w:after="0" w:line="19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City against delivery of such Firm Shares for the respective accounts of the several Underwriters at 10:00 a.m., New York City time, on , 2013, or at such other time on the same or such other date, not later than , 2013, as shall be designated in writing by you.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2" w:lineRule="exact"/>
        <w:rPr>
          <w:sz w:val="20"/>
          <w:szCs w:val="20"/>
          <w:color w:val="auto"/>
        </w:rPr>
      </w:pPr>
    </w:p>
    <w:p>
      <w:pPr>
        <w:ind w:firstLine="629"/>
        <w:spacing w:after="0" w:line="300" w:lineRule="auto"/>
        <w:rPr>
          <w:sz w:val="20"/>
          <w:szCs w:val="20"/>
          <w:color w:val="auto"/>
        </w:rPr>
      </w:pPr>
      <w:r>
        <w:rPr>
          <w:rFonts w:ascii="Arial" w:cs="Arial" w:eastAsia="Arial" w:hAnsi="Arial"/>
          <w:sz w:val="15"/>
          <w:szCs w:val="15"/>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w:t>
      </w:r>
    </w:p>
    <w:p>
      <w:pPr>
        <w:spacing w:after="0"/>
        <w:tabs>
          <w:tab w:leader="none" w:pos="7960" w:val="left"/>
        </w:tabs>
        <w:rPr>
          <w:sz w:val="20"/>
          <w:szCs w:val="20"/>
          <w:color w:val="auto"/>
        </w:rPr>
      </w:pPr>
      <w:r>
        <w:rPr>
          <w:rFonts w:ascii="Arial" w:cs="Arial" w:eastAsia="Arial" w:hAnsi="Arial"/>
          <w:sz w:val="17"/>
          <w:szCs w:val="17"/>
          <w:color w:val="auto"/>
        </w:rPr>
        <w:t>described in Section 2 or at such other time on the same or on such other date, in any event not later than</w:t>
      </w:r>
      <w:r>
        <w:rPr>
          <w:sz w:val="20"/>
          <w:szCs w:val="20"/>
          <w:color w:val="auto"/>
        </w:rPr>
        <w:tab/>
      </w:r>
      <w:r>
        <w:rPr>
          <w:rFonts w:ascii="Arial" w:cs="Arial" w:eastAsia="Arial" w:hAnsi="Arial"/>
          <w:sz w:val="15"/>
          <w:szCs w:val="15"/>
          <w:color w:val="auto"/>
        </w:rPr>
        <w:t>, 2013, as shall be designated in writing by you.</w:t>
      </w:r>
    </w:p>
    <w:p>
      <w:pPr>
        <w:spacing w:after="0" w:line="212" w:lineRule="exact"/>
        <w:rPr>
          <w:sz w:val="20"/>
          <w:szCs w:val="20"/>
          <w:color w:val="auto"/>
        </w:rPr>
      </w:pPr>
    </w:p>
    <w:p>
      <w:pPr>
        <w:ind w:firstLine="629"/>
        <w:spacing w:after="0" w:line="290" w:lineRule="auto"/>
        <w:rPr>
          <w:sz w:val="20"/>
          <w:szCs w:val="20"/>
          <w:color w:val="auto"/>
        </w:rPr>
      </w:pPr>
      <w:r>
        <w:rPr>
          <w:rFonts w:ascii="Arial" w:cs="Arial" w:eastAsia="Arial" w:hAnsi="Arial"/>
          <w:sz w:val="16"/>
          <w:szCs w:val="16"/>
          <w:color w:val="auto"/>
        </w:rPr>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59" w:lineRule="exact"/>
        <w:rPr>
          <w:sz w:val="20"/>
          <w:szCs w:val="20"/>
          <w:color w:val="auto"/>
        </w:rPr>
      </w:pPr>
    </w:p>
    <w:p>
      <w:pPr>
        <w:ind w:right="40" w:firstLine="634"/>
        <w:spacing w:after="0" w:line="300" w:lineRule="auto"/>
        <w:tabs>
          <w:tab w:leader="none" w:pos="1258"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Conditions to the Underwriters’ Obligations</w:t>
      </w:r>
      <w:r>
        <w:rPr>
          <w:rFonts w:ascii="Arial" w:cs="Arial" w:eastAsia="Arial" w:hAnsi="Arial"/>
          <w:sz w:val="15"/>
          <w:szCs w:val="15"/>
          <w:color w:val="auto"/>
        </w:rPr>
        <w:t>. The obligations of the Company to sell the Shares to the Underwriters and the several obligations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Underwriters to purchase and pay for the Shares on the Closing Date are subject to the condition that the Registration Statement shall have become effective</w:t>
      </w:r>
    </w:p>
    <w:p>
      <w:pPr>
        <w:spacing w:after="0"/>
        <w:tabs>
          <w:tab w:leader="none" w:pos="1440" w:val="left"/>
        </w:tabs>
        <w:rPr>
          <w:sz w:val="20"/>
          <w:szCs w:val="20"/>
          <w:color w:val="auto"/>
        </w:rPr>
      </w:pPr>
      <w:r>
        <w:rPr>
          <w:rFonts w:ascii="Arial" w:cs="Arial" w:eastAsia="Arial" w:hAnsi="Arial"/>
          <w:sz w:val="17"/>
          <w:szCs w:val="17"/>
          <w:color w:val="auto"/>
        </w:rPr>
        <w:t>not later than</w:t>
      </w:r>
      <w:r>
        <w:rPr>
          <w:sz w:val="20"/>
          <w:szCs w:val="20"/>
          <w:color w:val="auto"/>
        </w:rPr>
        <w:tab/>
      </w:r>
      <w:r>
        <w:rPr>
          <w:rFonts w:ascii="Arial" w:cs="Arial" w:eastAsia="Arial" w:hAnsi="Arial"/>
          <w:sz w:val="16"/>
          <w:szCs w:val="16"/>
          <w:color w:val="auto"/>
        </w:rPr>
        <w:t>(New York City time) on the date hereof.</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several obligations of the Underwriters are subject to the following further conditions:</w:t>
      </w:r>
    </w:p>
    <w:p>
      <w:pPr>
        <w:spacing w:after="0" w:line="224" w:lineRule="exact"/>
        <w:rPr>
          <w:sz w:val="20"/>
          <w:szCs w:val="20"/>
          <w:color w:val="auto"/>
        </w:rPr>
      </w:pPr>
    </w:p>
    <w:p>
      <w:pPr>
        <w:ind w:left="1880" w:hanging="617"/>
        <w:spacing w:after="0"/>
        <w:tabs>
          <w:tab w:leader="none" w:pos="18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w:t>
      </w:r>
    </w:p>
    <w:p>
      <w:pPr>
        <w:spacing w:after="0" w:line="224" w:lineRule="exact"/>
        <w:rPr>
          <w:rFonts w:ascii="Arial" w:cs="Arial" w:eastAsia="Arial" w:hAnsi="Arial"/>
          <w:sz w:val="17"/>
          <w:szCs w:val="17"/>
          <w:color w:val="auto"/>
        </w:rPr>
      </w:pPr>
    </w:p>
    <w:p>
      <w:pPr>
        <w:ind w:left="2040" w:hanging="392"/>
        <w:spacing w:after="0"/>
        <w:tabs>
          <w:tab w:leader="none" w:pos="20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any review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300"/>
        <w:spacing w:after="0" w:line="273" w:lineRule="auto"/>
        <w:rPr>
          <w:sz w:val="20"/>
          <w:szCs w:val="20"/>
          <w:color w:val="auto"/>
        </w:rPr>
      </w:pPr>
      <w:r>
        <w:rPr>
          <w:rFonts w:ascii="Arial" w:cs="Arial" w:eastAsia="Arial" w:hAnsi="Arial"/>
          <w:sz w:val="17"/>
          <w:szCs w:val="17"/>
          <w:color w:val="auto"/>
        </w:rPr>
        <w:t>for a possible change that does not indicate the direction of the possible change, in the rating accorded any of the securities of the Company by any “nationally recognized statistical rating organization,” as such term is defined in Section 3(a)(62)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w:t>
      </w:r>
    </w:p>
    <w:p>
      <w:pPr>
        <w:spacing w:after="0" w:line="172" w:lineRule="exact"/>
        <w:rPr>
          <w:sz w:val="20"/>
          <w:szCs w:val="20"/>
          <w:color w:val="auto"/>
        </w:rPr>
      </w:pPr>
    </w:p>
    <w:p>
      <w:pPr>
        <w:ind w:left="640" w:right="80" w:firstLine="1001"/>
        <w:spacing w:after="0" w:line="268" w:lineRule="auto"/>
        <w:tabs>
          <w:tab w:leader="none" w:pos="205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or operations of the Company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175" w:lineRule="exact"/>
        <w:rPr>
          <w:rFonts w:ascii="Arial" w:cs="Arial" w:eastAsia="Arial" w:hAnsi="Arial"/>
          <w:sz w:val="17"/>
          <w:szCs w:val="17"/>
          <w:color w:val="auto"/>
        </w:rPr>
      </w:pPr>
    </w:p>
    <w:p>
      <w:pPr>
        <w:ind w:left="640" w:right="20" w:firstLine="623"/>
        <w:spacing w:after="0" w:line="268" w:lineRule="auto"/>
        <w:tabs>
          <w:tab w:leader="none" w:pos="190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24" w:lineRule="exact"/>
        <w:rPr>
          <w:sz w:val="20"/>
          <w:szCs w:val="20"/>
          <w:color w:val="auto"/>
        </w:rPr>
      </w:pPr>
    </w:p>
    <w:p>
      <w:pPr>
        <w:ind w:left="640" w:right="180" w:firstLine="623"/>
        <w:spacing w:after="0" w:line="289" w:lineRule="auto"/>
        <w:tabs>
          <w:tab w:leader="none" w:pos="190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letter of Pillsbury Winthrop Shaw Pittman LLP, outside counsel for the Company, dated the Closing Date, in the form and substance reasonably satisfactory to the Representatives.</w:t>
      </w:r>
    </w:p>
    <w:p>
      <w:pPr>
        <w:spacing w:after="0" w:line="158" w:lineRule="exact"/>
        <w:rPr>
          <w:rFonts w:ascii="Arial" w:cs="Arial" w:eastAsia="Arial" w:hAnsi="Arial"/>
          <w:sz w:val="17"/>
          <w:szCs w:val="17"/>
          <w:color w:val="auto"/>
        </w:rPr>
      </w:pPr>
    </w:p>
    <w:p>
      <w:pPr>
        <w:ind w:left="640" w:right="300" w:firstLine="623"/>
        <w:spacing w:after="0" w:line="289" w:lineRule="auto"/>
        <w:tabs>
          <w:tab w:leader="none" w:pos="190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letter of Hyman, Phelps &amp; McNamara P.C., special regulatory counsel for the Company, dated the Closing Date, in the form and substance reasonably satisfactory to the Representatives.</w:t>
      </w:r>
    </w:p>
    <w:p>
      <w:pPr>
        <w:spacing w:after="0" w:line="158" w:lineRule="exact"/>
        <w:rPr>
          <w:rFonts w:ascii="Arial" w:cs="Arial" w:eastAsia="Arial" w:hAnsi="Arial"/>
          <w:sz w:val="17"/>
          <w:szCs w:val="17"/>
          <w:color w:val="auto"/>
        </w:rPr>
      </w:pPr>
    </w:p>
    <w:p>
      <w:pPr>
        <w:ind w:left="640" w:right="40" w:firstLine="623"/>
        <w:spacing w:after="0" w:line="289" w:lineRule="auto"/>
        <w:tabs>
          <w:tab w:leader="none" w:pos="190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of Simpson Thacher &amp; Bartlett LLP, counsel for the Underwriters, each dated the Closing Date, each in form and substance satisfactory to you.</w:t>
      </w:r>
    </w:p>
    <w:p>
      <w:pPr>
        <w:spacing w:after="0" w:line="158"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With respect to Sections 5(c), 5(d) and 5(e) above, Pillsbury Winthrop Shaw Pittman LLP, Hyman, Phelps &amp; McNamara, P.C. and Simpson Thacher &amp; Bartlett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The opinions of Pillsbury Winthrop Shaw Pittman LLP and Hyman, Phelps &amp; McNamara, P.C. described in Sections 5(c) and 5(d), respectively, above shall be rendered to the Underwriters at the request of the Company and shall so state therein.</w:t>
      </w:r>
    </w:p>
    <w:p>
      <w:pPr>
        <w:spacing w:after="0" w:line="158" w:lineRule="exact"/>
        <w:rPr>
          <w:sz w:val="20"/>
          <w:szCs w:val="20"/>
          <w:color w:val="auto"/>
        </w:rPr>
      </w:pPr>
    </w:p>
    <w:p>
      <w:pPr>
        <w:ind w:left="640" w:right="240" w:firstLine="623"/>
        <w:spacing w:after="0" w:line="285" w:lineRule="auto"/>
        <w:tabs>
          <w:tab w:leader="none" w:pos="190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satisfactory to the Underwriters, from Pricewaterhouse 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166" w:lineRule="exact"/>
        <w:rPr>
          <w:rFonts w:ascii="Arial" w:cs="Arial" w:eastAsia="Arial" w:hAnsi="Arial"/>
          <w:sz w:val="16"/>
          <w:szCs w:val="16"/>
          <w:color w:val="auto"/>
        </w:rPr>
      </w:pPr>
    </w:p>
    <w:p>
      <w:pPr>
        <w:ind w:left="640" w:right="100" w:firstLine="623"/>
        <w:spacing w:after="0" w:line="273" w:lineRule="auto"/>
        <w:tabs>
          <w:tab w:leader="none" w:pos="191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“lock-up” agreements, each substantially in the form of Exhibit A hereto, between you and the shareholders, officers and directors of the Company relating to sales and certain other dispositions of shares of Common Stock or certain other securities, delivered to you on or before the date hereof, shall be in full force and effect on the Closing Date.</w:t>
      </w:r>
    </w:p>
    <w:p>
      <w:pPr>
        <w:sectPr>
          <w:pgSz w:w="11900" w:h="16857" w:orient="portrait"/>
          <w:cols w:equalWidth="0" w:num="1">
            <w:col w:w="11420"/>
          </w:cols>
          <w:pgMar w:left="240" w:top="127" w:right="239" w:bottom="0" w:gutter="0" w:footer="0" w:header="0"/>
        </w:sectPr>
      </w:pPr>
    </w:p>
    <w:bookmarkStart w:id="200" w:name="page201"/>
    <w:bookmarkEnd w:id="200"/>
    <w:p>
      <w:pPr>
        <w:spacing w:after="0" w:line="32" w:lineRule="exact"/>
        <w:rPr>
          <w:sz w:val="20"/>
          <w:szCs w:val="20"/>
          <w:color w:val="auto"/>
        </w:rPr>
      </w:pPr>
    </w:p>
    <w:p>
      <w:pPr>
        <w:ind w:left="640" w:right="180" w:firstLine="623"/>
        <w:spacing w:after="0" w:line="289" w:lineRule="auto"/>
        <w:tabs>
          <w:tab w:leader="none" w:pos="190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chief financial officer of the Company shall have delivered to the Underwriters on each of the date hereof and the Closing Date a certificate in a form reasonably satisfactory to the Representatives.</w:t>
      </w:r>
    </w:p>
    <w:p>
      <w:pPr>
        <w:spacing w:after="0" w:line="15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The several obligations of the Underwriters to purchase Additional Shares hereunder are subject to the delivery to you on the applicable Option Closing Date of such documents as you may reasonably request with respect to the good standing of the Company, the due authorization and issuance of the Additional Shares to be sold on such Option Closing Date and other matters related to the issuance of such Additional Shares.</w:t>
      </w:r>
    </w:p>
    <w:p>
      <w:pPr>
        <w:spacing w:after="0" w:line="172" w:lineRule="exact"/>
        <w:rPr>
          <w:sz w:val="20"/>
          <w:szCs w:val="20"/>
          <w:color w:val="auto"/>
        </w:rPr>
      </w:pPr>
    </w:p>
    <w:p>
      <w:pPr>
        <w:ind w:left="1260" w:hanging="626"/>
        <w:spacing w:after="0"/>
        <w:tabs>
          <w:tab w:leader="none" w:pos="1260"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Covenants of the Company</w:t>
      </w:r>
      <w:r>
        <w:rPr>
          <w:rFonts w:ascii="Arial" w:cs="Arial" w:eastAsia="Arial" w:hAnsi="Arial"/>
          <w:sz w:val="17"/>
          <w:szCs w:val="17"/>
          <w:color w:val="auto"/>
        </w:rPr>
        <w:t>. The Company covenants with each Underwriter as follows:</w:t>
      </w:r>
    </w:p>
    <w:p>
      <w:pPr>
        <w:spacing w:after="0" w:line="224" w:lineRule="exact"/>
        <w:rPr>
          <w:rFonts w:ascii="Arial" w:cs="Arial" w:eastAsia="Arial" w:hAnsi="Arial"/>
          <w:sz w:val="17"/>
          <w:szCs w:val="17"/>
          <w:color w:val="auto"/>
        </w:rPr>
      </w:pPr>
    </w:p>
    <w:p>
      <w:pPr>
        <w:ind w:left="640" w:right="100" w:firstLine="623"/>
        <w:spacing w:after="0" w:line="278" w:lineRule="auto"/>
        <w:tabs>
          <w:tab w:leader="none" w:pos="189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To furnish to you, without charge, five signed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w:t>
      </w:r>
    </w:p>
    <w:p>
      <w:pPr>
        <w:spacing w:after="0" w:line="1" w:lineRule="exact"/>
        <w:rPr>
          <w:rFonts w:ascii="Arial" w:cs="Arial" w:eastAsia="Arial" w:hAnsi="Arial"/>
          <w:sz w:val="16"/>
          <w:szCs w:val="16"/>
          <w:color w:val="auto"/>
        </w:rPr>
      </w:pPr>
    </w:p>
    <w:p>
      <w:pPr>
        <w:ind w:left="640" w:right="640"/>
        <w:spacing w:after="0" w:line="275" w:lineRule="auto"/>
        <w:rPr>
          <w:rFonts w:ascii="Arial" w:cs="Arial" w:eastAsia="Arial" w:hAnsi="Arial"/>
          <w:sz w:val="16"/>
          <w:szCs w:val="16"/>
          <w:color w:val="auto"/>
        </w:rPr>
      </w:pPr>
      <w:r>
        <w:rPr>
          <w:rFonts w:ascii="Arial" w:cs="Arial" w:eastAsia="Arial" w:hAnsi="Arial"/>
          <w:sz w:val="17"/>
          <w:szCs w:val="17"/>
          <w:color w:val="auto"/>
        </w:rPr>
        <w:t>Section 6(e) or 6(f) below, as many copies of the Time of Sale Prospectus, the Prospectus and any supplements and amendments thereto or to the Registration Statement as you may reasonably request.</w:t>
      </w:r>
    </w:p>
    <w:p>
      <w:pPr>
        <w:spacing w:after="0" w:line="169" w:lineRule="exact"/>
        <w:rPr>
          <w:rFonts w:ascii="Arial" w:cs="Arial" w:eastAsia="Arial" w:hAnsi="Arial"/>
          <w:sz w:val="16"/>
          <w:szCs w:val="16"/>
          <w:color w:val="auto"/>
        </w:rPr>
      </w:pPr>
    </w:p>
    <w:p>
      <w:pPr>
        <w:ind w:left="640" w:right="20" w:firstLine="623"/>
        <w:spacing w:after="0" w:line="273" w:lineRule="auto"/>
        <w:tabs>
          <w:tab w:leader="none" w:pos="1905" w:val="left"/>
        </w:tabs>
        <w:numPr>
          <w:ilvl w:val="1"/>
          <w:numId w:val="119"/>
        </w:numPr>
        <w:rPr>
          <w:rFonts w:ascii="Arial" w:cs="Arial" w:eastAsia="Arial" w:hAnsi="Arial"/>
          <w:sz w:val="17"/>
          <w:szCs w:val="17"/>
          <w:color w:val="auto"/>
        </w:rPr>
      </w:pPr>
      <w:r>
        <w:rPr>
          <w:rFonts w:ascii="Arial" w:cs="Arial" w:eastAsia="Arial" w:hAnsi="Arial"/>
          <w:sz w:val="17"/>
          <w:szCs w:val="17"/>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within the applicable period specified in Rule 424(b) under the Securities Act any prospectus required to be filed pursuant to such Rule.</w:t>
      </w:r>
    </w:p>
    <w:p>
      <w:pPr>
        <w:spacing w:after="0" w:line="224" w:lineRule="exact"/>
        <w:rPr>
          <w:sz w:val="20"/>
          <w:szCs w:val="20"/>
          <w:color w:val="auto"/>
        </w:rPr>
      </w:pPr>
    </w:p>
    <w:p>
      <w:pPr>
        <w:ind w:left="640" w:right="460" w:firstLine="623"/>
        <w:spacing w:after="0" w:line="289" w:lineRule="auto"/>
        <w:tabs>
          <w:tab w:leader="none" w:pos="190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158" w:lineRule="exact"/>
        <w:rPr>
          <w:rFonts w:ascii="Arial" w:cs="Arial" w:eastAsia="Arial" w:hAnsi="Arial"/>
          <w:sz w:val="17"/>
          <w:szCs w:val="17"/>
          <w:color w:val="auto"/>
        </w:rPr>
      </w:pPr>
    </w:p>
    <w:p>
      <w:pPr>
        <w:ind w:left="640" w:right="20" w:firstLine="623"/>
        <w:spacing w:after="0" w:line="273" w:lineRule="auto"/>
        <w:tabs>
          <w:tab w:leader="none" w:pos="190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71" w:lineRule="exact"/>
        <w:rPr>
          <w:rFonts w:ascii="Arial" w:cs="Arial" w:eastAsia="Arial" w:hAnsi="Arial"/>
          <w:sz w:val="17"/>
          <w:szCs w:val="17"/>
          <w:color w:val="auto"/>
        </w:rPr>
      </w:pPr>
    </w:p>
    <w:p>
      <w:pPr>
        <w:ind w:left="640" w:right="20" w:firstLine="623"/>
        <w:spacing w:after="0" w:line="261" w:lineRule="auto"/>
        <w:tabs>
          <w:tab w:leader="none" w:pos="190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1" w:lineRule="exact"/>
        <w:rPr>
          <w:rFonts w:ascii="Arial" w:cs="Arial" w:eastAsia="Arial" w:hAnsi="Arial"/>
          <w:sz w:val="17"/>
          <w:szCs w:val="17"/>
          <w:color w:val="auto"/>
        </w:rPr>
      </w:pPr>
    </w:p>
    <w:p>
      <w:pPr>
        <w:ind w:left="640" w:firstLine="623"/>
        <w:spacing w:after="0" w:line="262" w:lineRule="auto"/>
        <w:tabs>
          <w:tab w:leader="none" w:pos="190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0" w:right="100"/>
        <w:spacing w:after="0" w:line="273" w:lineRule="auto"/>
        <w:rPr>
          <w:sz w:val="20"/>
          <w:szCs w:val="20"/>
          <w:color w:val="auto"/>
        </w:rPr>
      </w:pPr>
      <w:r>
        <w:rPr>
          <w:rFonts w:ascii="Arial" w:cs="Arial" w:eastAsia="Arial" w:hAnsi="Arial"/>
          <w:sz w:val="17"/>
          <w:szCs w:val="17"/>
          <w:color w:val="auto"/>
        </w:rPr>
        <w:t>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72" w:lineRule="exact"/>
        <w:rPr>
          <w:sz w:val="20"/>
          <w:szCs w:val="20"/>
          <w:color w:val="auto"/>
        </w:rPr>
      </w:pPr>
    </w:p>
    <w:p>
      <w:pPr>
        <w:ind w:left="1920" w:hanging="657"/>
        <w:spacing w:after="0"/>
        <w:tabs>
          <w:tab w:leader="none" w:pos="19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endeavor to qualify the Shares for offer and sale under the securities or Blue Sky laws of such jurisdictions as you shall reasonably</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request.</w:t>
      </w:r>
    </w:p>
    <w:p>
      <w:pPr>
        <w:spacing w:after="0" w:line="212" w:lineRule="exact"/>
        <w:rPr>
          <w:sz w:val="20"/>
          <w:szCs w:val="20"/>
          <w:color w:val="auto"/>
        </w:rPr>
      </w:pPr>
    </w:p>
    <w:p>
      <w:pPr>
        <w:ind w:left="640" w:firstLine="623"/>
        <w:spacing w:after="0" w:line="273" w:lineRule="auto"/>
        <w:tabs>
          <w:tab w:leader="none" w:pos="190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71" w:lineRule="exact"/>
        <w:rPr>
          <w:rFonts w:ascii="Arial" w:cs="Arial" w:eastAsia="Arial" w:hAnsi="Arial"/>
          <w:sz w:val="17"/>
          <w:szCs w:val="17"/>
          <w:color w:val="auto"/>
        </w:rPr>
      </w:pPr>
    </w:p>
    <w:p>
      <w:pPr>
        <w:ind w:left="640" w:firstLine="623"/>
        <w:spacing w:after="0" w:line="299" w:lineRule="auto"/>
        <w:tabs>
          <w:tab w:leader="none" w:pos="191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w:t>
      </w:r>
    </w:p>
    <w:p>
      <w:pPr>
        <w:sectPr>
          <w:pgSz w:w="11900" w:h="16871" w:orient="portrait"/>
          <w:cols w:equalWidth="0" w:num="1">
            <w:col w:w="11400"/>
          </w:cols>
          <w:pgMar w:left="240" w:top="337" w:right="259" w:bottom="0" w:gutter="0" w:footer="0" w:header="0"/>
        </w:sectPr>
      </w:pPr>
    </w:p>
    <w:bookmarkStart w:id="201" w:name="page202"/>
    <w:bookmarkEnd w:id="201"/>
    <w:p>
      <w:pPr>
        <w:spacing w:after="0" w:line="121" w:lineRule="exact"/>
        <w:rPr>
          <w:sz w:val="20"/>
          <w:szCs w:val="20"/>
          <w:color w:val="auto"/>
        </w:rPr>
      </w:pPr>
    </w:p>
    <w:p>
      <w:pPr>
        <w:ind w:left="640" w:right="80"/>
        <w:spacing w:after="0" w:line="262" w:lineRule="auto"/>
        <w:rPr>
          <w:sz w:val="20"/>
          <w:szCs w:val="20"/>
          <w:color w:val="auto"/>
        </w:rPr>
      </w:pPr>
      <w:r>
        <w:rPr>
          <w:rFonts w:ascii="Arial" w:cs="Arial" w:eastAsia="Arial" w:hAnsi="Arial"/>
          <w:sz w:val="17"/>
          <w:szCs w:val="17"/>
          <w:color w:val="auto"/>
        </w:rPr>
        <w:t>qualification and in connection with the Blue Sky or Legal Investment memorandum, (iv) all filing fees and the reasonable fees and disbursements of counsel to the Underwriters incurred in connection with the review and qualification of the offering of the Shares by FINRA, (v) all fees and expenses in connection with the preparation and filing of the registration statement on Form 8-A relating to the Common Stock and all costs and expenses incident to listing the Shares on The NASDAQ Stock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62" w:lineRule="auto"/>
        <w:rPr>
          <w:sz w:val="20"/>
          <w:szCs w:val="20"/>
          <w:color w:val="auto"/>
        </w:rPr>
      </w:pPr>
      <w:r>
        <w:rPr>
          <w:rFonts w:ascii="Arial" w:cs="Arial" w:eastAsia="Arial" w:hAnsi="Arial"/>
          <w:sz w:val="17"/>
          <w:szCs w:val="17"/>
          <w:color w:val="auto"/>
        </w:rPr>
        <w:t>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such costs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81" w:lineRule="exact"/>
        <w:rPr>
          <w:sz w:val="20"/>
          <w:szCs w:val="20"/>
          <w:color w:val="auto"/>
        </w:rPr>
      </w:pPr>
    </w:p>
    <w:p>
      <w:pPr>
        <w:ind w:left="640" w:right="20" w:firstLine="623"/>
        <w:spacing w:after="0" w:line="273" w:lineRule="auto"/>
        <w:tabs>
          <w:tab w:leader="none" w:pos="190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 will promptly notify the Representatives if the Company ceases to be an Emerging Growth Company at any time prior to the later of (a) completion of the distribution of the Shares within the meaning of the Securities Act and (b) completion of the Restricted Period (as defined in this Section 6).</w:t>
      </w:r>
    </w:p>
    <w:p>
      <w:pPr>
        <w:spacing w:after="0" w:line="171" w:lineRule="exact"/>
        <w:rPr>
          <w:rFonts w:ascii="Arial" w:cs="Arial" w:eastAsia="Arial" w:hAnsi="Arial"/>
          <w:sz w:val="17"/>
          <w:szCs w:val="17"/>
          <w:color w:val="auto"/>
        </w:rPr>
      </w:pPr>
    </w:p>
    <w:p>
      <w:pPr>
        <w:ind w:left="640" w:right="20" w:firstLine="623"/>
        <w:spacing w:after="0" w:line="265" w:lineRule="auto"/>
        <w:tabs>
          <w:tab w:leader="none" w:pos="190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9" w:lineRule="exact"/>
        <w:rPr>
          <w:sz w:val="20"/>
          <w:szCs w:val="20"/>
          <w:color w:val="auto"/>
        </w:rPr>
      </w:pPr>
    </w:p>
    <w:p>
      <w:pPr>
        <w:ind w:right="60" w:firstLine="629"/>
        <w:spacing w:after="0" w:line="303" w:lineRule="auto"/>
        <w:rPr>
          <w:sz w:val="20"/>
          <w:szCs w:val="20"/>
          <w:color w:val="auto"/>
        </w:rPr>
      </w:pPr>
      <w:r>
        <w:rPr>
          <w:rFonts w:ascii="Arial" w:cs="Arial" w:eastAsia="Arial" w:hAnsi="Arial"/>
          <w:sz w:val="15"/>
          <w:szCs w:val="15"/>
          <w:color w:val="auto"/>
        </w:rPr>
        <w:t>The Company also covenants with each Underwriter that, without the prior written consent of the Representatives on behalf of the Underwriters, it will not, during the period ending 180 days after the date of the Prospectus (the “</w:t>
      </w:r>
      <w:r>
        <w:rPr>
          <w:rFonts w:ascii="Arial" w:cs="Arial" w:eastAsia="Arial" w:hAnsi="Arial"/>
          <w:sz w:val="15"/>
          <w:szCs w:val="15"/>
          <w:b w:val="1"/>
          <w:bCs w:val="1"/>
          <w:color w:val="auto"/>
        </w:rPr>
        <w:t>Restricted Period</w:t>
      </w:r>
      <w:r>
        <w:rPr>
          <w:rFonts w:ascii="Arial" w:cs="Arial" w:eastAsia="Arial" w:hAnsi="Arial"/>
          <w:sz w:val="15"/>
          <w:szCs w:val="15"/>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76" w:lineRule="auto"/>
        <w:rPr>
          <w:sz w:val="20"/>
          <w:szCs w:val="20"/>
          <w:color w:val="auto"/>
        </w:rPr>
      </w:pPr>
      <w:r>
        <w:rPr>
          <w:rFonts w:ascii="Arial" w:cs="Arial" w:eastAsia="Arial" w:hAnsi="Arial"/>
          <w:sz w:val="16"/>
          <w:szCs w:val="16"/>
          <w:color w:val="auto"/>
        </w:rPr>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and described in the Time of Sale Prospectus, (c) the issuance by the Company of shares of Common Stock or other securities convertible into or exercisable for shares of Common Stock pursuant to the Company’s equity incentive plans in effect on the date hereof and described in the Time of Sale Prospectus; provided, that, prior to the issuance of any such shares of Common Stock or other securities where the shares of Common Stock or other securities vest within the Restricted Period, the Company shall cause each recipient of such grant or issuance to execute and deliver to you a lock-up agreement substantially in the form of Exhibit A hereto, (d) the filing by the Company of a registration statement on Form S-8 with respect to the Company’s equity incentive plans in effect on the date hereof and described in the Time of Sale Prospectus, (e) the sale or issuance of or entry into an agreement providing for the issuance of shares of Common Stock or any security convertible into or exercisable for shares of Common Stock in connection with the acquisition by the Company or any of its subsidiaries of the securities, business or assets of another person or entity or pursuant to an employee benefit plan assumed by the Company in connection with such acquisition, or in connection with joint ventures,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or other securities to execute and deliver to you, on or prior to such issuance, a lock-up agreement substantially in the form of Exhibit A hereto, or (f)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77" w:lineRule="exact"/>
        <w:rPr>
          <w:sz w:val="20"/>
          <w:szCs w:val="20"/>
          <w:color w:val="auto"/>
        </w:rPr>
      </w:pPr>
    </w:p>
    <w:p>
      <w:pPr>
        <w:jc w:val="both"/>
        <w:ind w:right="80" w:firstLine="629"/>
        <w:spacing w:after="0" w:line="290" w:lineRule="auto"/>
        <w:rPr>
          <w:sz w:val="20"/>
          <w:szCs w:val="20"/>
          <w:color w:val="auto"/>
        </w:rPr>
      </w:pPr>
      <w:r>
        <w:rPr>
          <w:rFonts w:ascii="Arial" w:cs="Arial" w:eastAsia="Arial" w:hAnsi="Arial"/>
          <w:sz w:val="16"/>
          <w:szCs w:val="16"/>
          <w:color w:val="auto"/>
        </w:rPr>
        <w:t>If the Representatives, in their sole discretion, agree to release or waive the restrictions set forth in a lock-up letter described in Section 5(g) hereof for an officer or director of the Company and provides the Company with notice of the impending release or waiver (substantially in the form of Exhibit B)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159" w:lineRule="exact"/>
        <w:rPr>
          <w:sz w:val="20"/>
          <w:szCs w:val="20"/>
          <w:color w:val="auto"/>
        </w:rPr>
      </w:pPr>
    </w:p>
    <w:p>
      <w:pPr>
        <w:ind w:right="660" w:firstLine="634"/>
        <w:spacing w:after="0" w:line="289" w:lineRule="auto"/>
        <w:tabs>
          <w:tab w:leader="none" w:pos="1258"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being required to file with the Commission under Rule 433(d) a free writing prospectus prepared by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on behalf of such Underwriter that otherwise would not be required to be filed by the Company thereunder, but for the action of the Underwriter.</w:t>
      </w:r>
    </w:p>
    <w:p>
      <w:pPr>
        <w:spacing w:after="0" w:line="224" w:lineRule="exact"/>
        <w:rPr>
          <w:sz w:val="20"/>
          <w:szCs w:val="20"/>
          <w:color w:val="auto"/>
        </w:rPr>
      </w:pPr>
    </w:p>
    <w:p>
      <w:pPr>
        <w:ind w:right="160" w:firstLine="634"/>
        <w:spacing w:after="0" w:line="322" w:lineRule="auto"/>
        <w:tabs>
          <w:tab w:leader="none" w:pos="1258"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each Underwriter, each person, if any, who controls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any Underwriter within the</w:t>
      </w:r>
    </w:p>
    <w:p>
      <w:pPr>
        <w:sectPr>
          <w:pgSz w:w="11900" w:h="16959" w:orient="portrait"/>
          <w:cols w:equalWidth="0" w:num="1">
            <w:col w:w="11420"/>
          </w:cols>
          <w:pgMar w:left="240" w:top="127" w:right="239" w:bottom="0" w:gutter="0" w:footer="0" w:header="0"/>
        </w:sectPr>
      </w:pPr>
    </w:p>
    <w:bookmarkStart w:id="202" w:name="page203"/>
    <w:bookmarkEnd w:id="202"/>
    <w:p>
      <w:pPr>
        <w:spacing w:after="0" w:line="279" w:lineRule="auto"/>
        <w:rPr>
          <w:sz w:val="20"/>
          <w:szCs w:val="20"/>
          <w:color w:val="auto"/>
        </w:rPr>
      </w:pPr>
      <w:r>
        <w:rPr>
          <w:rFonts w:ascii="Arial" w:cs="Arial" w:eastAsia="Arial" w:hAnsi="Arial"/>
          <w:sz w:val="16"/>
          <w:szCs w:val="16"/>
          <w:color w:val="auto"/>
        </w:rPr>
        <w:t>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any Written Testing-the-Waters Communication or any materials presented to potential investors in reliance on Section 5(d) of the Securities Act and furnished to the Commission,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168" w:lineRule="exact"/>
        <w:rPr>
          <w:sz w:val="20"/>
          <w:szCs w:val="20"/>
          <w:color w:val="auto"/>
        </w:rPr>
      </w:pPr>
    </w:p>
    <w:p>
      <w:pPr>
        <w:ind w:left="640" w:firstLine="623"/>
        <w:spacing w:after="0" w:line="263" w:lineRule="auto"/>
        <w:tabs>
          <w:tab w:leader="none" w:pos="190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you expressly for use in the Registration Statement, any preliminary prospectus, the Time of Sale Prospectus or any amendment or supplement thereto, any issuer free writing prospectus, road show or the Prospectus or any amendment or supplement thereto, or any Written Testing-the-Waters Communication.</w:t>
      </w:r>
    </w:p>
    <w:p>
      <w:pPr>
        <w:spacing w:after="0" w:line="183" w:lineRule="exact"/>
        <w:rPr>
          <w:rFonts w:ascii="Arial" w:cs="Arial" w:eastAsia="Arial" w:hAnsi="Arial"/>
          <w:sz w:val="17"/>
          <w:szCs w:val="17"/>
          <w:color w:val="auto"/>
        </w:rPr>
      </w:pPr>
    </w:p>
    <w:p>
      <w:pPr>
        <w:ind w:left="640" w:right="200" w:firstLine="623"/>
        <w:spacing w:after="0" w:line="285" w:lineRule="auto"/>
        <w:tabs>
          <w:tab w:leader="none" w:pos="190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party shall have the right to retain its own counsel, but the fees and expenses of such counsel shall be at the expense of such indemnified party unless</w:t>
      </w:r>
    </w:p>
    <w:p>
      <w:pPr>
        <w:spacing w:after="0" w:line="38" w:lineRule="exact"/>
        <w:rPr>
          <w:sz w:val="20"/>
          <w:szCs w:val="20"/>
          <w:color w:val="auto"/>
        </w:rPr>
      </w:pPr>
    </w:p>
    <w:p>
      <w:pPr>
        <w:ind w:left="640" w:right="20" w:hanging="6"/>
        <w:spacing w:after="0" w:line="275" w:lineRule="auto"/>
        <w:tabs>
          <w:tab w:leader="none" w:pos="84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LLC and Leerink Swann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9" w:lineRule="exact"/>
        <w:rPr>
          <w:rFonts w:ascii="Arial" w:cs="Arial" w:eastAsia="Arial" w:hAnsi="Arial"/>
          <w:sz w:val="16"/>
          <w:szCs w:val="16"/>
          <w:color w:val="auto"/>
        </w:rPr>
      </w:pPr>
    </w:p>
    <w:p>
      <w:pPr>
        <w:ind w:left="640" w:firstLine="623"/>
        <w:spacing w:after="0" w:line="262" w:lineRule="auto"/>
        <w:tabs>
          <w:tab w:leader="none" w:pos="1905"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300" w:lineRule="auto"/>
        <w:rPr>
          <w:sz w:val="20"/>
          <w:szCs w:val="20"/>
          <w:color w:val="auto"/>
        </w:rPr>
      </w:pPr>
      <w:r>
        <w:rPr>
          <w:rFonts w:ascii="Arial" w:cs="Arial" w:eastAsia="Arial" w:hAnsi="Arial"/>
          <w:sz w:val="15"/>
          <w:szCs w:val="15"/>
          <w:color w:val="auto"/>
        </w:rPr>
        <w:t>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57" w:lineRule="exact"/>
        <w:rPr>
          <w:sz w:val="20"/>
          <w:szCs w:val="20"/>
          <w:color w:val="auto"/>
        </w:rPr>
      </w:pPr>
    </w:p>
    <w:p>
      <w:pPr>
        <w:ind w:left="640" w:firstLine="623"/>
        <w:spacing w:after="0" w:line="279" w:lineRule="auto"/>
        <w:tabs>
          <w:tab w:leader="none" w:pos="190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w:t>
      </w:r>
    </w:p>
    <w:p>
      <w:pPr>
        <w:sectPr>
          <w:pgSz w:w="11900" w:h="16838" w:orient="portrait"/>
          <w:cols w:equalWidth="0" w:num="1">
            <w:col w:w="11420"/>
          </w:cols>
          <w:pgMar w:left="240" w:top="127" w:right="239" w:bottom="0" w:gutter="0" w:footer="0" w:header="0"/>
        </w:sectPr>
      </w:pPr>
    </w:p>
    <w:bookmarkStart w:id="203" w:name="page204"/>
    <w:bookmarkEnd w:id="203"/>
    <w:p>
      <w:pPr>
        <w:ind w:left="640" w:right="660"/>
        <w:spacing w:after="0" w:line="289" w:lineRule="auto"/>
        <w:rPr>
          <w:sz w:val="20"/>
          <w:szCs w:val="20"/>
          <w:color w:val="auto"/>
        </w:rPr>
      </w:pPr>
      <w:r>
        <w:rPr>
          <w:rFonts w:ascii="Arial" w:cs="Arial" w:eastAsia="Arial" w:hAnsi="Arial"/>
          <w:sz w:val="17"/>
          <w:szCs w:val="17"/>
          <w:color w:val="auto"/>
        </w:rPr>
        <w:t>fraudulent misrepresentation. The remedies provided for in this Section 8 are not exclusive and shall not limit any rights or remedies which may otherwise be available to any indemnified party at law or in equity.</w:t>
      </w:r>
    </w:p>
    <w:p>
      <w:pPr>
        <w:spacing w:after="0" w:line="158" w:lineRule="exact"/>
        <w:rPr>
          <w:sz w:val="20"/>
          <w:szCs w:val="20"/>
          <w:color w:val="auto"/>
        </w:rPr>
      </w:pPr>
    </w:p>
    <w:p>
      <w:pPr>
        <w:ind w:left="640" w:right="180" w:firstLine="623"/>
        <w:spacing w:after="0" w:line="290" w:lineRule="auto"/>
        <w:tabs>
          <w:tab w:leader="none" w:pos="190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80" w:lineRule="auto"/>
        <w:tabs>
          <w:tab w:leader="none" w:pos="1258"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you to the Company, if after the execution and delivery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prior to the Closing Date (i) trading generally shall have been suspended or materially limited on, or by, as the case may be, any of the New York Stock Exchange, the NYSE MKT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70" w:lineRule="exact"/>
        <w:rPr>
          <w:rFonts w:ascii="Arial" w:cs="Arial" w:eastAsia="Arial" w:hAnsi="Arial"/>
          <w:sz w:val="16"/>
          <w:szCs w:val="16"/>
          <w:color w:val="auto"/>
        </w:rPr>
      </w:pPr>
    </w:p>
    <w:p>
      <w:pPr>
        <w:ind w:left="1260" w:hanging="626"/>
        <w:spacing w:after="0"/>
        <w:tabs>
          <w:tab w:leader="none" w:pos="126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36" w:lineRule="exact"/>
        <w:rPr>
          <w:sz w:val="20"/>
          <w:szCs w:val="20"/>
          <w:color w:val="auto"/>
        </w:rPr>
      </w:pPr>
    </w:p>
    <w:p>
      <w:pPr>
        <w:ind w:right="40" w:firstLine="629"/>
        <w:spacing w:after="0" w:line="276"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and the Company for the purchase of such Firm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54"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79" w:lineRule="exact"/>
        <w:rPr>
          <w:sz w:val="20"/>
          <w:szCs w:val="20"/>
          <w:color w:val="auto"/>
        </w:rPr>
      </w:pPr>
    </w:p>
    <w:p>
      <w:pPr>
        <w:ind w:right="100" w:firstLine="634"/>
        <w:spacing w:after="0" w:line="268" w:lineRule="auto"/>
        <w:tabs>
          <w:tab w:leader="none" w:pos="1248"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(a) This Agreement, together with any contemporaneous written agreements and any prior written agreements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75" w:lineRule="exact"/>
        <w:rPr>
          <w:rFonts w:ascii="Arial" w:cs="Arial" w:eastAsia="Arial" w:hAnsi="Arial"/>
          <w:sz w:val="17"/>
          <w:szCs w:val="17"/>
          <w:color w:val="auto"/>
        </w:rPr>
      </w:pPr>
    </w:p>
    <w:p>
      <w:pPr>
        <w:ind w:left="640" w:right="100" w:firstLine="623"/>
        <w:spacing w:after="0" w:line="285" w:lineRule="auto"/>
        <w:tabs>
          <w:tab w:leader="none" w:pos="190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66" w:lineRule="exact"/>
        <w:rPr>
          <w:rFonts w:ascii="Arial" w:cs="Arial" w:eastAsia="Arial" w:hAnsi="Arial"/>
          <w:sz w:val="16"/>
          <w:szCs w:val="16"/>
          <w:color w:val="auto"/>
        </w:rPr>
      </w:pPr>
    </w:p>
    <w:p>
      <w:pPr>
        <w:ind w:right="400" w:firstLine="634"/>
        <w:spacing w:after="0" w:line="289" w:lineRule="auto"/>
        <w:tabs>
          <w:tab w:leader="none" w:pos="1254"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signed in two or more counterparts, each of which shall be an original, with the same effect as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signatures thereto and hereto were upon the same instrument.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24" w:lineRule="exact"/>
        <w:rPr>
          <w:rFonts w:ascii="Arial" w:cs="Arial" w:eastAsia="Arial" w:hAnsi="Arial"/>
          <w:sz w:val="17"/>
          <w:szCs w:val="17"/>
          <w:color w:val="auto"/>
        </w:rPr>
      </w:pPr>
    </w:p>
    <w:p>
      <w:pPr>
        <w:ind w:right="160" w:firstLine="634"/>
        <w:spacing w:after="0" w:line="289" w:lineRule="auto"/>
        <w:tabs>
          <w:tab w:leader="none" w:pos="1254"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The headings of the sections of this Agreement have been inserted for convenience of reference only and shall not be deemed a part</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w:t>
      </w:r>
    </w:p>
    <w:p>
      <w:pPr>
        <w:spacing w:after="0" w:line="158" w:lineRule="exact"/>
        <w:rPr>
          <w:rFonts w:ascii="Arial" w:cs="Arial" w:eastAsia="Arial" w:hAnsi="Arial"/>
          <w:sz w:val="17"/>
          <w:szCs w:val="17"/>
          <w:color w:val="auto"/>
        </w:rPr>
      </w:pPr>
    </w:p>
    <w:p>
      <w:pPr>
        <w:ind w:right="140" w:firstLine="634"/>
        <w:spacing w:after="0" w:line="289" w:lineRule="auto"/>
        <w:tabs>
          <w:tab w:leader="none" w:pos="1254"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and if to the Underwriters shall be delivered, mailed</w:t>
      </w:r>
      <w:r>
        <w:rPr>
          <w:rFonts w:ascii="Arial" w:cs="Arial" w:eastAsia="Arial" w:hAnsi="Arial"/>
          <w:sz w:val="17"/>
          <w:szCs w:val="17"/>
          <w:i w:val="1"/>
          <w:iCs w:val="1"/>
          <w:color w:val="auto"/>
        </w:rPr>
        <w:t xml:space="preserve"> </w:t>
      </w:r>
      <w:r>
        <w:rPr>
          <w:rFonts w:ascii="Arial" w:cs="Arial" w:eastAsia="Arial" w:hAnsi="Arial"/>
          <w:sz w:val="17"/>
          <w:szCs w:val="17"/>
          <w:color w:val="auto"/>
        </w:rPr>
        <w:t>or sent to you in care of Morgan Stanley &amp; Co. LLC, 1585 Broadway, New York, New York 10036,</w:t>
      </w:r>
    </w:p>
    <w:p>
      <w:pPr>
        <w:sectPr>
          <w:pgSz w:w="11900" w:h="16838" w:orient="portrait"/>
          <w:cols w:equalWidth="0" w:num="1">
            <w:col w:w="11420"/>
          </w:cols>
          <w:pgMar w:left="240" w:top="127"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04" w:name="page205"/>
    <w:bookmarkEnd w:id="204"/>
    <w:p>
      <w:pPr>
        <w:spacing w:after="0"/>
        <w:rPr>
          <w:sz w:val="20"/>
          <w:szCs w:val="20"/>
          <w:color w:val="auto"/>
        </w:rPr>
      </w:pPr>
      <w:r>
        <w:rPr>
          <w:rFonts w:ascii="Arial" w:cs="Arial" w:eastAsia="Arial" w:hAnsi="Arial"/>
          <w:sz w:val="16"/>
          <w:szCs w:val="16"/>
          <w:color w:val="auto"/>
        </w:rPr>
        <w:t>Attention: Equity Syndicate Desk, with a copy to the Legal Department, and Leerink Swann LLC, One Federal Street, 37th Floor, Boston, Massachusetts 02110,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Syndicate; and if to the Company shall be delivered, mailed or sent to 7000 Shoreline Court, Suite 250, South San Francisco, California 94080,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left intentionally blank</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17145</wp:posOffset>
            </wp:positionV>
            <wp:extent cx="33299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Accepted as of the date hereof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Leerink Swann LLC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Acting severally on behalf of themselves and</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several Underwriters named in</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Schedule I hereto.</w:t>
      </w:r>
    </w:p>
    <w:p>
      <w:pPr>
        <w:spacing w:after="0" w:line="23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Morgan Stanley &amp; Co.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3216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By:</w:t>
        <w:tab/>
        <w:t>Leerink Swann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33134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to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SCHEDULE 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620" w:type="dxa"/>
            <w:vAlign w:val="bottom"/>
          </w:tcPr>
          <w:p>
            <w:pPr>
              <w:jc w:val="center"/>
              <w:ind w:left="3950"/>
              <w:spacing w:after="0"/>
              <w:rPr>
                <w:sz w:val="20"/>
                <w:szCs w:val="20"/>
                <w:color w:val="auto"/>
              </w:rPr>
            </w:pPr>
            <w:r>
              <w:rPr>
                <w:rFonts w:ascii="Arial" w:cs="Arial" w:eastAsia="Arial" w:hAnsi="Arial"/>
                <w:sz w:val="14"/>
                <w:szCs w:val="14"/>
                <w:b w:val="1"/>
                <w:bCs w:val="1"/>
                <w:color w:val="auto"/>
                <w:w w:val="90"/>
              </w:rPr>
              <w:t>Number of Firm Shares To</w:t>
            </w:r>
          </w:p>
        </w:tc>
        <w:tc>
          <w:tcPr>
            <w:tcW w:w="0" w:type="dxa"/>
            <w:vAlign w:val="bottom"/>
          </w:tcPr>
          <w:p>
            <w:pPr>
              <w:spacing w:after="0"/>
              <w:rPr>
                <w:sz w:val="1"/>
                <w:szCs w:val="1"/>
                <w:color w:val="auto"/>
              </w:rPr>
            </w:pPr>
          </w:p>
        </w:tc>
      </w:tr>
      <w:tr>
        <w:trPr>
          <w:trHeight w:val="181"/>
        </w:trPr>
        <w:tc>
          <w:tcPr>
            <w:tcW w:w="4780" w:type="dxa"/>
            <w:vAlign w:val="bottom"/>
            <w:vMerge w:val="continue"/>
          </w:tcPr>
          <w:p>
            <w:pPr>
              <w:spacing w:after="0"/>
              <w:rPr>
                <w:sz w:val="15"/>
                <w:szCs w:val="15"/>
                <w:color w:val="auto"/>
              </w:rPr>
            </w:pPr>
          </w:p>
        </w:tc>
        <w:tc>
          <w:tcPr>
            <w:tcW w:w="5620" w:type="dxa"/>
            <w:vAlign w:val="bottom"/>
          </w:tcPr>
          <w:p>
            <w:pPr>
              <w:jc w:val="center"/>
              <w:ind w:left="3970"/>
              <w:spacing w:after="0"/>
              <w:rPr>
                <w:sz w:val="20"/>
                <w:szCs w:val="20"/>
                <w:color w:val="auto"/>
              </w:rPr>
            </w:pPr>
            <w:r>
              <w:rPr>
                <w:rFonts w:ascii="Arial" w:cs="Arial" w:eastAsia="Arial" w:hAnsi="Arial"/>
                <w:sz w:val="14"/>
                <w:szCs w:val="14"/>
                <w:b w:val="1"/>
                <w:bCs w:val="1"/>
                <w:color w:val="auto"/>
                <w:w w:val="87"/>
              </w:rPr>
              <w:t>Be 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0430" cy="141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1416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Morgan Stanley &amp; Co. LLC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33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33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8890</wp:posOffset>
            </wp:positionV>
            <wp:extent cx="21729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72970"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25400</wp:posOffset>
            </wp:positionV>
            <wp:extent cx="21729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72970"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-115570</wp:posOffset>
            </wp:positionV>
            <wp:extent cx="21729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7297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SCHEDULE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Time of Sale Prospectus</w:t>
      </w:r>
    </w:p>
    <w:p>
      <w:pPr>
        <w:spacing w:after="0" w:line="230" w:lineRule="exact"/>
        <w:rPr>
          <w:sz w:val="20"/>
          <w:szCs w:val="20"/>
          <w:color w:val="auto"/>
        </w:rPr>
      </w:pPr>
    </w:p>
    <w:p>
      <w:pPr>
        <w:spacing w:after="0"/>
        <w:tabs>
          <w:tab w:leader="none" w:pos="620" w:val="left"/>
          <w:tab w:leader="none" w:pos="38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Preliminary Prospectus issued</w:t>
      </w:r>
      <w:r>
        <w:rPr>
          <w:sz w:val="20"/>
          <w:szCs w:val="20"/>
          <w:color w:val="auto"/>
        </w:rPr>
        <w:tab/>
      </w:r>
      <w:r>
        <w:rPr>
          <w:rFonts w:ascii="Arial" w:cs="Arial" w:eastAsia="Arial" w:hAnsi="Arial"/>
          <w:sz w:val="15"/>
          <w:szCs w:val="15"/>
          <w:color w:val="auto"/>
        </w:rPr>
        <w:t>, 2013</w:t>
      </w:r>
    </w:p>
    <w:p>
      <w:pPr>
        <w:spacing w:after="0" w:line="224" w:lineRule="exact"/>
        <w:rPr>
          <w:sz w:val="20"/>
          <w:szCs w:val="20"/>
          <w:color w:val="auto"/>
        </w:rPr>
      </w:pPr>
    </w:p>
    <w:p>
      <w:pPr>
        <w:ind w:left="640" w:hanging="635"/>
        <w:spacing w:after="0"/>
        <w:tabs>
          <w:tab w:leader="none" w:pos="6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[all free writing prospectuses filed by the Company under Rule 433(d) of the Securities Act]</w:t>
      </w:r>
    </w:p>
    <w:p>
      <w:pPr>
        <w:spacing w:after="0" w:line="224" w:lineRule="exact"/>
        <w:rPr>
          <w:rFonts w:ascii="Arial" w:cs="Arial" w:eastAsia="Arial" w:hAnsi="Arial"/>
          <w:sz w:val="17"/>
          <w:szCs w:val="17"/>
          <w:color w:val="auto"/>
        </w:rPr>
      </w:pPr>
    </w:p>
    <w:p>
      <w:pPr>
        <w:ind w:left="640" w:hanging="635"/>
        <w:spacing w:after="0"/>
        <w:tabs>
          <w:tab w:leader="none" w:pos="6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Public Offering Price and the number of Firm Shares.</w:t>
      </w:r>
    </w:p>
    <w:p>
      <w:pPr>
        <w:sectPr>
          <w:pgSz w:w="11900" w:h="16838" w:orient="portrait"/>
          <w:cols w:equalWidth="0" w:num="1">
            <w:col w:w="11420"/>
          </w:cols>
          <w:pgMar w:left="240" w:top="573" w:right="239" w:bottom="0" w:gutter="0" w:footer="0" w:header="0"/>
        </w:sectPr>
      </w:pPr>
    </w:p>
    <w:bookmarkStart w:id="205" w:name="page206"/>
    <w:bookmarkEnd w:id="205"/>
    <w:p>
      <w:pPr>
        <w:spacing w:after="0" w:line="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LOCK-UP LETTER]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ectPr>
          <w:pgSz w:w="11900" w:h="16899" w:orient="portrait"/>
          <w:cols w:equalWidth="0" w:num="1">
            <w:col w:w="11420"/>
          </w:cols>
          <w:pgMar w:left="240" w:top="127"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LLC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1585 Broadway</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New York, NY 10036</w:t>
      </w:r>
    </w:p>
    <w:p>
      <w:pPr>
        <w:spacing w:after="0" w:line="200" w:lineRule="exact"/>
        <w:rPr>
          <w:sz w:val="20"/>
          <w:szCs w:val="20"/>
          <w:color w:val="auto"/>
        </w:rPr>
      </w:pPr>
    </w:p>
    <w:p>
      <w:pPr>
        <w:sectPr>
          <w:pgSz w:w="11900" w:h="16899" w:orient="portrait"/>
          <w:cols w:equalWidth="0" w:num="2">
            <w:col w:w="220" w:space="400"/>
            <w:col w:w="10800"/>
          </w:cols>
          <w:pgMar w:left="240" w:top="127" w:right="239"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Leerink Swann LLC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One Federal Street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Boston, MA 02110</w:t>
      </w:r>
    </w:p>
    <w:p>
      <w:pPr>
        <w:spacing w:after="0" w:line="200" w:lineRule="exact"/>
        <w:rPr>
          <w:sz w:val="20"/>
          <w:szCs w:val="20"/>
          <w:color w:val="auto"/>
        </w:rPr>
      </w:pPr>
    </w:p>
    <w:p>
      <w:pPr>
        <w:sectPr>
          <w:pgSz w:w="11900" w:h="16899" w:orient="portrait"/>
          <w:cols w:equalWidth="0" w:num="2">
            <w:col w:w="220" w:space="400"/>
            <w:col w:w="10800"/>
          </w:cols>
          <w:pgMar w:left="240" w:top="127" w:right="239"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8" w:lineRule="exact"/>
        <w:rPr>
          <w:sz w:val="20"/>
          <w:szCs w:val="20"/>
          <w:color w:val="auto"/>
        </w:rPr>
      </w:pPr>
    </w:p>
    <w:p>
      <w:pPr>
        <w:jc w:val="both"/>
        <w:ind w:right="100" w:firstLine="629"/>
        <w:spacing w:after="0" w:line="292" w:lineRule="auto"/>
        <w:rPr>
          <w:sz w:val="20"/>
          <w:szCs w:val="20"/>
          <w:color w:val="auto"/>
        </w:rPr>
      </w:pPr>
      <w:r>
        <w:rPr>
          <w:rFonts w:ascii="Arial" w:cs="Arial" w:eastAsia="Arial" w:hAnsi="Arial"/>
          <w:sz w:val="16"/>
          <w:szCs w:val="16"/>
          <w:color w:val="auto"/>
        </w:rPr>
        <w:t>The undersigned understands that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and Leerink Swann LLC (“</w:t>
      </w:r>
      <w:r>
        <w:rPr>
          <w:rFonts w:ascii="Arial" w:cs="Arial" w:eastAsia="Arial" w:hAnsi="Arial"/>
          <w:sz w:val="16"/>
          <w:szCs w:val="16"/>
          <w:b w:val="1"/>
          <w:bCs w:val="1"/>
          <w:color w:val="auto"/>
        </w:rPr>
        <w:t>Leerink</w:t>
      </w:r>
      <w:r>
        <w:rPr>
          <w:rFonts w:ascii="Arial" w:cs="Arial" w:eastAsia="Arial" w:hAnsi="Arial"/>
          <w:sz w:val="16"/>
          <w:szCs w:val="16"/>
          <w:color w:val="auto"/>
        </w:rPr>
        <w:t>”), together as representatives of the several Underwriters (as defined below),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Veracyte,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including Morgan Stanley and Leerink (the “</w:t>
      </w:r>
      <w:r>
        <w:rPr>
          <w:rFonts w:ascii="Arial" w:cs="Arial" w:eastAsia="Arial" w:hAnsi="Arial"/>
          <w:sz w:val="16"/>
          <w:szCs w:val="16"/>
          <w:b w:val="1"/>
          <w:bCs w:val="1"/>
          <w:color w:val="auto"/>
        </w:rPr>
        <w:t>Underwriters</w:t>
      </w:r>
      <w:r>
        <w:rPr>
          <w:rFonts w:ascii="Arial" w:cs="Arial" w:eastAsia="Arial" w:hAnsi="Arial"/>
          <w:sz w:val="16"/>
          <w:szCs w:val="16"/>
          <w:color w:val="auto"/>
        </w:rPr>
        <w:t>”), of shares (the “</w:t>
      </w:r>
      <w:r>
        <w:rPr>
          <w:rFonts w:ascii="Arial" w:cs="Arial" w:eastAsia="Arial" w:hAnsi="Arial"/>
          <w:sz w:val="16"/>
          <w:szCs w:val="16"/>
          <w:b w:val="1"/>
          <w:bCs w:val="1"/>
          <w:color w:val="auto"/>
        </w:rPr>
        <w:t>Shares</w:t>
      </w:r>
      <w:r>
        <w:rPr>
          <w:rFonts w:ascii="Arial" w:cs="Arial" w:eastAsia="Arial" w:hAnsi="Arial"/>
          <w:sz w:val="16"/>
          <w:szCs w:val="16"/>
          <w:color w:val="auto"/>
        </w:rPr>
        <w:t>”) of common stock, par value $0.001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hereby agrees that, without the prior written consent of Morgan Stanley and Leerink Swann on behalf of the Underwriters, it will not, during the period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commencing on the date hereof and ending 180 days after the date of the final prospectus (the “</w:t>
      </w:r>
      <w:r>
        <w:rPr>
          <w:rFonts w:ascii="Arial" w:cs="Arial" w:eastAsia="Arial" w:hAnsi="Arial"/>
          <w:sz w:val="17"/>
          <w:szCs w:val="17"/>
          <w:b w:val="1"/>
          <w:bCs w:val="1"/>
          <w:color w:val="auto"/>
        </w:rPr>
        <w:t>Restricted Period</w:t>
      </w:r>
      <w:r>
        <w:rPr>
          <w:rFonts w:ascii="Arial" w:cs="Arial" w:eastAsia="Arial" w:hAnsi="Arial"/>
          <w:sz w:val="17"/>
          <w:szCs w:val="17"/>
          <w:color w:val="auto"/>
        </w:rPr>
        <w:t>”) relating to the Public Offering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lend, or otherwise transfer or dispose of, directly or indirectly, any shares of Common Stock beneficially owned (as such term is used 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exercisable or exchangeable for Common Stock or (2) enter into any swap or other arrangement that transfers to another, in whole or in part, any of the economic</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consequences of ownership of the Common Stock, whether any such transaction described in clause (1) or (2) above is to be settled by delivery of Common Stock</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or such other securities, in cash or otherwise.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92" w:lineRule="auto"/>
        <w:rPr>
          <w:sz w:val="20"/>
          <w:szCs w:val="20"/>
          <w:color w:val="auto"/>
        </w:rPr>
      </w:pPr>
      <w:r>
        <w:rPr>
          <w:rFonts w:ascii="Arial" w:cs="Arial" w:eastAsia="Arial" w:hAnsi="Arial"/>
          <w:sz w:val="15"/>
          <w:szCs w:val="15"/>
          <w:color w:val="auto"/>
        </w:rPr>
        <w:t xml:space="preserve">The foregoing sentence shall not apply to (a) transfers of shares of Common Stock or any security convertible into or exercisable or exchangeable for Common Stock (i) as a bona fide gift, (ii) to an immediate family member or a trust for the direct or indirect benefit of the undersigned or such immediate family member of the undersigned, or (iii) by will or intestacy, (b) (i) if the undersigned is a partnership, limited liability company or a corporation, distributions of shares of Common Stock or any security convertible into or exercisable or exchangeable for Common Stock to limited partners, limited liability company members or stockholders of the undersigned or transfers of shares of Common Stock or any security convertible into or exercisable or exchangeable for Common Stock to another corporation, partnership or other business entity that controls, is controlled by or is under common control with the undersigned or (ii) if the undersigned is a trust, transfers of shares of Common Stock or any security convertible into or exercisable or exchangeable for Common Stock to a trustee or beneficiary of the trust;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any transfer or distribution pursuant to clause (a) or (b), (i) each transferee, donee or distributee shall sign and deliver a lock-up letter substantially in the form of this letter agreement and (ii) no filing under Section 16(a) of the Exchange Act, reporting a reduction in beneficial ownership of shares of Common Stock, shall be required or shall be voluntarily made during the Restricted Period, (c) transactions related to shares of Common Stock or other securities acquired in open market transactions after the completion of the Public Offering;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filing under Section 16(a) of the Exchange Act shall be required or shall be voluntarily made during the Restricted Period in connection with subsequent sales of Common Stock or other securities acquired in such open market transactions, (d) the establishment of a trading plan pursuant to Rule 10b5-1 under the Exchange Act for the transfer of shares of Common Stock,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 such plan does not provide for the transfer of Common Stock during the Restricted Period and (ii) to the extent a public announcement or filing</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0" w:lineRule="exact"/>
        <w:rPr>
          <w:sz w:val="20"/>
          <w:szCs w:val="20"/>
          <w:color w:val="auto"/>
        </w:rPr>
      </w:pPr>
    </w:p>
    <w:p>
      <w:pPr>
        <w:ind w:right="160" w:firstLine="5"/>
        <w:spacing w:after="0" w:line="298" w:lineRule="auto"/>
        <w:tabs>
          <w:tab w:leader="none" w:pos="238"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the transfer of shares of Common Stock or any security convertible into Common Stock to the Company upon a vesting event of the Company’s securities or upon the exercise of options to purchase the Company’s securities, in each case on a “cashless” or “net exercise” basis or to cover tax withholding obligations of the undersigned in connection with such vesting or exercise;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filing under Section 16(a) of the Exchange Act reporting a disposition of shares of Common Stock or other public announcement shall be required or shall be made voluntarily in connection with such vesting or exercise (for the avoidance of doubt, it being understood that any subsequent transfer or distribution of the shares of Common Stock or other securities issued upon any exercise, conversion or vesting event shall be subject to the restrictions set forth in this letter agreement), (f) the transfer of shares of Common Stock or any security convertible into or exercisable or exchangeable for Common Stock to the Company pursuant to agreements under which the Company has the option to repurchase such shares or a right of first refusal with respect to transfers of such shares, (g) the transfer of shares of Common Stock or any security convertible into or exercisable or exchangeable for Common Stock that occurs pursuant to a qualified domestic order or in connection with a divorce settlement;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each transferee shall sign and deliver a lock-up letter substantially in the form of this letter agreement and (ii) no filing under Section 16(a)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Act shall be required or shall be voluntarily made during the Restricted Period, or (h) the transfer of shares of Common Stock or any security convertible into or exercisable or exchangeable for Common Stock pursuant to a bona fide third party tender offer, merger, consolidation or other similar transaction made to all holders of the Common Stock involving a change of control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Stock owned by the undersigned shall remain subject to the restrictions contained in this letter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for purposes of clause (h), “change of control” shall mean the consummation of any bona fide third party tender offer, merger, consolidation or other similar transaction the result of which is that any “person” (as defined in Section 13(d)(3) of the Exchange Act), or group of</w:t>
      </w:r>
    </w:p>
    <w:p>
      <w:pPr>
        <w:sectPr>
          <w:pgSz w:w="11900" w:h="16899" w:orient="portrait"/>
          <w:cols w:equalWidth="0" w:num="1">
            <w:col w:w="11420"/>
          </w:cols>
          <w:pgMar w:left="240" w:top="127" w:right="239" w:bottom="0" w:gutter="0" w:footer="0" w:header="0"/>
          <w:type w:val="continuous"/>
        </w:sectPr>
      </w:pPr>
    </w:p>
    <w:bookmarkStart w:id="206" w:name="page207"/>
    <w:bookmarkEnd w:id="206"/>
    <w:p>
      <w:pPr>
        <w:spacing w:after="0" w:line="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persons, other than the Company or its subsidiaries, becomes the beneficial owner (as defined in Rules 13d-3 and 13d-5 of the Exchange Act) of more than 50% of total voting power of the voting stock of the Company.</w:t>
      </w:r>
    </w:p>
    <w:p>
      <w:pPr>
        <w:spacing w:after="0" w:line="158" w:lineRule="exact"/>
        <w:rPr>
          <w:sz w:val="20"/>
          <w:szCs w:val="20"/>
          <w:color w:val="auto"/>
        </w:rPr>
      </w:pPr>
    </w:p>
    <w:p>
      <w:pPr>
        <w:ind w:firstLine="629"/>
        <w:spacing w:after="0" w:line="290" w:lineRule="auto"/>
        <w:rPr>
          <w:sz w:val="20"/>
          <w:szCs w:val="20"/>
          <w:color w:val="auto"/>
        </w:rPr>
      </w:pPr>
      <w:r>
        <w:rPr>
          <w:rFonts w:ascii="Arial" w:cs="Arial" w:eastAsia="Arial" w:hAnsi="Arial"/>
          <w:sz w:val="16"/>
          <w:szCs w:val="16"/>
          <w:color w:val="auto"/>
        </w:rPr>
        <w:t>In addition, the undersigned agrees that, without the prior written consent of Morgan Stanley and Leerink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59"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foregoing provisions shall be equally applicable to any issuer-directed Shares the undersigned may purchase in the offering.</w:t>
      </w:r>
    </w:p>
    <w:p>
      <w:pPr>
        <w:spacing w:after="0" w:line="158"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If the undersigned is an officer or director of the Company, (i) each of Morgan Stanley and Leerink agrees that, at least three business days before the effective date of any release or waiver of the foregoing restrictions in connection with a transfer of shares of Common Stock, Morgan Stanley and Leerink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Morgan Stanley and Leerink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agreement to the extent and for the duration that such terms remain in effect at the time of the transfer.</w:t>
      </w:r>
    </w:p>
    <w:p>
      <w:pPr>
        <w:spacing w:after="0" w:line="181"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The undersigned understands that the Company and the Underwriters are relying upon this agreement in proceeding toward consummation of the Public Offering.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undersigned further understands that this agreement is irrevocable and shall be binding upon the undersigned’s heirs, legal representatives, successors and assigns.</w:t>
      </w:r>
    </w:p>
    <w:p>
      <w:pPr>
        <w:spacing w:after="0" w:line="247"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58" w:lineRule="exact"/>
        <w:rPr>
          <w:sz w:val="20"/>
          <w:szCs w:val="20"/>
          <w:color w:val="auto"/>
        </w:rPr>
      </w:pPr>
    </w:p>
    <w:p>
      <w:pPr>
        <w:ind w:right="360" w:firstLine="629"/>
        <w:spacing w:after="0" w:line="268" w:lineRule="auto"/>
        <w:rPr>
          <w:sz w:val="20"/>
          <w:szCs w:val="20"/>
          <w:color w:val="auto"/>
        </w:rPr>
      </w:pPr>
      <w:r>
        <w:rPr>
          <w:rFonts w:ascii="Arial" w:cs="Arial" w:eastAsia="Arial" w:hAnsi="Arial"/>
          <w:sz w:val="17"/>
          <w:szCs w:val="17"/>
          <w:color w:val="auto"/>
        </w:rPr>
        <w:t>This letter agreement shall automatically terminate upon the earliest to occur, if any, of (a) the date that the Company advises Morgan Stanley and Leerink, in writing, prior to the execution of the Underwriting Agreement, that it has determined not to proceed with the Public Offering, (b) the date of termination of the Underwriting Agreement if prior to the closing of the Public Offering, or (c) June 30, 2014 if the Public Offering of the Shares has not been completed by such date.</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WAIVER OF LOCK-UP</w:t>
      </w:r>
    </w:p>
    <w:p>
      <w:pPr>
        <w:spacing w:after="0" w:line="230"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[Name and Address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Officer or Director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Requesting Waiver]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Mr./Ms. [Name]:</w:t>
      </w:r>
    </w:p>
    <w:p>
      <w:pPr>
        <w:spacing w:after="0" w:line="218"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color w:val="auto"/>
        </w:rPr>
        <w:t>This letter is being delivered to you in connection with the offering by Veracyte, Inc. (the “</w:t>
      </w:r>
      <w:r>
        <w:rPr>
          <w:rFonts w:ascii="Arial" w:cs="Arial" w:eastAsia="Arial" w:hAnsi="Arial"/>
          <w:sz w:val="17"/>
          <w:szCs w:val="17"/>
          <w:b w:val="1"/>
          <w:bCs w:val="1"/>
          <w:color w:val="auto"/>
        </w:rPr>
        <w:t>Company</w:t>
      </w:r>
      <w:r>
        <w:rPr>
          <w:rFonts w:ascii="Arial" w:cs="Arial" w:eastAsia="Arial" w:hAnsi="Arial"/>
          <w:sz w:val="17"/>
          <w:szCs w:val="17"/>
          <w:color w:val="auto"/>
        </w:rPr>
        <w:t>”) of shares of common stock, $0.001 par value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and the lock-up letter dated , 2013 (the “Lock-up Letter”), executed by you in connection with such offering, and your request for a [waiver] [release] dated , 20 , with respect to shares of Common Stock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Morgan Stanley &amp; Co. LLC and Leerink Swann LLC hereby agree to [waive] [release] the transfer restrictions set forth in the Lock-up Letter, but only</w:t>
      </w:r>
    </w:p>
    <w:p>
      <w:pPr>
        <w:spacing w:after="0" w:line="3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with respect to the Shares, effective , 20 ;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expressly [waived] [released] hereby, the Lock-up Letter shall remain in full force and effect.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Morgan Stanley &amp; Co. LLC</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Acting severally on behalf of themselves and the several Underwriters named in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Schedule I hereto</w:t>
      </w:r>
    </w:p>
    <w:p>
      <w:pPr>
        <w:sectPr>
          <w:pgSz w:w="11900" w:h="16843" w:orient="portrait"/>
          <w:cols w:equalWidth="0" w:num="1">
            <w:col w:w="11420"/>
          </w:cols>
          <w:pgMar w:left="240" w:top="127" w:right="239" w:bottom="0" w:gutter="0" w:footer="0" w:header="0"/>
        </w:sectPr>
      </w:pPr>
    </w:p>
    <w:bookmarkStart w:id="207" w:name="page208"/>
    <w:bookmarkEnd w:id="207"/>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33464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cc: Company</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FORM OF PRESS RELEASE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 2013</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Veracyte,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and Leerink Swann LLC, on behalf of the underwriters in the Company’s</w:t>
      </w:r>
    </w:p>
    <w:p>
      <w:pPr>
        <w:spacing w:after="0" w:line="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recent public sale of shares of common stock is [waiving][releasing] a lock-up restriction with respect to shares of the Company’s common stock held by [certain officers or directors] [an officer or director] of the Company. The [waiver][release] will take effect on , 20 , and the shares may be sold on or after such date.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547" w:right="299" w:bottom="1440" w:gutter="0" w:footer="0" w:header="0"/>
        </w:sectPr>
      </w:pPr>
    </w:p>
    <w:bookmarkStart w:id="208" w:name="page209"/>
    <w:bookmarkEnd w:id="208"/>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hereby consent to the use in this Registration Statement on Form S-1 of Veracyte, Inc. of our report dated August 12, 2013, except for the effects of the reverse stock split described in Note 1 to the financial statements, as to which the date is October 9, 2013, relating to the financial statements of Veracyte, Inc., which appears in such Registration Statement. We also consent to the reference to us under the heading "Experts" in such Registration Statement.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October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209" w:name="page210"/>
    <w:bookmarkEnd w:id="2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1)"/>
      <w:numFmt w:val="decimal"/>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1)"/>
      <w:numFmt w:val="decimal"/>
      <w:start w:val="3"/>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1)"/>
      <w:numFmt w:val="decimal"/>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1)"/>
      <w:numFmt w:val="decimal"/>
      <w:start w:val="1"/>
    </w:lvl>
  </w:abstractNum>
  <w:abstractNum w:abstractNumId="46">
    <w:nsid w:val="68EBC550"/>
    <w:multiLevelType w:val="hybridMultilevel"/>
    <w:lvl w:ilvl="0">
      <w:lvlJc w:val="left"/>
      <w:lvlText w:val="(%1)"/>
      <w:numFmt w:val="decimal"/>
      <w:start w:val="2"/>
    </w:lvl>
  </w:abstractNum>
  <w:abstractNum w:abstractNumId="47">
    <w:nsid w:val="2DF6D648"/>
    <w:multiLevelType w:val="hybridMultilevel"/>
    <w:lvl w:ilvl="0">
      <w:lvlJc w:val="left"/>
      <w:lvlText w:val="(%1)"/>
      <w:numFmt w:val="decimal"/>
      <w:start w:val="1"/>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1)"/>
      <w:numFmt w:val="decimal"/>
      <w:start w:val="1"/>
    </w:lvl>
  </w:abstractNum>
  <w:abstractNum w:abstractNumId="50">
    <w:nsid w:val="39EE015C"/>
    <w:multiLevelType w:val="hybridMultilevel"/>
    <w:lvl w:ilvl="0">
      <w:lvlJc w:val="left"/>
      <w:lvlText w:val="(%1)"/>
      <w:numFmt w:val="upperLetter"/>
      <w:start w:val="3"/>
    </w:lvl>
  </w:abstractNum>
  <w:abstractNum w:abstractNumId="51">
    <w:nsid w:val="57FC4FBB"/>
    <w:multiLevelType w:val="hybridMultilevel"/>
    <w:lvl w:ilvl="0">
      <w:lvlJc w:val="left"/>
      <w:lvlText w:val="(%1)"/>
      <w:numFmt w:val="upperLetter"/>
      <w:start w:val="1"/>
    </w:lvl>
  </w:abstractNum>
  <w:abstractNum w:abstractNumId="52">
    <w:nsid w:val="CC1016F"/>
    <w:multiLevelType w:val="hybridMultilevel"/>
    <w:lvl w:ilvl="0">
      <w:lvlJc w:val="left"/>
      <w:lvlText w:val="(%1)"/>
      <w:numFmt w:val="lowerRoman"/>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1)"/>
      <w:numFmt w:val="decimal"/>
      <w:start w:val="1"/>
    </w:lvl>
  </w:abstractNum>
  <w:abstractNum w:abstractNumId="60">
    <w:nsid w:val="50801EE1"/>
    <w:multiLevelType w:val="hybridMultilevel"/>
    <w:lvl w:ilvl="0">
      <w:lvlJc w:val="left"/>
      <w:lvlText w:val="(%1)"/>
      <w:numFmt w:val="decimal"/>
      <w:start w:val="6"/>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1."/>
      <w:numFmt w:val="decimal"/>
      <w:start w:val="2"/>
    </w:lvl>
  </w:abstractNum>
  <w:abstractNum w:abstractNumId="78">
    <w:nsid w:val="1FBFE8E0"/>
    <w:multiLevelType w:val="hybridMultilevel"/>
    <w:lvl w:ilvl="0">
      <w:lvlJc w:val="left"/>
      <w:lvlText w:val="%1."/>
      <w:numFmt w:val="decimal"/>
      <w:start w:val="2"/>
    </w:lvl>
  </w:abstractNum>
  <w:abstractNum w:abstractNumId="79">
    <w:nsid w:val="5092CA79"/>
    <w:multiLevelType w:val="hybridMultilevel"/>
    <w:lvl w:ilvl="0">
      <w:lvlJc w:val="left"/>
      <w:lvlText w:val="%1."/>
      <w:numFmt w:val="decimal"/>
      <w:start w:val="2"/>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1."/>
      <w:numFmt w:val="decimal"/>
      <w:start w:val="8"/>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1)"/>
      <w:numFmt w:val="decimal"/>
      <w:start w:val="1"/>
    </w:lvl>
  </w:abstractNum>
  <w:abstractNum w:abstractNumId="85">
    <w:nsid w:val="97E1B4E"/>
    <w:multiLevelType w:val="hybridMultilevel"/>
    <w:lvl w:ilvl="0">
      <w:lvlJc w:val="left"/>
      <w:lvlText w:val="(%1)"/>
      <w:numFmt w:val="lowerLetter"/>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1."/>
      <w:numFmt w:val="decimal"/>
      <w:start w:val="1"/>
    </w:lvl>
    <w:lvl w:ilvl="1">
      <w:lvlJc w:val="left"/>
      <w:lvlText w:val="(%2)"/>
      <w:numFmt w:val="lowerLetter"/>
      <w:start w:val="1"/>
    </w:lvl>
  </w:abstractNum>
  <w:abstractNum w:abstractNumId="92">
    <w:nsid w:val="45E6D486"/>
    <w:multiLevelType w:val="hybridMultilevel"/>
    <w:lvl w:ilvl="0">
      <w:lvlJc w:val="left"/>
      <w:lvlText w:val="(%1)"/>
      <w:numFmt w:val="lowerLetter"/>
      <w:start w:val="3"/>
    </w:lvl>
  </w:abstractNum>
  <w:abstractNum w:abstractNumId="93">
    <w:nsid w:val="5C10FE21"/>
    <w:multiLevelType w:val="hybridMultilevel"/>
    <w:lvl w:ilvl="0">
      <w:lvlJc w:val="left"/>
      <w:lvlText w:val="%1"/>
      <w:numFmt w:val="lowerLetter"/>
      <w:start w:val="1"/>
    </w:lvl>
    <w:lvl w:ilvl="1">
      <w:lvlJc w:val="left"/>
      <w:lvlText w:val="(%2)"/>
      <w:numFmt w:val="lowerLetter"/>
      <w:start w:val="10"/>
    </w:lvl>
  </w:abstractNum>
  <w:abstractNum w:abstractNumId="94">
    <w:nsid w:val="E7FFA2B"/>
    <w:multiLevelType w:val="hybridMultilevel"/>
    <w:lvl w:ilvl="0">
      <w:lvlJc w:val="left"/>
      <w:lvlText w:val="(%1)"/>
      <w:numFmt w:val="lowerLetter"/>
      <w:start w:val="35"/>
    </w:lvl>
    <w:lvl w:ilvl="1">
      <w:lvlJc w:val="left"/>
      <w:lvlText w:val="%2"/>
      <w:numFmt w:val="lowerLetter"/>
      <w:start w:val="1"/>
    </w:lvl>
  </w:abstractNum>
  <w:abstractNum w:abstractNumId="95">
    <w:nsid w:val="3C5991AA"/>
    <w:multiLevelType w:val="hybridMultilevel"/>
    <w:lvl w:ilvl="0">
      <w:lvlJc w:val="left"/>
      <w:lvlText w:val="(%1)"/>
      <w:numFmt w:val="lowerLetter"/>
      <w:start w:val="15"/>
    </w:lvl>
  </w:abstractNum>
  <w:abstractNum w:abstractNumId="96">
    <w:nsid w:val="4BD8591A"/>
    <w:multiLevelType w:val="hybridMultilevel"/>
    <w:lvl w:ilvl="0">
      <w:lvlJc w:val="left"/>
      <w:lvlText w:val="%1"/>
      <w:numFmt w:val="lowerLetter"/>
      <w:start w:val="1"/>
    </w:lvl>
    <w:lvl w:ilvl="1">
      <w:lvlJc w:val="left"/>
      <w:lvlText w:val="(%2)"/>
      <w:numFmt w:val="lowerLetter"/>
      <w:start w:val="19"/>
    </w:lvl>
    <w:lvl w:ilvl="2">
      <w:lvlJc w:val="left"/>
      <w:lvlText w:val="(%3)"/>
      <w:numFmt w:val="lowerRoman"/>
      <w:start w:val="1"/>
    </w:lvl>
    <w:lvl w:ilvl="3">
      <w:lvlJc w:val="left"/>
      <w:lvlText w:val="(%4)"/>
      <w:numFmt w:val="upperLetter"/>
      <w:start w:val="1"/>
    </w:lvl>
  </w:abstractNum>
  <w:abstractNum w:abstractNumId="97">
    <w:nsid w:val="78DF6A5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8">
    <w:nsid w:val="39B7AAA2"/>
    <w:multiLevelType w:val="hybridMultilevel"/>
    <w:lvl w:ilvl="0">
      <w:lvlJc w:val="left"/>
      <w:lvlText w:val="(%1)"/>
      <w:numFmt w:val="lowerLetter"/>
      <w:start w:val="21"/>
    </w:lvl>
  </w:abstractNum>
  <w:abstractNum w:abstractNumId="99">
    <w:nsid w:val="2B0D8DBE"/>
    <w:multiLevelType w:val="hybridMultilevel"/>
    <w:lvl w:ilvl="0">
      <w:lvlJc w:val="left"/>
      <w:lvlText w:val="%1"/>
      <w:numFmt w:val="lowerLetter"/>
      <w:start w:val="1"/>
    </w:lvl>
    <w:lvl w:ilvl="1">
      <w:lvlJc w:val="left"/>
      <w:lvlText w:val="(%2)"/>
      <w:numFmt w:val="lowerLetter"/>
      <w:start w:val="22"/>
    </w:lvl>
  </w:abstractNum>
  <w:abstractNum w:abstractNumId="100">
    <w:nsid w:val="6C80EC70"/>
    <w:multiLevelType w:val="hybridMultilevel"/>
    <w:lvl w:ilvl="0">
      <w:lvlJc w:val="left"/>
      <w:lvlText w:val="(%1)"/>
      <w:numFmt w:val="lowerLetter"/>
      <w:start w:val="9"/>
    </w:lvl>
    <w:lvl w:ilvl="1">
      <w:lvlJc w:val="left"/>
      <w:lvlText w:val="(%2)"/>
      <w:numFmt w:val="lowerLetter"/>
      <w:start w:val="23"/>
    </w:lvl>
  </w:abstractNum>
  <w:abstractNum w:abstractNumId="101">
    <w:nsid w:val="379E21B5"/>
    <w:multiLevelType w:val="hybridMultilevel"/>
    <w:lvl w:ilvl="0">
      <w:lvlJc w:val="left"/>
      <w:lvlText w:val="(%1)"/>
      <w:numFmt w:val="lowerLetter"/>
      <w:start w:val="25"/>
    </w:lvl>
  </w:abstractNum>
  <w:abstractNum w:abstractNumId="102">
    <w:nsid w:val="69E373"/>
    <w:multiLevelType w:val="hybridMultilevel"/>
    <w:lvl w:ilvl="0">
      <w:lvlJc w:val="left"/>
      <w:lvlText w:val="(%1)"/>
      <w:numFmt w:val="lowerLetter"/>
      <w:start w:val="27"/>
    </w:lvl>
  </w:abstractNum>
  <w:abstractNum w:abstractNumId="103">
    <w:nsid w:val="2C27173B"/>
    <w:multiLevelType w:val="hybridMultilevel"/>
    <w:lvl w:ilvl="0">
      <w:lvlJc w:val="left"/>
      <w:lvlText w:val="(%1)"/>
      <w:numFmt w:val="lowerLetter"/>
      <w:start w:val="29"/>
    </w:lvl>
  </w:abstractNum>
  <w:abstractNum w:abstractNumId="104">
    <w:nsid w:val="4C9B0904"/>
    <w:multiLevelType w:val="hybridMultilevel"/>
    <w:lvl w:ilvl="0">
      <w:lvlJc w:val="left"/>
      <w:lvlText w:val="%1"/>
      <w:numFmt w:val="upperLetter"/>
      <w:start w:val="1"/>
    </w:lvl>
    <w:lvl w:ilvl="1">
      <w:lvlJc w:val="left"/>
      <w:lvlText w:val="(%2)"/>
      <w:numFmt w:val="lowerLetter"/>
      <w:start w:val="31"/>
    </w:lvl>
  </w:abstractNum>
  <w:abstractNum w:abstractNumId="105">
    <w:nsid w:val="6AA7B75C"/>
    <w:multiLevelType w:val="hybridMultilevel"/>
    <w:lvl w:ilvl="0">
      <w:lvlJc w:val="left"/>
      <w:lvlText w:val="(%1)"/>
      <w:numFmt w:val="upperLetter"/>
      <w:start w:val="3"/>
    </w:lvl>
    <w:lvl w:ilvl="1">
      <w:lvlJc w:val="left"/>
      <w:lvlText w:val="%2"/>
      <w:numFmt w:val="lowerLetter"/>
      <w:start w:val="1"/>
    </w:lvl>
  </w:abstractNum>
  <w:abstractNum w:abstractNumId="106">
    <w:nsid w:val="1DF029D3"/>
    <w:multiLevelType w:val="hybridMultilevel"/>
    <w:lvl w:ilvl="0">
      <w:lvlJc w:val="left"/>
      <w:lvlText w:val="(%1)"/>
      <w:numFmt w:val="lowerLetter"/>
      <w:start w:val="32"/>
    </w:lvl>
  </w:abstractNum>
  <w:abstractNum w:abstractNumId="107">
    <w:nsid w:val="5675FF36"/>
    <w:multiLevelType w:val="hybridMultilevel"/>
    <w:lvl w:ilvl="0">
      <w:lvlJc w:val="left"/>
      <w:lvlText w:val="(%1)"/>
      <w:numFmt w:val="lowerLetter"/>
      <w:start w:val="36"/>
    </w:lvl>
  </w:abstractNum>
  <w:abstractNum w:abstractNumId="108">
    <w:nsid w:val="3DD15094"/>
    <w:multiLevelType w:val="hybridMultilevel"/>
    <w:lvl w:ilvl="0">
      <w:lvlJc w:val="left"/>
      <w:lvlText w:val="%1."/>
      <w:numFmt w:val="decimal"/>
      <w:start w:val="2"/>
    </w:lvl>
  </w:abstractNum>
  <w:abstractNum w:abstractNumId="109">
    <w:nsid w:val="3DB012B3"/>
    <w:multiLevelType w:val="hybridMultilevel"/>
    <w:lvl w:ilvl="0">
      <w:lvlJc w:val="left"/>
      <w:lvlText w:val="%1."/>
      <w:numFmt w:val="decimal"/>
      <w:start w:val="3"/>
    </w:lvl>
  </w:abstractNum>
  <w:abstractNum w:abstractNumId="110">
    <w:nsid w:val="2708C9AF"/>
    <w:multiLevelType w:val="hybridMultilevel"/>
    <w:lvl w:ilvl="0">
      <w:lvlJc w:val="left"/>
      <w:lvlText w:val="%1."/>
      <w:numFmt w:val="decimal"/>
      <w:start w:val="4"/>
    </w:lvl>
  </w:abstractNum>
  <w:abstractNum w:abstractNumId="111">
    <w:nsid w:val="5B25ACE2"/>
    <w:multiLevelType w:val="hybridMultilevel"/>
    <w:lvl w:ilvl="0">
      <w:lvlJc w:val="left"/>
      <w:lvlText w:val="%1."/>
      <w:numFmt w:val="decimal"/>
      <w:start w:val="5"/>
    </w:lvl>
  </w:abstractNum>
  <w:abstractNum w:abstractNumId="112">
    <w:nsid w:val="175DFCF0"/>
    <w:multiLevelType w:val="hybridMultilevel"/>
    <w:lvl w:ilvl="0">
      <w:lvlJc w:val="left"/>
      <w:lvlText w:val="(%1)"/>
      <w:numFmt w:val="lowerLetter"/>
      <w:start w:val="1"/>
    </w:lvl>
    <w:lvl w:ilvl="1">
      <w:lvlJc w:val="left"/>
      <w:lvlText w:val="(%2)"/>
      <w:numFmt w:val="lowerLetter"/>
      <w:start w:val="9"/>
    </w:lvl>
  </w:abstractNum>
  <w:abstractNum w:abstractNumId="113">
    <w:nsid w:val="4F97E3E4"/>
    <w:multiLevelType w:val="hybridMultilevel"/>
    <w:lvl w:ilvl="0">
      <w:lvlJc w:val="left"/>
      <w:lvlText w:val="%1"/>
      <w:numFmt w:val="lowerLetter"/>
      <w:start w:val="1"/>
    </w:lvl>
    <w:lvl w:ilvl="1">
      <w:lvlJc w:val="left"/>
      <w:lvlText w:val="(%2)"/>
      <w:numFmt w:val="lowerLetter"/>
      <w:start w:val="35"/>
    </w:lvl>
  </w:abstractNum>
  <w:abstractNum w:abstractNumId="114">
    <w:nsid w:val="53B0A9E"/>
    <w:multiLevelType w:val="hybridMultilevel"/>
    <w:lvl w:ilvl="0">
      <w:lvlJc w:val="left"/>
      <w:lvlText w:val="(%1)"/>
      <w:numFmt w:val="lowerLetter"/>
      <w:start w:val="2"/>
    </w:lvl>
    <w:lvl w:ilvl="1">
      <w:lvlJc w:val="left"/>
      <w:lvlText w:val="%2"/>
      <w:numFmt w:val="lowerLetter"/>
      <w:start w:val="1"/>
    </w:lvl>
  </w:abstractNum>
  <w:abstractNum w:abstractNumId="115">
    <w:nsid w:val="34FD6B4F"/>
    <w:multiLevelType w:val="hybridMultilevel"/>
    <w:lvl w:ilvl="0">
      <w:lvlJc w:val="left"/>
      <w:lvlText w:val="(%1)"/>
      <w:numFmt w:val="lowerLetter"/>
      <w:start w:val="3"/>
    </w:lvl>
  </w:abstractNum>
  <w:abstractNum w:abstractNumId="116">
    <w:nsid w:val="5915FF32"/>
    <w:multiLevelType w:val="hybridMultilevel"/>
    <w:lvl w:ilvl="0">
      <w:lvlJc w:val="left"/>
      <w:lvlText w:val="(%1)"/>
      <w:numFmt w:val="lowerLetter"/>
      <w:start w:val="6"/>
    </w:lvl>
  </w:abstractNum>
  <w:abstractNum w:abstractNumId="117">
    <w:nsid w:val="56438D15"/>
    <w:multiLevelType w:val="hybridMultilevel"/>
    <w:lvl w:ilvl="0">
      <w:lvlJc w:val="left"/>
      <w:lvlText w:val="(%1)"/>
      <w:numFmt w:val="lowerLetter"/>
      <w:start w:val="8"/>
    </w:lvl>
  </w:abstractNum>
  <w:abstractNum w:abstractNumId="118">
    <w:nsid w:val="519E3149"/>
    <w:multiLevelType w:val="hybridMultilevel"/>
    <w:lvl w:ilvl="0">
      <w:lvlJc w:val="left"/>
      <w:lvlText w:val="%1."/>
      <w:numFmt w:val="decimal"/>
      <w:start w:val="6"/>
    </w:lvl>
    <w:lvl w:ilvl="1">
      <w:lvlJc w:val="left"/>
      <w:lvlText w:val="(%2)"/>
      <w:numFmt w:val="lowerLetter"/>
      <w:start w:val="1"/>
    </w:lvl>
  </w:abstractNum>
  <w:abstractNum w:abstractNumId="119">
    <w:nsid w:val="2C6E4AFD"/>
    <w:multiLevelType w:val="hybridMultilevel"/>
    <w:lvl w:ilvl="0">
      <w:lvlJc w:val="left"/>
      <w:lvlText w:val="(%1)"/>
      <w:numFmt w:val="lowerLetter"/>
      <w:start w:val="3"/>
    </w:lvl>
  </w:abstractNum>
  <w:abstractNum w:abstractNumId="120">
    <w:nsid w:val="17A1B582"/>
    <w:multiLevelType w:val="hybridMultilevel"/>
    <w:lvl w:ilvl="0">
      <w:lvlJc w:val="left"/>
      <w:lvlText w:val="(%1)"/>
      <w:numFmt w:val="lowerLetter"/>
      <w:start w:val="7"/>
    </w:lvl>
  </w:abstractNum>
  <w:abstractNum w:abstractNumId="121">
    <w:nsid w:val="4DF72E4E"/>
    <w:multiLevelType w:val="hybridMultilevel"/>
    <w:lvl w:ilvl="0">
      <w:lvlJc w:val="left"/>
      <w:lvlText w:val="(%1)"/>
      <w:numFmt w:val="lowerLetter"/>
      <w:start w:val="8"/>
    </w:lvl>
  </w:abstractNum>
  <w:abstractNum w:abstractNumId="122">
    <w:nsid w:val="5046B5A9"/>
    <w:multiLevelType w:val="hybridMultilevel"/>
    <w:lvl w:ilvl="0">
      <w:lvlJc w:val="left"/>
      <w:lvlText w:val="(%1)"/>
      <w:numFmt w:val="lowerLetter"/>
      <w:start w:val="10"/>
    </w:lvl>
  </w:abstractNum>
  <w:abstractNum w:abstractNumId="123">
    <w:nsid w:val="5D888A08"/>
    <w:multiLevelType w:val="hybridMultilevel"/>
    <w:lvl w:ilvl="0">
      <w:lvlJc w:val="left"/>
      <w:lvlText w:val="%1."/>
      <w:numFmt w:val="decimal"/>
      <w:start w:val="7"/>
    </w:lvl>
  </w:abstractNum>
  <w:abstractNum w:abstractNumId="124">
    <w:nsid w:val="2A082C70"/>
    <w:multiLevelType w:val="hybridMultilevel"/>
    <w:lvl w:ilvl="0">
      <w:lvlJc w:val="left"/>
      <w:lvlText w:val="%1."/>
      <w:numFmt w:val="decimal"/>
      <w:start w:val="8"/>
    </w:lvl>
  </w:abstractNum>
  <w:abstractNum w:abstractNumId="125">
    <w:nsid w:val="5EC6AFD4"/>
    <w:multiLevelType w:val="hybridMultilevel"/>
    <w:lvl w:ilvl="0">
      <w:lvlJc w:val="left"/>
      <w:lvlText w:val="(%1)"/>
      <w:numFmt w:val="lowerLetter"/>
      <w:start w:val="2"/>
    </w:lvl>
  </w:abstractNum>
  <w:abstractNum w:abstractNumId="126">
    <w:nsid w:val="19E21BB2"/>
    <w:multiLevelType w:val="hybridMultilevel"/>
    <w:lvl w:ilvl="0">
      <w:lvlJc w:val="left"/>
      <w:lvlText w:val="(%1)"/>
      <w:numFmt w:val="lowerLetter"/>
      <w:start w:val="9"/>
    </w:lvl>
    <w:lvl w:ilvl="1">
      <w:lvlJc w:val="left"/>
      <w:lvlText w:val="(%2)"/>
      <w:numFmt w:val="lowerLetter"/>
      <w:start w:val="4"/>
    </w:lvl>
  </w:abstractNum>
  <w:abstractNum w:abstractNumId="127">
    <w:nsid w:val="75E0858A"/>
    <w:multiLevelType w:val="hybridMultilevel"/>
    <w:lvl w:ilvl="0">
      <w:lvlJc w:val="left"/>
      <w:lvlText w:val="(%1)"/>
      <w:numFmt w:val="lowerLetter"/>
      <w:start w:val="5"/>
    </w:lvl>
  </w:abstractNum>
  <w:abstractNum w:abstractNumId="128">
    <w:nsid w:val="57A61A29"/>
    <w:multiLevelType w:val="hybridMultilevel"/>
    <w:lvl w:ilvl="0">
      <w:lvlJc w:val="left"/>
      <w:lvlText w:val="(%1)"/>
      <w:numFmt w:val="lowerLetter"/>
      <w:start w:val="6"/>
    </w:lvl>
  </w:abstractNum>
  <w:abstractNum w:abstractNumId="129">
    <w:nsid w:val="5399C654"/>
    <w:multiLevelType w:val="hybridMultilevel"/>
    <w:lvl w:ilvl="0">
      <w:lvlJc w:val="left"/>
      <w:lvlText w:val="%1."/>
      <w:numFmt w:val="decimal"/>
      <w:start w:val="9"/>
    </w:lvl>
  </w:abstractNum>
  <w:abstractNum w:abstractNumId="130">
    <w:nsid w:val="20EE1348"/>
    <w:multiLevelType w:val="hybridMultilevel"/>
    <w:lvl w:ilvl="0">
      <w:lvlJc w:val="left"/>
      <w:lvlText w:val="%1."/>
      <w:numFmt w:val="decimal"/>
      <w:start w:val="11"/>
    </w:lvl>
    <w:lvl w:ilvl="1">
      <w:lvlJc w:val="left"/>
      <w:lvlText w:val="(%2)"/>
      <w:numFmt w:val="lowerLetter"/>
      <w:start w:val="2"/>
    </w:lvl>
  </w:abstractNum>
  <w:abstractNum w:abstractNumId="131">
    <w:nsid w:val="4427069A"/>
    <w:multiLevelType w:val="hybridMultilevel"/>
    <w:lvl w:ilvl="0">
      <w:lvlJc w:val="left"/>
      <w:lvlText w:val="%1."/>
      <w:numFmt w:val="decimal"/>
      <w:start w:val="2"/>
    </w:lvl>
  </w:abstractNum>
  <w:abstractNum w:abstractNumId="132">
    <w:nsid w:val="B37E80A"/>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2019-12-07T15:15:08Z</dcterms:created>
  <dcterms:modified xsi:type="dcterms:W3CDTF">2019-12-07T15:15:08Z</dcterms:modified>
</cp:coreProperties>
</file>