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12, 2015</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900" w:type="dxa"/>
        <w:tblCellMar>
          <w:top w:w="0" w:type="dxa"/>
          <w:left w:w="0" w:type="dxa"/>
          <w:bottom w:w="0" w:type="dxa"/>
          <w:right w:w="0" w:type="dxa"/>
        </w:tblCellMar>
      </w:tblPr>
      <w:tr>
        <w:trPr>
          <w:trHeight w:val="220"/>
        </w:trPr>
        <w:tc>
          <w:tcPr>
            <w:tcW w:w="3120" w:type="dxa"/>
            <w:vAlign w:val="bottom"/>
          </w:tcPr>
          <w:p>
            <w:pPr>
              <w:jc w:val="center"/>
              <w:ind w:right="1150"/>
              <w:spacing w:after="0"/>
              <w:rPr>
                <w:sz w:val="20"/>
                <w:szCs w:val="20"/>
                <w:color w:val="auto"/>
              </w:rPr>
            </w:pPr>
            <w:r>
              <w:rPr>
                <w:rFonts w:ascii="Arial" w:cs="Arial" w:eastAsia="Arial" w:hAnsi="Arial"/>
                <w:sz w:val="18"/>
                <w:szCs w:val="18"/>
                <w:b w:val="1"/>
                <w:bCs w:val="1"/>
                <w:color w:val="auto"/>
                <w:w w:val="91"/>
              </w:rPr>
              <w:t>Delaware</w:t>
            </w:r>
          </w:p>
        </w:tc>
        <w:tc>
          <w:tcPr>
            <w:tcW w:w="356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001-36156</w:t>
            </w:r>
          </w:p>
        </w:tc>
        <w:tc>
          <w:tcPr>
            <w:tcW w:w="2680" w:type="dxa"/>
            <w:vAlign w:val="bottom"/>
          </w:tcPr>
          <w:p>
            <w:pPr>
              <w:jc w:val="center"/>
              <w:ind w:left="1270"/>
              <w:spacing w:after="0"/>
              <w:rPr>
                <w:sz w:val="20"/>
                <w:szCs w:val="20"/>
                <w:color w:val="auto"/>
              </w:rPr>
            </w:pPr>
            <w:r>
              <w:rPr>
                <w:rFonts w:ascii="Arial" w:cs="Arial" w:eastAsia="Arial" w:hAnsi="Arial"/>
                <w:sz w:val="18"/>
                <w:szCs w:val="18"/>
                <w:b w:val="1"/>
                <w:bCs w:val="1"/>
                <w:color w:val="auto"/>
                <w:w w:val="91"/>
              </w:rPr>
              <w:t>20-5455398</w:t>
            </w:r>
          </w:p>
        </w:tc>
      </w:tr>
      <w:tr>
        <w:trPr>
          <w:trHeight w:val="216"/>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1"/>
              </w:rPr>
              <w:t>(State or other jurisdiction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3"/>
              </w:rPr>
              <w:t>(Commission</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3"/>
              </w:rPr>
              <w:t>(IRS Employer</w:t>
            </w:r>
          </w:p>
        </w:tc>
      </w:tr>
      <w:tr>
        <w:trPr>
          <w:trHeight w:val="230"/>
        </w:trPr>
        <w:tc>
          <w:tcPr>
            <w:tcW w:w="3120" w:type="dxa"/>
            <w:vAlign w:val="bottom"/>
          </w:tcPr>
          <w:p>
            <w:pPr>
              <w:jc w:val="center"/>
              <w:ind w:right="1150"/>
              <w:spacing w:after="0"/>
              <w:rPr>
                <w:sz w:val="20"/>
                <w:szCs w:val="20"/>
                <w:color w:val="auto"/>
              </w:rPr>
            </w:pPr>
            <w:r>
              <w:rPr>
                <w:rFonts w:ascii="Arial" w:cs="Arial" w:eastAsia="Arial" w:hAnsi="Arial"/>
                <w:sz w:val="18"/>
                <w:szCs w:val="18"/>
                <w:color w:val="auto"/>
                <w:w w:val="95"/>
              </w:rPr>
              <w:t>of incorporation)</w:t>
            </w:r>
          </w:p>
        </w:tc>
        <w:tc>
          <w:tcPr>
            <w:tcW w:w="3560" w:type="dxa"/>
            <w:vAlign w:val="bottom"/>
          </w:tcPr>
          <w:p>
            <w:pPr>
              <w:jc w:val="center"/>
              <w:ind w:right="50"/>
              <w:spacing w:after="0"/>
              <w:rPr>
                <w:sz w:val="20"/>
                <w:szCs w:val="20"/>
                <w:color w:val="auto"/>
              </w:rPr>
            </w:pPr>
            <w:r>
              <w:rPr>
                <w:rFonts w:ascii="Arial" w:cs="Arial" w:eastAsia="Arial" w:hAnsi="Arial"/>
                <w:sz w:val="18"/>
                <w:szCs w:val="18"/>
                <w:color w:val="auto"/>
                <w:w w:val="94"/>
              </w:rPr>
              <w:t>File Number)</w:t>
            </w:r>
          </w:p>
        </w:tc>
        <w:tc>
          <w:tcPr>
            <w:tcW w:w="2680" w:type="dxa"/>
            <w:vAlign w:val="bottom"/>
          </w:tcPr>
          <w:p>
            <w:pPr>
              <w:jc w:val="center"/>
              <w:ind w:left="125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250,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9"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ind w:right="80" w:firstLine="8"/>
        <w:spacing w:after="0" w:line="264" w:lineRule="auto"/>
        <w:tabs>
          <w:tab w:leader="none" w:pos="630" w:val="left"/>
        </w:tabs>
        <w:numPr>
          <w:ilvl w:val="0"/>
          <w:numId w:val="2"/>
        </w:numPr>
        <w:rPr>
          <w:rFonts w:ascii="Arial" w:cs="Arial" w:eastAsia="Arial" w:hAnsi="Arial"/>
          <w:sz w:val="18"/>
          <w:szCs w:val="18"/>
          <w:color w:val="auto"/>
        </w:rPr>
      </w:pPr>
      <w:r>
        <w:rPr>
          <w:rFonts w:ascii="Arial" w:cs="Arial" w:eastAsia="Arial" w:hAnsi="Arial"/>
          <w:sz w:val="18"/>
          <w:szCs w:val="18"/>
          <w:color w:val="auto"/>
        </w:rPr>
        <w:t>Effective November 12, 2015, the Board of Directors of Veracyte, Inc. (the “Company”) elected Tina S. Nova, Ph.D. to the Company’s Board of Directors. In addition to serving on the Board of Directors, Dr. Nova will also serve as Chairman of the Regulatory and Compliance Committee of the Board of Directors.</w:t>
      </w:r>
    </w:p>
    <w:p>
      <w:pPr>
        <w:spacing w:after="0" w:line="181" w:lineRule="exact"/>
        <w:rPr>
          <w:sz w:val="24"/>
          <w:szCs w:val="24"/>
          <w:color w:val="auto"/>
        </w:rPr>
      </w:pPr>
    </w:p>
    <w:p>
      <w:pPr>
        <w:ind w:right="20" w:firstLine="648"/>
        <w:spacing w:after="0" w:line="270" w:lineRule="auto"/>
        <w:rPr>
          <w:sz w:val="20"/>
          <w:szCs w:val="20"/>
          <w:color w:val="auto"/>
        </w:rPr>
      </w:pPr>
      <w:r>
        <w:rPr>
          <w:rFonts w:ascii="Arial" w:cs="Arial" w:eastAsia="Arial" w:hAnsi="Arial"/>
          <w:sz w:val="17"/>
          <w:szCs w:val="17"/>
          <w:color w:val="auto"/>
        </w:rPr>
        <w:t>Dr. Nova, age 62, is a life sciences industry veteran with extensive experience building and leading novel genomics-based businesses. Since October 2015, she has served as president and chief executive officer of Molecular Stethoscope, Inc., a molecular diagnostics company. From July 2014 to August 2015, she was senior vice president and general manager of Illumina Inc.’s oncology business unit. Dr. Nova was a co-founder of Genoptix, Inc., a medical laboratory diagnostics company, and served as its President from 2000 to April 2014. Dr. Nova also served as the chief executive officer of Genoptix, Inc. and as a member of its board of directors from 2000 until Novartis AG acquired Genoptix, Inc. in March 2011. Dr. Nova currently serves on the board of directors of Arena Pharmaceuticals, Inc. and is vice chairman of the board of directors for the newly-formed Rady Pediatric Genomics and Systems Medicine Institute, which is part of Rady Children’s Hospital-San Diego. Dr. Nova served as a director of Adamis Pharmaceuticals Corporation from February 2011 to August 2014, NanoString Technologies, Inc. from April 2014 until July 2014 when she accepted her position at Illumina, Inc., and Cypress Bioscience, Inc. from April 2007 until its acquisition in January 2011. Dr. Nova holds a B.S. in Biological Sciences from the University of California, Irvine and a Ph.D. in Biochemistry from the University of California, Riverside.</w:t>
      </w:r>
    </w:p>
    <w:p>
      <w:pPr>
        <w:spacing w:after="0" w:line="178" w:lineRule="exact"/>
        <w:rPr>
          <w:sz w:val="24"/>
          <w:szCs w:val="24"/>
          <w:color w:val="auto"/>
        </w:rPr>
      </w:pPr>
    </w:p>
    <w:p>
      <w:pPr>
        <w:jc w:val="both"/>
        <w:ind w:right="40" w:firstLine="648"/>
        <w:spacing w:after="0" w:line="264" w:lineRule="auto"/>
        <w:rPr>
          <w:sz w:val="20"/>
          <w:szCs w:val="20"/>
          <w:color w:val="auto"/>
        </w:rPr>
      </w:pPr>
      <w:r>
        <w:rPr>
          <w:rFonts w:ascii="Arial" w:cs="Arial" w:eastAsia="Arial" w:hAnsi="Arial"/>
          <w:sz w:val="18"/>
          <w:szCs w:val="18"/>
          <w:color w:val="auto"/>
        </w:rPr>
        <w:t>As a non-employee director of the Company, Dr. Nova will be entitled to the same cash and equity compensation paid by the Company to each of its non-employee directors, as described in the Company’s proxy statement for its 2015 Annual Meeting of Stockholders filed on April 8, 2015, and shall receive $10,000 annually as Chairman of the Regulatory and Compliance Committee.</w:t>
      </w:r>
    </w:p>
    <w:p>
      <w:pPr>
        <w:spacing w:after="0" w:line="17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r>
              <w:rPr>
                <w:rFonts w:ascii="Arial" w:cs="Arial" w:eastAsia="Arial" w:hAnsi="Arial"/>
                <w:sz w:val="18"/>
                <w:szCs w:val="18"/>
                <w:b w:val="1"/>
                <w:bCs w:val="1"/>
                <w:color w:val="auto"/>
              </w:rPr>
              <w:t>Item 9.01</w:t>
            </w:r>
          </w:p>
        </w:tc>
        <w:tc>
          <w:tcPr>
            <w:tcW w:w="10260" w:type="dxa"/>
            <w:vAlign w:val="bottom"/>
            <w:gridSpan w:val="2"/>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(d) Exhibits</w:t>
            </w:r>
          </w:p>
        </w:tc>
        <w:tc>
          <w:tcPr>
            <w:tcW w:w="280" w:type="dxa"/>
            <w:vAlign w:val="bottom"/>
          </w:tcPr>
          <w:p>
            <w:pPr>
              <w:spacing w:after="0"/>
              <w:rPr>
                <w:sz w:val="24"/>
                <w:szCs w:val="24"/>
                <w:color w:val="auto"/>
              </w:rPr>
            </w:pPr>
          </w:p>
        </w:tc>
        <w:tc>
          <w:tcPr>
            <w:tcW w:w="9980" w:type="dxa"/>
            <w:vAlign w:val="bottom"/>
          </w:tcPr>
          <w:p>
            <w:pPr>
              <w:spacing w:after="0"/>
              <w:rPr>
                <w:sz w:val="24"/>
                <w:szCs w:val="24"/>
                <w:color w:val="auto"/>
              </w:rPr>
            </w:pPr>
          </w:p>
        </w:tc>
      </w:tr>
      <w:tr>
        <w:trPr>
          <w:trHeight w:val="365"/>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280" w:type="dxa"/>
            <w:vAlign w:val="bottom"/>
          </w:tcPr>
          <w:p>
            <w:pPr>
              <w:spacing w:after="0"/>
              <w:rPr>
                <w:sz w:val="24"/>
                <w:szCs w:val="24"/>
                <w:color w:val="auto"/>
              </w:rPr>
            </w:pPr>
          </w:p>
        </w:tc>
        <w:tc>
          <w:tcPr>
            <w:tcW w:w="9980" w:type="dxa"/>
            <w:vAlign w:val="bottom"/>
            <w:tcBorders>
              <w:bottom w:val="single" w:sz="8" w:color="auto"/>
            </w:tcBorders>
          </w:tcPr>
          <w:p>
            <w:pPr>
              <w:ind w:left="4640"/>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9980" w:type="dxa"/>
            <w:vAlign w:val="bottom"/>
          </w:tcPr>
          <w:p>
            <w:pPr>
              <w:spacing w:after="0"/>
              <w:rPr>
                <w:sz w:val="20"/>
                <w:szCs w:val="20"/>
                <w:color w:val="auto"/>
              </w:rPr>
            </w:pPr>
            <w:r>
              <w:rPr>
                <w:rFonts w:ascii="Arial" w:cs="Arial" w:eastAsia="Arial" w:hAnsi="Arial"/>
                <w:sz w:val="18"/>
                <w:szCs w:val="18"/>
                <w:color w:val="auto"/>
              </w:rPr>
              <w:t>Press Release issued by Veracyte, Inc. dated November 16, 2015.</w:t>
            </w:r>
          </w:p>
        </w:tc>
      </w:tr>
    </w:tbl>
    <w:p>
      <w:pPr>
        <w:sectPr>
          <w:pgSz w:w="11900" w:h="16838" w:orient="portrait"/>
          <w:cols w:equalWidth="0" w:num="1">
            <w:col w:w="11420"/>
          </w:cols>
          <w:pgMar w:left="240" w:top="544" w:right="239" w:bottom="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November 16, 2015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60" w:type="dxa"/>
            <w:vAlign w:val="bottom"/>
            <w:gridSpan w:val="2"/>
          </w:tcPr>
          <w:p>
            <w:pPr>
              <w:ind w:left="4260"/>
              <w:spacing w:after="0"/>
              <w:rPr>
                <w:sz w:val="20"/>
                <w:szCs w:val="20"/>
                <w:color w:val="auto"/>
              </w:rPr>
            </w:pPr>
            <w:r>
              <w:rPr>
                <w:rFonts w:ascii="Arial" w:cs="Arial" w:eastAsia="Arial" w:hAnsi="Arial"/>
                <w:sz w:val="18"/>
                <w:szCs w:val="18"/>
                <w:color w:val="auto"/>
              </w:rPr>
              <w:t>Veracyte, Inc.</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ind w:left="4260"/>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1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940" w:type="dxa"/>
            <w:vAlign w:val="bottom"/>
          </w:tcPr>
          <w:p>
            <w:pPr>
              <w:ind w:left="4260"/>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940" w:type="dxa"/>
            <w:vAlign w:val="bottom"/>
          </w:tcPr>
          <w:p>
            <w:pPr>
              <w:ind w:left="4260"/>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ind w:left="4220"/>
              <w:spacing w:after="0"/>
              <w:rPr>
                <w:sz w:val="20"/>
                <w:szCs w:val="20"/>
                <w:color w:val="auto"/>
              </w:rPr>
            </w:pPr>
            <w:r>
              <w:rPr>
                <w:rFonts w:ascii="Arial" w:cs="Arial" w:eastAsia="Arial" w:hAnsi="Arial"/>
                <w:sz w:val="18"/>
                <w:szCs w:val="18"/>
                <w:color w:val="auto"/>
              </w:rPr>
              <w:t>3</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9860" w:type="dxa"/>
            <w:vAlign w:val="bottom"/>
            <w:tcBorders>
              <w:bottom w:val="single" w:sz="8" w:color="808080"/>
            </w:tcBorders>
            <w:gridSpan w:val="2"/>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r>
        <w:trPr>
          <w:trHeight w:val="780"/>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60" w:type="dxa"/>
            <w:vAlign w:val="bottom"/>
            <w:gridSpan w:val="2"/>
          </w:tcPr>
          <w:p>
            <w:pPr>
              <w:ind w:left="3380"/>
              <w:spacing w:after="0"/>
              <w:rPr>
                <w:sz w:val="20"/>
                <w:szCs w:val="20"/>
                <w:color w:val="auto"/>
              </w:rPr>
            </w:pPr>
            <w:r>
              <w:rPr>
                <w:rFonts w:ascii="Arial" w:cs="Arial" w:eastAsia="Arial" w:hAnsi="Arial"/>
                <w:sz w:val="18"/>
                <w:szCs w:val="18"/>
                <w:b w:val="1"/>
                <w:bCs w:val="1"/>
                <w:color w:val="auto"/>
              </w:rPr>
              <w:t>INDEX TO EXHIBITS</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860" w:type="dxa"/>
            <w:vAlign w:val="bottom"/>
            <w:gridSpan w:val="2"/>
            <w:vMerge w:val="restart"/>
          </w:tcPr>
          <w:p>
            <w:pPr>
              <w:ind w:left="46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No.</w:t>
            </w:r>
          </w:p>
        </w:tc>
        <w:tc>
          <w:tcPr>
            <w:tcW w:w="98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280" w:type="dxa"/>
            <w:vAlign w:val="bottom"/>
          </w:tcPr>
          <w:p>
            <w:pPr>
              <w:spacing w:after="0"/>
              <w:rPr>
                <w:sz w:val="24"/>
                <w:szCs w:val="24"/>
                <w:color w:val="auto"/>
              </w:rPr>
            </w:pPr>
          </w:p>
        </w:tc>
        <w:tc>
          <w:tcPr>
            <w:tcW w:w="49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2"/>
              </w:rPr>
              <w:t>Press Release issued by Veracyte, Inc. dated November 16, 2015.</w:t>
            </w:r>
          </w:p>
        </w:tc>
        <w:tc>
          <w:tcPr>
            <w:tcW w:w="49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40" w:type="dxa"/>
            <w:vAlign w:val="bottom"/>
          </w:tcPr>
          <w:p>
            <w:pPr>
              <w:ind w:left="4220"/>
              <w:spacing w:after="0"/>
              <w:rPr>
                <w:sz w:val="20"/>
                <w:szCs w:val="20"/>
                <w:color w:val="auto"/>
              </w:rPr>
            </w:pPr>
            <w:r>
              <w:rPr>
                <w:rFonts w:ascii="Arial" w:cs="Arial" w:eastAsia="Arial" w:hAnsi="Arial"/>
                <w:sz w:val="18"/>
                <w:szCs w:val="18"/>
                <w:color w:val="auto"/>
              </w:rPr>
              <w:t>4</w:t>
            </w:r>
          </w:p>
        </w:tc>
        <w:tc>
          <w:tcPr>
            <w:tcW w:w="4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4940" w:type="dxa"/>
            <w:vAlign w:val="bottom"/>
            <w:tcBorders>
              <w:bottom w:val="single" w:sz="8" w:color="808080"/>
            </w:tcBorders>
          </w:tcPr>
          <w:p>
            <w:pPr>
              <w:spacing w:after="0"/>
              <w:rPr>
                <w:sz w:val="11"/>
                <w:szCs w:val="11"/>
                <w:color w:val="auto"/>
              </w:rPr>
            </w:pPr>
          </w:p>
        </w:tc>
        <w:tc>
          <w:tcPr>
            <w:tcW w:w="492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-1504315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-1504315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Names Tina S. Nova, Ph.D. to Its Board of Directors</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SOUTH SAN FRANCISCO, Calif. — November 16, 2015 — Veracyte, Inc. (NASDAQ: VCYT), a molecular diagnostics company pioneering the field of molecular cytology, today announced that Tina S. Nova, Ph.D. has been appointed to its Board of Directors.</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Dr. Nova is a life science industry veteran with extensive experience building and leading novel genomics-based businesses. She currently serves as president and chief executive officer of Molecular Stethoscope, Inc., a newly formed molecular diagnostics company. Most recently, she was senior vice president and general manager of Illumina’s oncology business unit. From 2000 to 2014, Dr. Nova was a co-founder and director, president and chief executive officer of Genoptix Medical Laboratory, which was purchased by Novartis Pharmaceuticals Corporation for nearly $0.5 billion in 2011. She has also held senior positions with Nanogen, Inc., Ligand Pharmaceuticals, Inc. and Hybritech, Inc. Dr. Nova currently serves on the board of directors for Arena Pharmaceuticals and is vice chairman of the board of directors for the newly formed Rady Pediatric Genomics and Systems Medicine Institute, which is part of Rady Children’s Hospital-San Diego.</w:t>
      </w:r>
    </w:p>
    <w:p>
      <w:pPr>
        <w:spacing w:after="0" w:line="18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are delighted to have an industry leader of Dr. Nova’s caliber join the Veracyte Board,” said Bonnie Anderson, president and chief executive officer. “Her experience in building highly successful molecular diagnostics companies will be instrumental to Veracyte as we continue to grow our Afirma business and expand our molecular cytology franchise further into pulmonology, with the launch of our third product — targeting interstitial lung diseases — planned for 2016.”</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and is becoming a new standard of care in thyroid nodule assessment. The Afirma test is recommended in leading practice guidelines and is covered for nearly 155 million lives in the United States, including through Medicare and many commercial insurance 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 developing a second product in pulmonology, targeting interstitial lung diseases, including idiopathic pulmonary fibrosis. For more information, please visit www.veracyte.com.</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ind w:right="160"/>
        <w:spacing w:after="0" w:line="269" w:lineRule="auto"/>
        <w:rPr>
          <w:sz w:val="20"/>
          <w:szCs w:val="20"/>
          <w:color w:val="auto"/>
        </w:rPr>
      </w:pPr>
      <w:r>
        <w:rPr>
          <w:rFonts w:ascii="Arial" w:cs="Arial" w:eastAsia="Arial" w:hAnsi="Arial"/>
          <w:sz w:val="17"/>
          <w:szCs w:val="17"/>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regarding full-year 2015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continue our momentum and growth; our dependence on a few payers for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191770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significant portion of our revenue; the complexity, time and expense associated with billing and collecting from payers for our tests;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develop and commercialize new products and the timing of commercialization; our ability to successfully achieve adoption of and reimbursement for our Percepta Bronchial Genomic Classifier; our ability to achieve sales penetration in complex commercial accounts; the occurrence and outcome of clinical studies;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Quarterly Report on Form 10-Q for the quarter ended September 30, 2015. These forward-looking statements speak only as of the date hereof and Veracyte specifically disclaims any obligation to update these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the Veracyte logo, and the Afirma logo are trademarks or registered trademarks of Veracyte,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ectPr>
          <w:pgSz w:w="11900" w:h="16838" w:orient="portrait"/>
          <w:cols w:equalWidth="0" w:num="1">
            <w:col w:w="11420"/>
          </w:cols>
          <w:pgMar w:left="240" w:top="121" w:right="239" w:bottom="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619-849-6003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1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2019-12-08T18:51:11Z</dcterms:created>
  <dcterms:modified xsi:type="dcterms:W3CDTF">2019-12-08T18:51:11Z</dcterms:modified>
</cp:coreProperties>
</file>