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TO BE INCLUDED IN STATEMENTS FILED PURSUANT TO RULES 13d-1 (b), (c) AND (d) AND AMENDMENTS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THERETO FILED PURSUANT TO 13d-2 (b)</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92337F107</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sectPr>
      </w:pPr>
    </w:p>
    <w:bookmarkStart w:id="1" w:name="page2"/>
    <w:bookmarkEnd w:id="1"/>
    <w:p>
      <w:pPr>
        <w:ind w:left="1060" w:right="824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Versant Side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60" w:right="7740" w:hanging="620"/>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7,077 shares of Common Stock (2)</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7,077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7,077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71" w:lineRule="auto"/>
        <w:tabs>
          <w:tab w:leader="none" w:pos="25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Schedule 13G is filed by Versant Side Fund III, L.P., a Delaware limited partnership (“VSF III”), Versant Venture Capital III, L.P., a Delaware limited partnership (“VVC III”) and Versant Ventures III, LLC, a Delaware limited liability company (“VV III” and together with VSF III and VVC III, collectively, the “Reporting Persons”). The Reporting Persons expressly disclaim status as a “group” for purposes of this Schedule 13G.</w:t>
      </w:r>
    </w:p>
    <w:p>
      <w:pPr>
        <w:ind w:firstLine="8"/>
        <w:spacing w:after="0" w:line="253"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VV III serves as the sole general partner of VSF III and owns no securities of the Issuer directly. Brian G. Atwood (“BGA”), Samuel D. Colella (“SDC”), Ross A. Jaffe (“RAJ”), William J. Link (“WJL”), Donald B. Milder (“DBM”), Rebecca B. Robertson (“RBR”), Bradley J. Bolzon (“BJB”), Charles M. Warden (“CMW”), Robin L. Praeger (“RLP”) and Barbara N. Lubash (“BNL”) are managing directors and/or members of VV III and share voting and dispositive power over the shares held by VSF III. The information with respect to the ownership of the Common Stock by the Reporting Persons filing this statement on Schedule 13G is provided as of December 31, 2019.</w:t>
      </w:r>
    </w:p>
    <w:p>
      <w:pPr>
        <w:spacing w:after="0" w:line="2" w:lineRule="exact"/>
        <w:rPr>
          <w:rFonts w:ascii="Arial" w:cs="Arial" w:eastAsia="Arial" w:hAnsi="Arial"/>
          <w:sz w:val="18"/>
          <w:szCs w:val="18"/>
          <w:color w:val="auto"/>
        </w:rPr>
      </w:pPr>
    </w:p>
    <w:p>
      <w:pPr>
        <w:ind w:right="120" w:firstLine="8"/>
        <w:spacing w:after="0" w:line="276"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48,840,294 shares of Common Stock outstanding as of October 18, 2019 as set forth in the Issuer’s most recent 10-Q filed with the Securities and Exchange Commissions on October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-1699260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-2248535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-2797175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-1485265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p>
      <w:pPr>
        <w:ind w:left="1060" w:right="8060" w:hanging="620"/>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Versant Venture Capital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60" w:right="7740" w:hanging="620"/>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1,198,330 shares of Common Stock (2)</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1,198,330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1,198,330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2.5%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right="40" w:firstLine="8"/>
        <w:spacing w:after="0" w:line="287" w:lineRule="auto"/>
        <w:tabs>
          <w:tab w:leader="none" w:pos="2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VV III serves as the sole general partner of VVC III and owns no securities of the Issuer directly. BGA, SDC, RAJ, WJL, DBM, RBR, BJB, CMW, BNL and RLP are managing directors and/or members of VV III and share voting and dispositive power over the shares held by VVC III. The information with respect to the ownership of the Common Stock by the Reporting Persons filing this statement on Schedule 13G is provided as of December 31, 2019.</w:t>
      </w:r>
    </w:p>
    <w:p>
      <w:pPr>
        <w:spacing w:after="0" w:line="1" w:lineRule="exact"/>
        <w:rPr>
          <w:rFonts w:ascii="Arial" w:cs="Arial" w:eastAsia="Arial" w:hAnsi="Arial"/>
          <w:sz w:val="16"/>
          <w:szCs w:val="16"/>
          <w:color w:val="auto"/>
        </w:rPr>
      </w:pPr>
    </w:p>
    <w:p>
      <w:pPr>
        <w:ind w:right="120" w:firstLine="8"/>
        <w:spacing w:after="0" w:line="276"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upon 48,840,294 shares of Common Stock outstanding as of October 18, 2019 as set forth in the Issuer’s most recent 10-Q filed with the Securities and Exchange Commissions on October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-1150620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-1699260</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-2248535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ind w:left="1060" w:right="8300" w:hanging="620"/>
        <w:spacing w:after="0" w:line="34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Names of Reporting Persons Versant Ventures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60" w:right="7740" w:hanging="620"/>
        <w:spacing w:after="0" w:line="342" w:lineRule="auto"/>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1,205,407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1,205,407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1,205,407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2.5%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firstLine="8"/>
        <w:spacing w:after="0" w:line="254"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7,077 shares held by VSF III; and (ii) 1,198,330 shares held by VVC III. VV III serves as the sole general partner of VSF III and VVC III and owns no securities of the Issuer directly. BGA, SDC, RAJ, WJL, DBM, RBR, BJB, CMW, BNL and RLP are managing directors and/or members of VV III and share voting and dispositive power over the shares held by VSF III and VVC III. The information with respect to the ownership of the Common Stock by the Reporting Persons filing this statement on Schedule 13G is provided as of December 31, 2019.</w:t>
      </w:r>
    </w:p>
    <w:p>
      <w:pPr>
        <w:spacing w:after="0" w:line="1" w:lineRule="exact"/>
        <w:rPr>
          <w:rFonts w:ascii="Arial" w:cs="Arial" w:eastAsia="Arial" w:hAnsi="Arial"/>
          <w:sz w:val="18"/>
          <w:szCs w:val="18"/>
          <w:color w:val="auto"/>
        </w:rPr>
      </w:pPr>
    </w:p>
    <w:p>
      <w:pPr>
        <w:ind w:right="60" w:firstLine="8"/>
        <w:spacing w:after="0" w:line="276"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percentage is calculated based upon 48,840,294 shares of Common Stock outstanding as of October 18, 2019 as set forth in the Issuer’s most recent 10-Q filed with the Securities and Exchange Commissions on October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-1287780</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-1836420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-2385695</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-1073785</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Introductory Note: This Statement on Schedule 13G is filed on behalf of the Reporting Persons, in respect of shares of Common Stock, par value $0.0001 per share (“Common Stock”), of Veracyte, Inc. (the “Issuer”).</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40" w:right="8680" w:hanging="519"/>
        <w:spacing w:after="0" w:line="342" w:lineRule="auto"/>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 of Issuer: Veracyte, Inc.</w:t>
      </w:r>
    </w:p>
    <w:p>
      <w:pPr>
        <w:spacing w:after="0" w:line="29" w:lineRule="exact"/>
        <w:rPr>
          <w:rFonts w:ascii="Arial" w:cs="Arial" w:eastAsia="Arial" w:hAnsi="Arial"/>
          <w:sz w:val="16"/>
          <w:szCs w:val="16"/>
          <w:color w:val="auto"/>
        </w:rPr>
      </w:pPr>
    </w:p>
    <w:p>
      <w:pPr>
        <w:ind w:left="1540" w:right="6360"/>
        <w:spacing w:after="0" w:line="258" w:lineRule="auto"/>
        <w:rPr>
          <w:rFonts w:ascii="Arial" w:cs="Arial" w:eastAsia="Arial" w:hAnsi="Arial"/>
          <w:sz w:val="16"/>
          <w:szCs w:val="16"/>
          <w:color w:val="auto"/>
        </w:rPr>
      </w:pPr>
      <w:r>
        <w:rPr>
          <w:rFonts w:ascii="Arial" w:cs="Arial" w:eastAsia="Arial" w:hAnsi="Arial"/>
          <w:sz w:val="18"/>
          <w:szCs w:val="18"/>
          <w:color w:val="auto"/>
        </w:rPr>
        <w:t>Address of Issuer’s Principal Executive Offices: 6000 Shoreline Ct., Suite 300</w:t>
      </w:r>
    </w:p>
    <w:p>
      <w:pPr>
        <w:spacing w:after="0" w:line="1"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40005</wp:posOffset>
            </wp:positionV>
            <wp:extent cx="6311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-448310</wp:posOffset>
            </wp:positionV>
            <wp:extent cx="6311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40" w:hanging="51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3" w:lineRule="exact"/>
        <w:rPr>
          <w:rFonts w:ascii="Arial" w:cs="Arial" w:eastAsia="Arial" w:hAnsi="Arial"/>
          <w:sz w:val="18"/>
          <w:szCs w:val="18"/>
          <w:color w:val="auto"/>
        </w:rPr>
      </w:pPr>
    </w:p>
    <w:p>
      <w:pPr>
        <w:ind w:left="1540" w:right="6540"/>
        <w:spacing w:after="0" w:line="255" w:lineRule="auto"/>
        <w:rPr>
          <w:rFonts w:ascii="Arial" w:cs="Arial" w:eastAsia="Arial" w:hAnsi="Arial"/>
          <w:sz w:val="18"/>
          <w:szCs w:val="18"/>
          <w:color w:val="auto"/>
        </w:rPr>
      </w:pPr>
      <w:r>
        <w:rPr>
          <w:rFonts w:ascii="Arial" w:cs="Arial" w:eastAsia="Arial" w:hAnsi="Arial"/>
          <w:sz w:val="18"/>
          <w:szCs w:val="18"/>
          <w:color w:val="auto"/>
        </w:rPr>
        <w:t>Versant Side Fund III, L.P. (“VSF III”) Versant Venture Capital III, L.P. (“VVC III”) Versant Ventures III, LLC (“VV III”)</w:t>
      </w:r>
    </w:p>
    <w:p>
      <w:pPr>
        <w:spacing w:after="0" w:line="95" w:lineRule="exact"/>
        <w:rPr>
          <w:rFonts w:ascii="Arial" w:cs="Arial" w:eastAsia="Arial" w:hAnsi="Arial"/>
          <w:sz w:val="18"/>
          <w:szCs w:val="18"/>
          <w:color w:val="auto"/>
        </w:rPr>
      </w:pPr>
    </w:p>
    <w:p>
      <w:pPr>
        <w:ind w:left="1540" w:right="7100" w:hanging="519"/>
        <w:spacing w:after="0" w:line="258"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of Principal Business Office: c/o Versant Ventures</w:t>
      </w:r>
    </w:p>
    <w:p>
      <w:pPr>
        <w:spacing w:after="0" w:line="1" w:lineRule="exact"/>
        <w:rPr>
          <w:rFonts w:ascii="Arial" w:cs="Arial" w:eastAsia="Arial" w:hAnsi="Arial"/>
          <w:sz w:val="18"/>
          <w:szCs w:val="18"/>
          <w:color w:val="auto"/>
        </w:rPr>
      </w:pPr>
    </w:p>
    <w:p>
      <w:pPr>
        <w:ind w:left="1540" w:right="7500"/>
        <w:spacing w:after="0" w:line="323" w:lineRule="auto"/>
        <w:rPr>
          <w:rFonts w:ascii="Arial" w:cs="Arial" w:eastAsia="Arial" w:hAnsi="Arial"/>
          <w:sz w:val="18"/>
          <w:szCs w:val="18"/>
          <w:color w:val="auto"/>
        </w:rPr>
      </w:pPr>
      <w:r>
        <w:rPr>
          <w:rFonts w:ascii="Arial" w:cs="Arial" w:eastAsia="Arial" w:hAnsi="Arial"/>
          <w:sz w:val="16"/>
          <w:szCs w:val="16"/>
          <w:color w:val="auto"/>
        </w:rPr>
        <w:t>One Sansome Street, Suite 3630 San Francisco, CA 94104</w:t>
      </w:r>
    </w:p>
    <w:p>
      <w:pPr>
        <w:spacing w:after="0" w:line="30" w:lineRule="exact"/>
        <w:rPr>
          <w:rFonts w:ascii="Arial" w:cs="Arial" w:eastAsia="Arial" w:hAnsi="Arial"/>
          <w:sz w:val="18"/>
          <w:szCs w:val="18"/>
          <w:color w:val="auto"/>
        </w:rPr>
      </w:pPr>
    </w:p>
    <w:p>
      <w:pPr>
        <w:ind w:left="1540" w:hanging="51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-782320</wp:posOffset>
            </wp:positionV>
            <wp:extent cx="6311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259"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Entities:</w:t>
            </w:r>
          </w:p>
        </w:tc>
        <w:tc>
          <w:tcPr>
            <w:tcW w:w="1180" w:type="dxa"/>
            <w:vAlign w:val="bottom"/>
          </w:tcPr>
          <w:p>
            <w:pPr>
              <w:ind w:left="340"/>
              <w:spacing w:after="0"/>
              <w:rPr>
                <w:sz w:val="20"/>
                <w:szCs w:val="20"/>
                <w:color w:val="auto"/>
              </w:rPr>
            </w:pPr>
            <w:r>
              <w:rPr>
                <w:rFonts w:ascii="Arial" w:cs="Arial" w:eastAsia="Arial" w:hAnsi="Arial"/>
                <w:sz w:val="18"/>
                <w:szCs w:val="18"/>
                <w:color w:val="auto"/>
              </w:rPr>
              <w:t>VSF III</w:t>
            </w:r>
          </w:p>
        </w:tc>
        <w:tc>
          <w:tcPr>
            <w:tcW w:w="3160" w:type="dxa"/>
            <w:vAlign w:val="bottom"/>
            <w:gridSpan w:val="2"/>
          </w:tcPr>
          <w:p>
            <w:pPr>
              <w:ind w:left="260"/>
              <w:spacing w:after="0"/>
              <w:rPr>
                <w:sz w:val="20"/>
                <w:szCs w:val="20"/>
                <w:color w:val="auto"/>
              </w:rPr>
            </w:pPr>
            <w:r>
              <w:rPr>
                <w:rFonts w:ascii="Arial" w:cs="Arial" w:eastAsia="Arial" w:hAnsi="Arial"/>
                <w:sz w:val="18"/>
                <w:szCs w:val="18"/>
                <w:color w:val="auto"/>
                <w:w w:val="94"/>
              </w:rPr>
              <w:t>-   Delaware, United States of America</w:t>
            </w:r>
          </w:p>
        </w:tc>
      </w:tr>
      <w:tr>
        <w:trPr>
          <w:trHeight w:val="216"/>
        </w:trPr>
        <w:tc>
          <w:tcPr>
            <w:tcW w:w="940" w:type="dxa"/>
            <w:vAlign w:val="bottom"/>
          </w:tcPr>
          <w:p>
            <w:pPr>
              <w:spacing w:after="0"/>
              <w:rPr>
                <w:sz w:val="18"/>
                <w:szCs w:val="18"/>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VVC III</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w w:val="91"/>
              </w:rPr>
              <w:t>Delaware, United States of America</w:t>
            </w:r>
          </w:p>
        </w:tc>
      </w:tr>
      <w:tr>
        <w:trPr>
          <w:trHeight w:val="230"/>
        </w:trPr>
        <w:tc>
          <w:tcPr>
            <w:tcW w:w="940" w:type="dxa"/>
            <w:vAlign w:val="bottom"/>
          </w:tcPr>
          <w:p>
            <w:pPr>
              <w:spacing w:after="0"/>
              <w:rPr>
                <w:sz w:val="20"/>
                <w:szCs w:val="20"/>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VV III</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w w:val="91"/>
              </w:rPr>
              <w:t>Delaware, United States of America</w:t>
            </w:r>
          </w:p>
        </w:tc>
      </w:tr>
    </w:tbl>
    <w:p>
      <w:pPr>
        <w:spacing w:after="0" w:line="4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48895</wp:posOffset>
            </wp:positionV>
            <wp:extent cx="63119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111" w:lineRule="exact"/>
        <w:rPr>
          <w:sz w:val="20"/>
          <w:szCs w:val="20"/>
          <w:color w:val="auto"/>
        </w:rPr>
      </w:pPr>
    </w:p>
    <w:p>
      <w:pPr>
        <w:ind w:left="1540" w:right="7860" w:hanging="519"/>
        <w:spacing w:after="0" w:line="342" w:lineRule="auto"/>
        <w:tabs>
          <w:tab w:leader="none" w:pos="1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40" w:right="8640" w:hanging="519"/>
        <w:spacing w:after="0" w:line="342" w:lineRule="auto"/>
        <w:tabs>
          <w:tab w:leader="none" w:pos="1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CUSIP Number: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-14605</wp:posOffset>
            </wp:positionV>
            <wp:extent cx="63119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-366395</wp:posOffset>
            </wp:positionV>
            <wp:extent cx="63119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316"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Not applicable.</w:t>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 w:name="page6"/>
    <w:bookmarkEnd w:id="5"/>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right="220"/>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by the Reporting Persons filing this statement on Schedule 13G is provided as of December 31,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Sole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Sole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Shared</w:t>
            </w:r>
          </w:p>
        </w:tc>
        <w:tc>
          <w:tcPr>
            <w:tcW w:w="13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Beneficial</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Persons</w:t>
            </w:r>
          </w:p>
        </w:tc>
        <w:tc>
          <w:tcPr>
            <w:tcW w:w="240" w:type="dxa"/>
            <w:vAlign w:val="bottom"/>
            <w:vMerge w:val="restart"/>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Held</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Voting</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Voting</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34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of Class</w:t>
            </w:r>
          </w:p>
        </w:tc>
        <w:tc>
          <w:tcPr>
            <w:tcW w:w="0" w:type="dxa"/>
            <w:vAlign w:val="bottom"/>
          </w:tcPr>
          <w:p>
            <w:pPr>
              <w:spacing w:after="0"/>
              <w:rPr>
                <w:sz w:val="1"/>
                <w:szCs w:val="1"/>
                <w:color w:val="auto"/>
              </w:rPr>
            </w:pPr>
          </w:p>
        </w:tc>
      </w:tr>
      <w:tr>
        <w:trPr>
          <w:trHeight w:val="171"/>
        </w:trPr>
        <w:tc>
          <w:tcPr>
            <w:tcW w:w="1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Directly</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Ownership</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VSF III</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VVC III</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1,198,330</w:t>
            </w:r>
          </w:p>
        </w:tc>
        <w:tc>
          <w:tcPr>
            <w:tcW w:w="1140" w:type="dxa"/>
            <w:vAlign w:val="bottom"/>
          </w:tcPr>
          <w:p>
            <w:pPr>
              <w:jc w:val="right"/>
              <w:spacing w:after="0"/>
              <w:rPr>
                <w:sz w:val="20"/>
                <w:szCs w:val="20"/>
                <w:color w:val="auto"/>
              </w:rPr>
            </w:pPr>
            <w:r>
              <w:rPr>
                <w:rFonts w:ascii="Arial" w:cs="Arial" w:eastAsia="Arial" w:hAnsi="Arial"/>
                <w:sz w:val="18"/>
                <w:szCs w:val="18"/>
                <w:color w:val="auto"/>
              </w:rPr>
              <w:t>1,198,330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1,198,330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1,198,330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VV III</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1,205,407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1,205,407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1,205,407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340" w:right="40" w:hanging="332"/>
        <w:spacing w:after="0" w:line="264"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VV III serves as the sole general partner of VSF III and VVC III and owns no securities of the Issuer directly. BGA, SDC, RAJ, WJL, DBM, RBR, BJB, CMW, BNL and RLP are managing directors and/or members of VV III and share voting and dispositive power over the shares held by VSF III and VVC III.</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percentage is calculated based upon 48,840,294 shares of Common Stock outstanding as of October 18, 2019.</w:t>
      </w:r>
    </w:p>
    <w:p>
      <w:pPr>
        <w:spacing w:after="0" w:line="30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4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10280" w:type="dxa"/>
            <w:vAlign w:val="bottom"/>
          </w:tcPr>
          <w:p>
            <w:pPr>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11460" w:type="dxa"/>
            <w:vAlign w:val="bottom"/>
            <w:gridSpan w:val="2"/>
          </w:tcPr>
          <w:p>
            <w:pPr>
              <w:ind w:left="60"/>
              <w:spacing w:after="0"/>
              <w:rPr>
                <w:sz w:val="20"/>
                <w:szCs w:val="20"/>
                <w:color w:val="auto"/>
              </w:rPr>
            </w:pPr>
            <w:r>
              <w:rPr>
                <w:rFonts w:ascii="Arial" w:cs="Arial" w:eastAsia="Arial" w:hAnsi="Arial"/>
                <w:sz w:val="18"/>
                <w:szCs w:val="18"/>
                <w:color w:val="auto"/>
              </w:rPr>
              <w:t>See Items 2(a) and 4.</w:t>
            </w:r>
          </w:p>
        </w:tc>
      </w:tr>
      <w:tr>
        <w:trPr>
          <w:trHeight w:val="630"/>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280" w:type="dxa"/>
            <w:vAlign w:val="bottom"/>
          </w:tcPr>
          <w:p>
            <w:pPr>
              <w:spacing w:after="0"/>
              <w:rPr>
                <w:sz w:val="20"/>
                <w:szCs w:val="20"/>
                <w:color w:val="auto"/>
              </w:rPr>
            </w:pPr>
            <w:r>
              <w:rPr>
                <w:rFonts w:ascii="Arial" w:cs="Arial" w:eastAsia="Arial" w:hAnsi="Arial"/>
                <w:sz w:val="18"/>
                <w:szCs w:val="18"/>
                <w:b w:val="1"/>
                <w:bCs w:val="1"/>
                <w:color w:val="auto"/>
                <w:w w:val="99"/>
              </w:rPr>
              <w:t>Identification and Classification of the Subsidiary Which Acquired the Security Being Reported on By the Parent Holding</w:t>
            </w:r>
          </w:p>
        </w:tc>
      </w:tr>
      <w:tr>
        <w:trPr>
          <w:trHeight w:val="234"/>
        </w:trPr>
        <w:tc>
          <w:tcPr>
            <w:tcW w:w="1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b w:val="1"/>
                <w:bCs w:val="1"/>
                <w:color w:val="auto"/>
              </w:rPr>
              <w:t>Company.</w:t>
            </w:r>
          </w:p>
        </w:tc>
      </w:tr>
      <w:tr>
        <w:trPr>
          <w:trHeight w:val="324"/>
        </w:trPr>
        <w:tc>
          <w:tcPr>
            <w:tcW w:w="1180" w:type="dxa"/>
            <w:vAlign w:val="bottom"/>
          </w:tcPr>
          <w:p>
            <w:pPr>
              <w:ind w:left="60"/>
              <w:spacing w:after="0"/>
              <w:rPr>
                <w:sz w:val="20"/>
                <w:szCs w:val="20"/>
                <w:color w:val="auto"/>
              </w:rPr>
            </w:pPr>
            <w:r>
              <w:rPr>
                <w:rFonts w:ascii="Arial" w:cs="Arial" w:eastAsia="Arial" w:hAnsi="Arial"/>
                <w:sz w:val="18"/>
                <w:szCs w:val="18"/>
                <w:color w:val="auto"/>
                <w:w w:val="92"/>
              </w:rPr>
              <w:t>Not applicable.</w:t>
            </w:r>
          </w:p>
        </w:tc>
        <w:tc>
          <w:tcPr>
            <w:tcW w:w="10280" w:type="dxa"/>
            <w:vAlign w:val="bottom"/>
          </w:tcPr>
          <w:p>
            <w:pPr>
              <w:spacing w:after="0"/>
              <w:rPr>
                <w:sz w:val="24"/>
                <w:szCs w:val="24"/>
                <w:color w:val="auto"/>
              </w:rPr>
            </w:pPr>
          </w:p>
        </w:tc>
      </w:tr>
      <w:tr>
        <w:trPr>
          <w:trHeight w:val="64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280" w:type="dxa"/>
            <w:vAlign w:val="bottom"/>
          </w:tcPr>
          <w:p>
            <w:pPr>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1180" w:type="dxa"/>
            <w:vAlign w:val="bottom"/>
          </w:tcPr>
          <w:p>
            <w:pPr>
              <w:ind w:left="60"/>
              <w:spacing w:after="0"/>
              <w:rPr>
                <w:sz w:val="20"/>
                <w:szCs w:val="20"/>
                <w:color w:val="auto"/>
              </w:rPr>
            </w:pPr>
            <w:r>
              <w:rPr>
                <w:rFonts w:ascii="Arial" w:cs="Arial" w:eastAsia="Arial" w:hAnsi="Arial"/>
                <w:sz w:val="18"/>
                <w:szCs w:val="18"/>
                <w:color w:val="auto"/>
                <w:w w:val="92"/>
              </w:rPr>
              <w:t>Not applicable.</w:t>
            </w:r>
          </w:p>
        </w:tc>
        <w:tc>
          <w:tcPr>
            <w:tcW w:w="10280" w:type="dxa"/>
            <w:vAlign w:val="bottom"/>
          </w:tcPr>
          <w:p>
            <w:pPr>
              <w:spacing w:after="0"/>
              <w:rPr>
                <w:sz w:val="24"/>
                <w:szCs w:val="24"/>
                <w:color w:val="auto"/>
              </w:rPr>
            </w:pPr>
          </w:p>
        </w:tc>
      </w:tr>
      <w:tr>
        <w:trPr>
          <w:trHeight w:val="64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280" w:type="dxa"/>
            <w:vAlign w:val="bottom"/>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1180" w:type="dxa"/>
            <w:vAlign w:val="bottom"/>
          </w:tcPr>
          <w:p>
            <w:pPr>
              <w:ind w:left="60"/>
              <w:spacing w:after="0"/>
              <w:rPr>
                <w:sz w:val="20"/>
                <w:szCs w:val="20"/>
                <w:color w:val="auto"/>
              </w:rPr>
            </w:pPr>
            <w:r>
              <w:rPr>
                <w:rFonts w:ascii="Arial" w:cs="Arial" w:eastAsia="Arial" w:hAnsi="Arial"/>
                <w:sz w:val="18"/>
                <w:szCs w:val="18"/>
                <w:color w:val="auto"/>
                <w:w w:val="92"/>
              </w:rPr>
              <w:t>Not applicable.</w:t>
            </w:r>
          </w:p>
        </w:tc>
        <w:tc>
          <w:tcPr>
            <w:tcW w:w="1028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10280" w:type="dxa"/>
            <w:vAlign w:val="bottom"/>
          </w:tcPr>
          <w:p>
            <w:pPr>
              <w:ind w:left="4480"/>
              <w:spacing w:after="0"/>
              <w:rPr>
                <w:sz w:val="20"/>
                <w:szCs w:val="20"/>
                <w:color w:val="auto"/>
              </w:rPr>
            </w:pPr>
            <w:r>
              <w:rPr>
                <w:rFonts w:ascii="Arial" w:cs="Arial" w:eastAsia="Arial" w:hAnsi="Arial"/>
                <w:sz w:val="18"/>
                <w:szCs w:val="18"/>
                <w:color w:val="auto"/>
              </w:rPr>
              <w:t>6</w:t>
            </w:r>
          </w:p>
        </w:tc>
      </w:tr>
      <w:tr>
        <w:trPr>
          <w:trHeight w:val="132"/>
        </w:trPr>
        <w:tc>
          <w:tcPr>
            <w:tcW w:w="1180" w:type="dxa"/>
            <w:vAlign w:val="bottom"/>
            <w:tcBorders>
              <w:bottom w:val="single" w:sz="8" w:color="808080"/>
            </w:tcBorders>
          </w:tcPr>
          <w:p>
            <w:pPr>
              <w:spacing w:after="0"/>
              <w:rPr>
                <w:sz w:val="11"/>
                <w:szCs w:val="11"/>
                <w:color w:val="auto"/>
              </w:rPr>
            </w:pPr>
          </w:p>
        </w:tc>
        <w:tc>
          <w:tcPr>
            <w:tcW w:w="102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1" w:right="199" w:bottom="1440" w:gutter="0" w:footer="0" w:header="0"/>
        </w:sectPr>
      </w:pPr>
    </w:p>
    <w:bookmarkStart w:id="6" w:name="page7"/>
    <w:bookmarkEnd w:id="6"/>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14,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III, L.P.</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Versant Ventures III, LLC</w:t>
      </w:r>
    </w:p>
    <w:p>
      <w:pPr>
        <w:spacing w:after="0" w:line="2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10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III, L.P.</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Versant Ventures III, LLC</w:t>
      </w:r>
    </w:p>
    <w:p>
      <w:pPr>
        <w:spacing w:after="0" w:line="2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10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III,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10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240" w:top="391" w:right="5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Joint Filing Statement</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8" w:name="page9"/>
    <w:bookmarkEnd w:id="8"/>
    <w:p>
      <w:pPr>
        <w:jc w:val="center"/>
        <w:ind w:right="-89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JOINT FILING STATEMENT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relating to the Common Stock of Veracyte, Inc. is filed on behalf of each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r>
              <w:rPr>
                <w:rFonts w:ascii="Arial" w:cs="Arial" w:eastAsia="Arial" w:hAnsi="Arial"/>
                <w:sz w:val="18"/>
                <w:szCs w:val="18"/>
                <w:color w:val="auto"/>
              </w:rPr>
              <w:t>Versant Ventures III,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6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5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r>
              <w:rPr>
                <w:rFonts w:ascii="Arial" w:cs="Arial" w:eastAsia="Arial" w:hAnsi="Arial"/>
                <w:sz w:val="18"/>
                <w:szCs w:val="18"/>
                <w:color w:val="auto"/>
              </w:rPr>
              <w:t>Versant Ventures III,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6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5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Versant Ventures III, LLC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5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1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540"/>
      </w:cols>
      <w:pgMar w:left="240" w:top="341"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lvl w:ilvl="1">
      <w:lvlJc w:val="left"/>
      <w:lvlText w:val="(%2)"/>
      <w:numFmt w:val="lowerLetter"/>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9"/>
      <w:numFmt w:val="bullet"/>
      <w:start w:val="1"/>
    </w:lvl>
  </w:abstractNum>
  <w:abstractNum w:abstractNumId="6">
    <w:nsid w:val="4E6AFB66"/>
    <w:multiLevelType w:val="hybridMultilevel"/>
    <w:lvl w:ilvl="0">
      <w:lvlJc w:val="left"/>
      <w:lvlText w:val="%1"/>
      <w:numFmt w:val="decimal"/>
      <w:start w:val="1"/>
    </w:lvl>
    <w:lvl w:ilvl="1">
      <w:lvlJc w:val="left"/>
      <w:lvlText w:val="%2"/>
      <w:numFmt w:val="decimal"/>
      <w:start w:val="10"/>
    </w:lvl>
  </w:abstractNum>
  <w:abstractNum w:abstractNumId="7">
    <w:nsid w:val="25E45D32"/>
    <w:multiLevelType w:val="hybridMultilevel"/>
    <w:lvl w:ilvl="0">
      <w:lvlJc w:val="left"/>
      <w:lvlText w:val="(%1)"/>
      <w:numFmt w:val="decimal"/>
      <w:start w:val="1"/>
    </w:lvl>
    <w:lvl w:ilvl="1">
      <w:lvlJc w:val="left"/>
      <w:lvlText w:val="%2"/>
      <w:numFmt w:val="decimal"/>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2"/>
      <w:numFmt w:val="bullet"/>
      <w:start w:val="1"/>
    </w:lvl>
    <w:lvl w:ilvl="1">
      <w:lvlJc w:val="left"/>
      <w:lvlText w:val="(%2)"/>
      <w:numFmt w:val="lowerLetter"/>
      <w:start w:val="1"/>
    </w:lvl>
  </w:abstractNum>
  <w:abstractNum w:abstractNumId="10">
    <w:nsid w:val="3F2DBA31"/>
    <w:multiLevelType w:val="hybridMultilevel"/>
    <w:lvl w:ilvl="0">
      <w:lvlJc w:val="left"/>
      <w:lvlText w:val="3"/>
      <w:numFmt w:val="bullet"/>
      <w:start w:val="1"/>
    </w:lvl>
  </w:abstractNum>
  <w:abstractNum w:abstractNumId="11">
    <w:nsid w:val="7C83E458"/>
    <w:multiLevelType w:val="hybridMultilevel"/>
    <w:lvl w:ilvl="0">
      <w:lvlJc w:val="left"/>
      <w:lvlText w:val="4"/>
      <w:numFmt w:val="bullet"/>
      <w:start w:val="1"/>
    </w:lvl>
  </w:abstractNum>
  <w:abstractNum w:abstractNumId="12">
    <w:nsid w:val="257130A3"/>
    <w:multiLevelType w:val="hybridMultilevel"/>
    <w:lvl w:ilvl="0">
      <w:lvlJc w:val="left"/>
      <w:lvlText w:val="9"/>
      <w:numFmt w:val="bullet"/>
      <w:start w:val="1"/>
    </w:lvl>
  </w:abstractNum>
  <w:abstractNum w:abstractNumId="13">
    <w:nsid w:val="62BBD95A"/>
    <w:multiLevelType w:val="hybridMultilevel"/>
    <w:lvl w:ilvl="0">
      <w:lvlJc w:val="left"/>
      <w:lvlText w:val="%1"/>
      <w:numFmt w:val="decimal"/>
      <w:start w:val="1"/>
    </w:lvl>
    <w:lvl w:ilvl="1">
      <w:lvlJc w:val="left"/>
      <w:lvlText w:val="%2"/>
      <w:numFmt w:val="decimal"/>
      <w:start w:val="10"/>
    </w:lvl>
  </w:abstractNum>
  <w:abstractNum w:abstractNumId="14">
    <w:nsid w:val="436C6125"/>
    <w:multiLevelType w:val="hybridMultilevel"/>
    <w:lvl w:ilvl="0">
      <w:lvlJc w:val="left"/>
      <w:lvlText w:val="(%1)"/>
      <w:numFmt w:val="decimal"/>
      <w:start w:val="1"/>
    </w:lvl>
    <w:lvl w:ilvl="1">
      <w:lvlJc w:val="left"/>
      <w:lvlText w:val="%2"/>
      <w:numFmt w:val="decimal"/>
      <w:start w:val="1"/>
    </w:lvl>
  </w:abstractNum>
  <w:abstractNum w:abstractNumId="15">
    <w:nsid w:val="628C895D"/>
    <w:multiLevelType w:val="hybridMultilevel"/>
    <w:lvl w:ilvl="0">
      <w:lvlJc w:val="left"/>
      <w:lvlText w:val="1"/>
      <w:numFmt w:val="bullet"/>
      <w:start w:val="1"/>
    </w:lvl>
  </w:abstractNum>
  <w:abstractNum w:abstractNumId="16">
    <w:nsid w:val="333AB105"/>
    <w:multiLevelType w:val="hybridMultilevel"/>
    <w:lvl w:ilvl="0">
      <w:lvlJc w:val="left"/>
      <w:lvlText w:val="2"/>
      <w:numFmt w:val="bullet"/>
      <w:start w:val="1"/>
    </w:lvl>
    <w:lvl w:ilvl="1">
      <w:lvlJc w:val="left"/>
      <w:lvlText w:val="(%2)"/>
      <w:numFmt w:val="lowerLetter"/>
      <w:start w:val="1"/>
    </w:lvl>
  </w:abstractNum>
  <w:abstractNum w:abstractNumId="17">
    <w:nsid w:val="721DA317"/>
    <w:multiLevelType w:val="hybridMultilevel"/>
    <w:lvl w:ilvl="0">
      <w:lvlJc w:val="left"/>
      <w:lvlText w:val="3"/>
      <w:numFmt w:val="bullet"/>
      <w:start w:val="1"/>
    </w:lvl>
  </w:abstractNum>
  <w:abstractNum w:abstractNumId="18">
    <w:nsid w:val="2443A858"/>
    <w:multiLevelType w:val="hybridMultilevel"/>
    <w:lvl w:ilvl="0">
      <w:lvlJc w:val="left"/>
      <w:lvlText w:val="4"/>
      <w:numFmt w:val="bullet"/>
      <w:start w:val="1"/>
    </w:lvl>
  </w:abstractNum>
  <w:abstractNum w:abstractNumId="19">
    <w:nsid w:val="2D1D5AE9"/>
    <w:multiLevelType w:val="hybridMultilevel"/>
    <w:lvl w:ilvl="0">
      <w:lvlJc w:val="left"/>
      <w:lvlText w:val="9"/>
      <w:numFmt w:val="bullet"/>
      <w:start w:val="1"/>
    </w:lvl>
  </w:abstractNum>
  <w:abstractNum w:abstractNumId="20">
    <w:nsid w:val="6763845E"/>
    <w:multiLevelType w:val="hybridMultilevel"/>
    <w:lvl w:ilvl="0">
      <w:lvlJc w:val="left"/>
      <w:lvlText w:val="%1"/>
      <w:numFmt w:val="decimal"/>
      <w:start w:val="1"/>
    </w:lvl>
    <w:lvl w:ilvl="1">
      <w:lvlJc w:val="left"/>
      <w:lvlText w:val="%2"/>
      <w:numFmt w:val="decimal"/>
      <w:start w:val="10"/>
    </w:lvl>
  </w:abstractNum>
  <w:abstractNum w:abstractNumId="21">
    <w:nsid w:val="75A2A8D4"/>
    <w:multiLevelType w:val="hybridMultilevel"/>
    <w:lvl w:ilvl="0">
      <w:lvlJc w:val="left"/>
      <w:lvlText w:val="(%1)"/>
      <w:numFmt w:val="decimal"/>
      <w:start w:val="1"/>
    </w:lvl>
    <w:lvl w:ilvl="1">
      <w:lvlJc w:val="left"/>
      <w:lvlText w:val="%2"/>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4"/>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2020-02-14T10:22:29Z</dcterms:created>
  <dcterms:modified xsi:type="dcterms:W3CDTF">2020-02-14T10:22:29Z</dcterms:modified>
</cp:coreProperties>
</file>