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18.23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60,353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248, 372, and 388 shares of common stock to satisfy the reporting person's tax withholding obligations in connection with the vesting of 500, 750 and 781 Restricted Stock Units, respectively, granted on February 28, 2019, February 28, 2020 and February 26, 2021,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06/06/2022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2022-06-06T15:28:23Z</dcterms:created>
  <dcterms:modified xsi:type="dcterms:W3CDTF">2022-06-06T15:28:23Z</dcterms:modified>
</cp:coreProperties>
</file>