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 No. 333-204368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selling stockholders identified in this prospectus may sell up to an aggregate of 4,907,975 shares of our common stock.</w:t>
      </w:r>
    </w:p>
    <w:p>
      <w:pPr>
        <w:spacing w:after="0" w:line="225"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Our registration of the shares of our common stock covered by this prospectus does not mean that the selling stockholders will offer or sell any of the shares of our common stock. The selling stockholders may sell the shares of our common stock covered by this prospectus in a number of different ways and at varying prices. For additional information on the possible methods of sale that may be used by the selling stockholders, you should refer to the information under the heading “Plan of Distribution” on page 4 of this prospectus. We will not receive any of the proceeds from the sale of the shares of our common stock by the selling stockholders.</w:t>
      </w:r>
    </w:p>
    <w:p>
      <w:pPr>
        <w:spacing w:after="0" w:line="188"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March 22, 2016, the last reported sale price of our common stock on The NASDAQ Global Market was $4.58 per share.</w:t>
      </w:r>
    </w:p>
    <w:p>
      <w:pPr>
        <w:spacing w:after="0" w:line="157" w:lineRule="exact"/>
        <w:rPr>
          <w:sz w:val="24"/>
          <w:szCs w:val="24"/>
          <w:color w:val="auto"/>
        </w:rPr>
      </w:pPr>
    </w:p>
    <w:p>
      <w:pPr>
        <w:ind w:right="560" w:firstLine="648"/>
        <w:spacing w:after="0" w:line="335" w:lineRule="auto"/>
        <w:rPr>
          <w:sz w:val="20"/>
          <w:szCs w:val="20"/>
          <w:color w:val="auto"/>
        </w:rPr>
      </w:pPr>
      <w:r>
        <w:rPr>
          <w:rFonts w:ascii="Arial" w:cs="Arial" w:eastAsia="Arial" w:hAnsi="Arial"/>
          <w:sz w:val="19"/>
          <w:szCs w:val="19"/>
          <w:b w:val="1"/>
          <w:bCs w:val="1"/>
          <w:color w:val="auto"/>
        </w:rPr>
        <w:t>Investing in our securities involves risks. See the section entitled “Risk Factors” beginning on page 2 and in the documents we incorporate by reference in this prospectus before making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144780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gridSpan w:val="5"/>
          </w:tcPr>
          <w:p>
            <w:pPr>
              <w:jc w:val="right"/>
              <w:ind w:right="4100"/>
              <w:spacing w:after="0"/>
              <w:rPr>
                <w:sz w:val="20"/>
                <w:szCs w:val="20"/>
                <w:color w:val="auto"/>
              </w:rPr>
            </w:pPr>
            <w:r>
              <w:rPr>
                <w:rFonts w:ascii="Arial" w:cs="Arial" w:eastAsia="Arial" w:hAnsi="Arial"/>
                <w:sz w:val="18"/>
                <w:szCs w:val="18"/>
                <w:color w:val="auto"/>
              </w:rPr>
              <w:t>The date of this prospectus is March 22, 2016</w:t>
            </w:r>
          </w:p>
        </w:tc>
      </w:tr>
      <w:tr>
        <w:trPr>
          <w:trHeight w:val="348"/>
        </w:trPr>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2880" w:type="dxa"/>
            <w:vAlign w:val="bottom"/>
            <w:gridSpan w:val="1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180" w:type="dxa"/>
            <w:vAlign w:val="bottom"/>
            <w:gridSpan w:val="4"/>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Risk Factors</w:t>
              </w:r>
            </w:hyperlink>
          </w:p>
        </w:tc>
        <w:tc>
          <w:tcPr>
            <w:tcW w:w="1960" w:type="dxa"/>
            <w:vAlign w:val="bottom"/>
            <w:gridSpan w:val="8"/>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Veracyte, Inc.</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Forward-Looking Statements</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Selling Stockholders</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1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24"/>
                <w:szCs w:val="24"/>
                <w:color w:val="auto"/>
              </w:rPr>
            </w:pPr>
          </w:p>
        </w:tc>
        <w:tc>
          <w:tcPr>
            <w:tcW w:w="1380" w:type="dxa"/>
            <w:vAlign w:val="bottom"/>
            <w:gridSpan w:val="2"/>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Legal Matters</w:t>
              </w:r>
            </w:hyperlink>
          </w:p>
        </w:tc>
        <w:tc>
          <w:tcPr>
            <w:tcW w:w="1860" w:type="dxa"/>
            <w:vAlign w:val="bottom"/>
            <w:gridSpan w:val="6"/>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Experts</w:t>
              </w:r>
            </w:hyperlink>
          </w:p>
        </w:tc>
        <w:tc>
          <w:tcPr>
            <w:tcW w:w="2320" w:type="dxa"/>
            <w:vAlign w:val="bottom"/>
            <w:gridSpan w:val="9"/>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28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Where You Can Find More Information</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34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-3585845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-3585845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122" w:gutter="0" w:footer="0" w:header="0"/>
        </w:sectPr>
      </w:pPr>
    </w:p>
    <w:bookmarkStart w:id="1" w:name="page2"/>
    <w:bookmarkEnd w:id="1"/>
    <w:p>
      <w:pPr>
        <w:spacing w:after="0" w:line="1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“Veracyte,” the “company,” “we,” “us” and “our” refer to Veracyte, Inc. and its subsidiaries.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When we refer to the selling stockholders in this prospectus, we are referring to the stockholders identified in the table under the heading “Selling Stockholders” herein as well as their donees, pledgees, transferees or other successors-in-interest that received shares of our common stock after the date of this prospectus from the selling stockholders pursuant to a gift, a pledge, a partnership distribution or other transfer (other than a public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Investing in our common stock involves risk. Prior to making a decision about investing in our common stock, you should carefully consider all of the information appearing or incorporated by reference in this prospectus, including the risk factors incorporated by reference to our most recent Annual Report on Form 10-K, Quarterly Reports on Form 10-Q and Current Reports on Form 8-K. The occurrence of any of these risks or additional risks and uncertainties that are not currently known to us or that we currently consider immaterial may cause you to lose all or part of your investment in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molecular diagnostics company that uses novel genomics to resolve the critical healthcare problem of diagnostic ambiguity. We believe that diagnostic ambiguity results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such unnecessary invasive procedures and surgeries while reducing healthcare costs. Our first commercial solution, the Afirma Thyroid FNA Analysis, was launched in 2011 for use in thyroid cancer diagnosis, and we launched the Percepta Bronchial Genomic Classifier, designed to improve the preoperative diagnosis of lung cancer, in April 2015. We plan to expand our footprint in pulmonology with the launch of a product designed to preoperatively identify idiopathic pulmonary fibrosis, among patients presenting with a suspected interstitial lung disease, in the fourth quarter of 2016.</w:t>
      </w:r>
    </w:p>
    <w:p>
      <w:pPr>
        <w:spacing w:after="0" w:line="17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will not receive any proceeds from the sale of the shares by the selling stockholders. All proceeds from the sale of the shares will be for the accounts of the selling stockholders. See “Selling Stockholders” and “Plan of Distribution.”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April 28, 2015, we sold to the selling stockholders 4,907,975 shares of our common stock in a private placement, pursuant to a securities purchase agreement with the selling stockholders. The registration statement to which this prospectus relates is being filed pursuant to a registration rights agreement we entered into with the selling stockholders.</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sets forth, to our knowledge, certain information as of March 7, 2016 regarding the beneficial ownership of our common stock by the selling stockholders and the shares being offered by the selling stockholders. Unless otherwise indicated, information with respect to beneficial</w:t>
      </w:r>
    </w:p>
    <w:p>
      <w:pPr>
        <w:sectPr>
          <w:pgSz w:w="11900" w:h="16975" w:orient="portrait"/>
          <w:cols w:equalWidth="0" w:num="1">
            <w:col w:w="11420"/>
          </w:cols>
          <w:pgMar w:left="240" w:top="557" w:right="239" w:bottom="0" w:gutter="0" w:footer="0" w:header="0"/>
        </w:sectPr>
      </w:pPr>
    </w:p>
    <w:bookmarkStart w:id="2" w:name="page3"/>
    <w:bookmarkEnd w:id="2"/>
    <w:p>
      <w:pPr>
        <w:spacing w:after="0" w:line="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ownership is based upon information obtained from the selling stockholders as of March 11, 2016. Information with respect to shares owned beneficially after the offering assumes the sale of all of the shares offered and no other purchases or sales of our common stock. The selling stockholders may offer and sell some, all or none of their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1"/>
              </w:rPr>
              <w:t>Shares Beneficially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72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center"/>
              <w:ind w:left="856"/>
              <w:spacing w:after="0" w:line="149" w:lineRule="exact"/>
              <w:rPr>
                <w:sz w:val="20"/>
                <w:szCs w:val="20"/>
                <w:color w:val="auto"/>
              </w:rPr>
            </w:pPr>
            <w:r>
              <w:rPr>
                <w:rFonts w:ascii="Arial" w:cs="Arial" w:eastAsia="Arial" w:hAnsi="Arial"/>
                <w:sz w:val="14"/>
                <w:szCs w:val="14"/>
                <w:b w:val="1"/>
                <w:bCs w:val="1"/>
                <w:color w:val="auto"/>
                <w:w w:val="94"/>
              </w:rPr>
              <w:t>Owned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Being</w:t>
            </w:r>
          </w:p>
        </w:tc>
        <w:tc>
          <w:tcPr>
            <w:tcW w:w="2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6"/>
              </w:rPr>
              <w:t>Prior to Offering(1)(2)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Offered</w:t>
            </w:r>
          </w:p>
        </w:tc>
        <w:tc>
          <w:tcPr>
            <w:tcW w:w="2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Owned After Offering(1)</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6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7"/>
              </w:rPr>
              <w:t>Percent</w:t>
            </w: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Special Situations Fund, L.P. (3)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Entities affiliated with Acuta Capital Partners, LLC (4)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2,394,964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613,497</w:t>
            </w:r>
          </w:p>
        </w:tc>
        <w:tc>
          <w:tcPr>
            <w:tcW w:w="1140" w:type="dxa"/>
            <w:vAlign w:val="bottom"/>
          </w:tcPr>
          <w:p>
            <w:pPr>
              <w:jc w:val="right"/>
              <w:spacing w:after="0"/>
              <w:rPr>
                <w:sz w:val="20"/>
                <w:szCs w:val="20"/>
                <w:color w:val="auto"/>
              </w:rPr>
            </w:pPr>
            <w:r>
              <w:rPr>
                <w:rFonts w:ascii="Arial" w:cs="Arial" w:eastAsia="Arial" w:hAnsi="Arial"/>
                <w:sz w:val="18"/>
                <w:szCs w:val="18"/>
                <w:color w:val="auto"/>
              </w:rPr>
              <w:t>1,781,467</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2B LLC (5)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45,988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venBio Select Fund LLC (6)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663,684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570,552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93,132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Camber Capital Management,</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 (7)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 Consonance Opportunities LTD (8)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Altairis Offshore Levered (9)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Eventide Asset Management, LLC (10)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2,252,000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490,798</w:t>
            </w:r>
          </w:p>
        </w:tc>
        <w:tc>
          <w:tcPr>
            <w:tcW w:w="1140" w:type="dxa"/>
            <w:vAlign w:val="bottom"/>
          </w:tcPr>
          <w:p>
            <w:pPr>
              <w:jc w:val="right"/>
              <w:spacing w:after="0"/>
              <w:rPr>
                <w:sz w:val="20"/>
                <w:szCs w:val="20"/>
                <w:color w:val="auto"/>
              </w:rPr>
            </w:pPr>
            <w:r>
              <w:rPr>
                <w:rFonts w:ascii="Arial" w:cs="Arial" w:eastAsia="Arial" w:hAnsi="Arial"/>
                <w:sz w:val="18"/>
                <w:szCs w:val="18"/>
                <w:color w:val="auto"/>
              </w:rPr>
              <w:t>1,761,202</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Broadfin Healthcare Master Fund, LTD (11)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27,854,567 shares of our common stock outstanding as of March 7, 2016.</w:t>
      </w:r>
    </w:p>
    <w:p>
      <w:pPr>
        <w:spacing w:after="0" w:line="9" w:lineRule="exact"/>
        <w:rPr>
          <w:rFonts w:ascii="Arial" w:cs="Arial" w:eastAsia="Arial" w:hAnsi="Arial"/>
          <w:sz w:val="18"/>
          <w:szCs w:val="18"/>
          <w:color w:val="auto"/>
        </w:rPr>
      </w:pPr>
    </w:p>
    <w:p>
      <w:pPr>
        <w:ind w:left="900" w:right="180" w:hanging="446"/>
        <w:spacing w:after="0" w:line="28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our knowledge, the persons named in the table have sole voting and investment power with respect to all shares of common stock shown as beneficially owned by them, subject to community property laws, where applicable, and the information contained in the footnotes to this table.</w:t>
      </w:r>
    </w:p>
    <w:p>
      <w:pPr>
        <w:spacing w:after="0" w:line="1" w:lineRule="exact"/>
        <w:rPr>
          <w:rFonts w:ascii="Arial" w:cs="Arial" w:eastAsia="Arial" w:hAnsi="Arial"/>
          <w:sz w:val="16"/>
          <w:szCs w:val="16"/>
          <w:color w:val="auto"/>
        </w:rPr>
      </w:pPr>
    </w:p>
    <w:p>
      <w:pPr>
        <w:ind w:left="900" w:right="180" w:hanging="446"/>
        <w:spacing w:after="0" w:line="26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James E. Flynn has voting and investment power over of all of the shares held by Deerfield Special Situations Fund, L.P. Mr. Flynn disclaims beneficial ownership over all of the shares held by Deerfield Special Situations Fund, L.P., except to the extent of his pecuniary interest therein. The address for Deerfield Special Situations Fund, L.P. is 780 Third Avenue, 37th Floor, New York, New York 10017.</w:t>
      </w:r>
    </w:p>
    <w:p>
      <w:pPr>
        <w:ind w:left="900" w:right="60" w:hanging="446"/>
        <w:spacing w:after="0" w:line="26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Shareholdings consist of 1,538,285 shares held by Acuta Capital Fund, LP, 459,124 shares held by Acuta Opportunity Fund, LP and 397,555 shares held by 2B LLC. Shares offered consist of 429,448 shares held by Acuta Capital Fund, LP and 184,049 shares held by Acuta Opportunity Fund, LP. Richard Lin is the Managing Member of Acuta Capital Partners, LLC, the general partner of Acuta Capital Fund, LP and Acuta Opportunity Fund, LP and an investment manager for 2B LLC and has voting and investment power over all of the shares held by Acuta Capital Fund, LP and Acuta Opportunity Fund, LP and the 397,555 shares held by 2B LLC but does not have voting or investment power over the shares held by 2B LLC described in footnote 5 below. Mr. Lin disclaims beneficial ownership over all of the shares held by Acuta Capital Fund, LP, Acuta Opportunity Fund, LP and 2B LLC, except to the extent of his pecuniary interest therein.</w:t>
      </w:r>
    </w:p>
    <w:p>
      <w:pPr>
        <w:spacing w:after="0" w:line="1" w:lineRule="exact"/>
        <w:rPr>
          <w:rFonts w:ascii="Arial" w:cs="Arial" w:eastAsia="Arial" w:hAnsi="Arial"/>
          <w:sz w:val="17"/>
          <w:szCs w:val="17"/>
          <w:color w:val="auto"/>
        </w:rPr>
      </w:pPr>
    </w:p>
    <w:p>
      <w:pPr>
        <w:ind w:left="900" w:right="28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 Darius Bikoff, a Member of 2B LLC, has voting and investment control over all the shares held by 2B LLC. Mr. Bikoff disclaims beneficial ownership over all the shares held by 2B LLC, except to the extent of his pecuniary interest therein.</w:t>
      </w:r>
    </w:p>
    <w:p>
      <w:pPr>
        <w:ind w:left="900" w:right="16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Behzad Aghazadeh, the portfolio manager of venBio Select Fund LLC, has voting and investment power over all of the shares held by venBio Select Fund LLC. Mr. Aghazadeh disclaims beneficial ownership over all of the shares held by venBio Select Fund LLC, except to the extent of his pecuniary interest therein.</w:t>
      </w:r>
    </w:p>
    <w:p>
      <w:pPr>
        <w:spacing w:after="0" w:line="1" w:lineRule="exact"/>
        <w:rPr>
          <w:rFonts w:ascii="Arial" w:cs="Arial" w:eastAsia="Arial" w:hAnsi="Arial"/>
          <w:sz w:val="18"/>
          <w:szCs w:val="18"/>
          <w:color w:val="auto"/>
        </w:rPr>
      </w:pPr>
    </w:p>
    <w:p>
      <w:pPr>
        <w:ind w:left="900" w:right="22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Shareholdings consist of 1,181,718 shares held by Camber Capital Master Fund, LP, 8,834 shares held by Camber Capital Fund II, LP, and 36,442 shares held by Arthur J. Remillard Jr. Trust. Camber Capital Management, LLC has voting and investment power over all of the shares held by Camber Capital Master Fund, LP, Camber Capital Fund II, LP and Arthur J. Remillard Jr. Trust. Camber Capital Management, LLC disclaims beneficial ownership over all of the shares held by Camber Capital Master Fund, LP, Camber Capital Fund II, LP and Arthur J. Remillard Jr. Trust, except to the extent of any pecuniary interest therein.</w:t>
      </w:r>
    </w:p>
    <w:p>
      <w:pPr>
        <w:spacing w:after="0" w:line="2"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Consonance Capital Opportunity Fund Management LP has voting and investment power over all the shares held by P Consonance Opportunities LTD. Consonance Capital Opportunity Fund Management LP disclaims beneficial ownership over all of the shares held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by P Consonance Opportunities LTD, except to the extent of any pecuniary interest therein.</w:t>
      </w:r>
    </w:p>
    <w:p>
      <w:pPr>
        <w:spacing w:after="0" w:line="23" w:lineRule="exact"/>
        <w:rPr>
          <w:sz w:val="20"/>
          <w:szCs w:val="20"/>
          <w:color w:val="auto"/>
        </w:rPr>
      </w:pPr>
    </w:p>
    <w:p>
      <w:pPr>
        <w:jc w:val="both"/>
        <w:ind w:left="900" w:right="120" w:hanging="446"/>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Polar Securities Inc. serves as investment advisor to Altairis Offshore Levered and has voting and investment control over all the shares held by Altairis Offshore Levered. Polar Securities Inc. disclaims beneficial ownership over all of the shares held by Altairis Offshore Levered except to the extent of its pecuniary interest therein.</w:t>
      </w:r>
    </w:p>
    <w:p>
      <w:pPr>
        <w:spacing w:after="0" w:line="1" w:lineRule="exact"/>
        <w:rPr>
          <w:rFonts w:ascii="Arial" w:cs="Arial" w:eastAsia="Arial" w:hAnsi="Arial"/>
          <w:sz w:val="18"/>
          <w:szCs w:val="18"/>
          <w:color w:val="auto"/>
        </w:rPr>
      </w:pPr>
    </w:p>
    <w:p>
      <w:pPr>
        <w:ind w:left="900" w:right="180" w:hanging="446"/>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owned prior to the offering are based upon a Schedule 13G filed by Eventide Asset Management, LLC on February 12, 2016. As of May 11, 2015, shareholdings consist of 1,193,431 shares held by Eventide Gilead Fund and 814,867 shares held by Eventide Healthcare &amp; Life Sciences Fund, each of which is a registered investment company for which Eventide Asset Management, LLC acts as investment adviser. Eventide Asset Management, LLC has voting and investment power with respect to all of such shares. The address of Eventide Asset Management, LLC is One International Place, 35th Floor, Boston, Massachusetts 02110. Of the shares offered, Eventide Gilead Fund holds 381,731 shares and Eventide Healthcare &amp; Life Sciences Fund holds 109,067 shares.</w:t>
      </w:r>
    </w:p>
    <w:p>
      <w:pPr>
        <w:spacing w:after="0" w:line="1" w:lineRule="exact"/>
        <w:rPr>
          <w:rFonts w:ascii="Arial" w:cs="Arial" w:eastAsia="Arial" w:hAnsi="Arial"/>
          <w:sz w:val="17"/>
          <w:szCs w:val="17"/>
          <w:color w:val="auto"/>
        </w:rPr>
      </w:pPr>
    </w:p>
    <w:p>
      <w:pPr>
        <w:ind w:left="900" w:right="200" w:hanging="446"/>
        <w:spacing w:after="0" w:line="27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Broadfin Capital, LLC serves as investment adviser to Broadfin Healthcare Master Fund, LTD with the power to direct investments and/or sole power to vote the shares owned by Broadfin Healthcare Master Fund, LTD. Kevin Kotler is the Managing Member of Broadfin Capital, LLC. Mr. Kotler has voting and dispositive power over the shares held by Broadfin Healthcare Master Fund, LTD. Mr. Kotler disclaims beneficial ownership of all shares beneficially owned, except to the extent of his pecuniary interests in such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are registering the shares of common stock issued to the selling stockholders to permit the resale of these shares of common stock by the holders of the shares of common stock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on any</w:t>
      </w:r>
    </w:p>
    <w:p>
      <w:pPr>
        <w:sectPr>
          <w:pgSz w:w="11900" w:h="16871" w:orient="portrait"/>
          <w:cols w:equalWidth="0" w:num="1">
            <w:col w:w="11420"/>
          </w:cols>
          <w:pgMar w:left="240" w:top="125" w:right="239" w:bottom="0" w:gutter="0" w:footer="0" w:header="0"/>
        </w:sectPr>
      </w:pPr>
    </w:p>
    <w:bookmarkStart w:id="3" w:name="page4"/>
    <w:bookmarkEnd w:id="3"/>
    <w:p>
      <w:pPr>
        <w:spacing w:after="0" w:line="302" w:lineRule="auto"/>
        <w:rPr>
          <w:sz w:val="20"/>
          <w:szCs w:val="20"/>
          <w:color w:val="auto"/>
        </w:rPr>
      </w:pPr>
      <w:r>
        <w:rPr>
          <w:rFonts w:ascii="Arial" w:cs="Arial" w:eastAsia="Arial" w:hAnsi="Arial"/>
          <w:sz w:val="16"/>
          <w:szCs w:val="16"/>
          <w:color w:val="auto"/>
        </w:rPr>
        <w:t>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154"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such options are listed on an options exchange or otherwise;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shares of common stock short and if such short sale shall take place after the date that this registration statement is declared effective by the Securities and Exchange Commission, or SEC, the selling stockholders may deliver shares of common stock covered by this prospectus to close out short positions and to return borrowed shares in connection with such short sales. The selling stockholders may also loan or pledge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or the Exchange Act.</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Each selling stockholder has informed us that it is not a registered broker-dealer and does not have any written or oral agreement or understanding, directly or indirectly, with any person to distribute the common stock. Upon a selling stockholder notifying us in writing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w:t>
      </w:r>
    </w:p>
    <w:p>
      <w:pPr>
        <w:sectPr>
          <w:pgSz w:w="11900" w:h="16838" w:orient="portrait"/>
          <w:cols w:equalWidth="0" w:num="1">
            <w:col w:w="11400"/>
          </w:cols>
          <w:pgMar w:left="240" w:top="125" w:right="25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registration rights agreement, or we may be entitled to contribution.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validity of the common stock offered by this prospectus is being passed upon for us by Pillsbury Winthrop Shaw Pittman LLP, San Francisco and Palo Alto, California.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and for each of the two years in the period ended December 31, 2015 included in our Annual Report on Form 10-K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financial statements for the year ended December 31, 2013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have filed a registration statement on Form S-3 with the SEC under the Securities Act. This prospectus is part of the registration statement but the registration statement includes and incorporates by reference additional information and exhibits. We file annual, quarterly and current reports, proxy statements and other information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We have filed with the SEC, and incorporate by reference in this prospectus:</w:t>
      </w:r>
    </w:p>
    <w:p>
      <w:pPr>
        <w:spacing w:after="0" w:line="187" w:lineRule="exact"/>
        <w:rPr>
          <w:sz w:val="20"/>
          <w:szCs w:val="20"/>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filed with the SEC on March 14, 2016;</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4, 2016; and</w:t>
      </w:r>
    </w:p>
    <w:p>
      <w:pPr>
        <w:spacing w:after="0" w:line="225" w:lineRule="exact"/>
        <w:rPr>
          <w:rFonts w:ascii="Arial" w:cs="Arial" w:eastAsia="Arial" w:hAnsi="Arial"/>
          <w:sz w:val="18"/>
          <w:szCs w:val="18"/>
          <w:color w:val="auto"/>
        </w:rPr>
      </w:pPr>
    </w:p>
    <w:p>
      <w:pPr>
        <w:ind w:left="1040" w:right="60" w:hanging="384"/>
        <w:spacing w:after="0" w:line="277"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We are not, however, incorporating any documents or information that we are deemed to furnish and not file in accordance with SEC rules.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We will not, however, send exhibits to those documents, unless the exhibits are specifically incorporated by reference in those documents. These documents are also available on our website at www.veracyte.com.</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80"/>
      </w:cols>
      <w:pgMar w:left="240" w:top="12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2019-12-08T12:53:35Z</dcterms:created>
  <dcterms:modified xsi:type="dcterms:W3CDTF">2019-12-08T12:53:35Z</dcterms:modified>
</cp:coreProperties>
</file>