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1091565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997585</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June 17, 2025</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VERACYTE,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47" w:lineRule="exact"/>
        <w:rPr>
          <w:sz w:val="24"/>
          <w:szCs w:val="24"/>
          <w:color w:val="auto"/>
        </w:rPr>
      </w:pPr>
    </w:p>
    <w:tbl>
      <w:tblPr>
        <w:tblLayout w:type="fixed"/>
        <w:tblInd w:w="760" w:type="dxa"/>
        <w:tblCellMar>
          <w:top w:w="0" w:type="dxa"/>
          <w:left w:w="0" w:type="dxa"/>
          <w:bottom w:w="0" w:type="dxa"/>
          <w:right w:w="0" w:type="dxa"/>
        </w:tblCellMar>
      </w:tblPr>
      <w:tr>
        <w:trPr>
          <w:trHeight w:val="238"/>
        </w:trPr>
        <w:tc>
          <w:tcPr>
            <w:tcW w:w="3020" w:type="dxa"/>
            <w:vAlign w:val="bottom"/>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720" w:type="dxa"/>
            <w:vAlign w:val="bottom"/>
          </w:tcPr>
          <w:p>
            <w:pPr>
              <w:jc w:val="right"/>
              <w:ind w:right="1390"/>
              <w:spacing w:after="0"/>
              <w:rPr>
                <w:sz w:val="20"/>
                <w:szCs w:val="20"/>
                <w:color w:val="auto"/>
              </w:rPr>
            </w:pPr>
            <w:r>
              <w:rPr>
                <w:rFonts w:ascii="Times New Roman" w:cs="Times New Roman" w:eastAsia="Times New Roman" w:hAnsi="Times New Roman"/>
                <w:sz w:val="18"/>
                <w:szCs w:val="18"/>
                <w:b w:val="1"/>
                <w:bCs w:val="1"/>
                <w:color w:val="auto"/>
              </w:rPr>
              <w:t>001-36156</w:t>
            </w:r>
          </w:p>
        </w:tc>
        <w:tc>
          <w:tcPr>
            <w:tcW w:w="3040" w:type="dxa"/>
            <w:vAlign w:val="bottom"/>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8"/>
              </w:rPr>
              <w:t>20-5455398</w:t>
            </w:r>
          </w:p>
        </w:tc>
      </w:tr>
      <w:tr>
        <w:trPr>
          <w:trHeight w:val="225"/>
        </w:trPr>
        <w:tc>
          <w:tcPr>
            <w:tcW w:w="302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304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(IRS Employer Identification</w:t>
            </w:r>
          </w:p>
        </w:tc>
      </w:tr>
      <w:tr>
        <w:trPr>
          <w:trHeight w:val="234"/>
        </w:trPr>
        <w:tc>
          <w:tcPr>
            <w:tcW w:w="302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rPr>
              <w:t>incorporation)</w:t>
            </w:r>
          </w:p>
        </w:tc>
        <w:tc>
          <w:tcPr>
            <w:tcW w:w="3720" w:type="dxa"/>
            <w:vAlign w:val="bottom"/>
          </w:tcPr>
          <w:p>
            <w:pPr>
              <w:spacing w:after="0"/>
              <w:rPr>
                <w:sz w:val="20"/>
                <w:szCs w:val="20"/>
                <w:color w:val="auto"/>
              </w:rPr>
            </w:pPr>
          </w:p>
        </w:tc>
        <w:tc>
          <w:tcPr>
            <w:tcW w:w="30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8"/>
              </w:rPr>
              <w:t>No.)</w:t>
            </w:r>
          </w:p>
        </w:tc>
      </w:tr>
      <w:tr>
        <w:trPr>
          <w:trHeight w:val="392"/>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6000 Shoreline Court, Suite 300, South San Francisco, California</w:t>
            </w:r>
          </w:p>
        </w:tc>
        <w:tc>
          <w:tcPr>
            <w:tcW w:w="3040" w:type="dxa"/>
            <w:vAlign w:val="bottom"/>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257"/>
        </w:trPr>
        <w:tc>
          <w:tcPr>
            <w:tcW w:w="674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04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3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(650) 243-6300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31" w:lineRule="exact"/>
        <w:rPr>
          <w:sz w:val="24"/>
          <w:szCs w:val="24"/>
          <w:color w:val="auto"/>
        </w:rPr>
      </w:pPr>
    </w:p>
    <w:p>
      <w:pPr>
        <w:ind w:left="20" w:right="620" w:firstLine="54"/>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55"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49"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49"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5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20" w:type="dxa"/>
            <w:vAlign w:val="bottom"/>
          </w:tcPr>
          <w:p>
            <w:pPr>
              <w:spacing w:after="0"/>
              <w:rPr>
                <w:sz w:val="20"/>
                <w:szCs w:val="20"/>
                <w:color w:val="auto"/>
              </w:rPr>
            </w:pPr>
          </w:p>
        </w:tc>
      </w:tr>
      <w:tr>
        <w:trPr>
          <w:trHeight w:val="263"/>
        </w:trPr>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80" w:type="dxa"/>
            <w:vAlign w:val="bottom"/>
          </w:tcPr>
          <w:p>
            <w:pPr>
              <w:spacing w:after="0"/>
              <w:rPr>
                <w:sz w:val="22"/>
                <w:szCs w:val="22"/>
                <w:color w:val="auto"/>
              </w:rPr>
            </w:pPr>
          </w:p>
        </w:tc>
        <w:tc>
          <w:tcPr>
            <w:tcW w:w="20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180" w:type="dxa"/>
            <w:vAlign w:val="bottom"/>
          </w:tcPr>
          <w:p>
            <w:pPr>
              <w:spacing w:after="0"/>
              <w:rPr>
                <w:sz w:val="22"/>
                <w:szCs w:val="22"/>
                <w:color w:val="auto"/>
              </w:rPr>
            </w:pPr>
          </w:p>
        </w:tc>
        <w:tc>
          <w:tcPr>
            <w:tcW w:w="4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43"/>
        </w:trPr>
        <w:tc>
          <w:tcPr>
            <w:tcW w:w="4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VCYT</w:t>
            </w:r>
          </w:p>
        </w:tc>
        <w:tc>
          <w:tcPr>
            <w:tcW w:w="4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44" w:lineRule="exact"/>
        <w:rPr>
          <w:sz w:val="24"/>
          <w:szCs w:val="24"/>
          <w:color w:val="auto"/>
        </w:rPr>
      </w:pPr>
    </w:p>
    <w:p>
      <w:pPr>
        <w:ind w:left="20" w:right="260"/>
        <w:spacing w:after="0" w:line="253"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91" w:lineRule="exact"/>
        <w:rPr>
          <w:sz w:val="24"/>
          <w:szCs w:val="24"/>
          <w:color w:val="auto"/>
        </w:rPr>
      </w:pPr>
    </w:p>
    <w:p>
      <w:pPr>
        <w:ind w:left="20" w:right="140"/>
        <w:spacing w:after="0" w:line="23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1418590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089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jc w:val="both"/>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9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further described in Item 5.07 to this Current Report on Form 8-K (this “Report”), on June 17, 2025, at the 2025 Annual Meeting of Stockholders (the “Annual Meeting”) of Veracyte, Inc. (the “Company”), the Company’s stockholders approved an amendment to the Company’s 2023 Equity Incentive Plan (the “2023 Plan”) to increase the number of shares of the Company’s Common Stock, $0.001 par value, reserved for issuance under the 2023 Plan by 2,500,000 shares (the “2023 Plan Amendment”). The 2023 Plan Amendment had been approved, subject to stockholder approval, by the Company’s Board of Directors on April 14, 2025.</w:t>
      </w:r>
    </w:p>
    <w:p>
      <w:pPr>
        <w:spacing w:after="0" w:line="210" w:lineRule="exact"/>
        <w:rPr>
          <w:sz w:val="20"/>
          <w:szCs w:val="20"/>
          <w:color w:val="auto"/>
        </w:rPr>
      </w:pPr>
    </w:p>
    <w:p>
      <w:pPr>
        <w:jc w:val="both"/>
        <w:ind w:firstLine="324"/>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more complete description of the 2023 Plan Amendment can be found in “Proposal No. 5 – Approval of Amendment to Veracyte, Inc. 2023 Equity Incentive Plan” in the Company’s definitive proxy statement on </w:t>
      </w:r>
      <w:hyperlink r:id="rId13">
        <w:r>
          <w:rPr>
            <w:rFonts w:ascii="Times New Roman" w:cs="Times New Roman" w:eastAsia="Times New Roman" w:hAnsi="Times New Roman"/>
            <w:sz w:val="18"/>
            <w:szCs w:val="18"/>
            <w:u w:val="single" w:color="auto"/>
            <w:color w:val="0000FF"/>
          </w:rPr>
          <w:t>Schedule 14A filed with the Securities and Exchange Commission on April 29,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(the “Proxy Statement”), which description is incorporated by reference herein. The foregoing description and the description incorporated by reference from the Proxy Statement are qualified in their entirety by reference to the 2023 Plan, as amended, a copy of which is filed as Exhibit 10.1 to this Report and is incorporated herein by reference.</w:t>
      </w:r>
    </w:p>
    <w:p>
      <w:pPr>
        <w:spacing w:after="0" w:line="200" w:lineRule="exact"/>
        <w:rPr>
          <w:sz w:val="20"/>
          <w:szCs w:val="20"/>
          <w:color w:val="auto"/>
        </w:rPr>
      </w:pPr>
    </w:p>
    <w:p>
      <w:pPr>
        <w:spacing w:after="0" w:line="24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stockholders of the Company voted on the following proposals at the Annual Meeting. The results of such votes are as follows:</w:t>
      </w:r>
    </w:p>
    <w:p>
      <w:pPr>
        <w:spacing w:after="0" w:line="252" w:lineRule="exact"/>
        <w:rPr>
          <w:sz w:val="20"/>
          <w:szCs w:val="20"/>
          <w:color w:val="auto"/>
        </w:rPr>
      </w:pPr>
    </w:p>
    <w:p>
      <w:pPr>
        <w:ind w:left="720" w:hanging="388"/>
        <w:spacing w:after="0"/>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directors were nominated to serve until the 2026 annual meeting of stockholders or until their successors are duly elected and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400" w:type="dxa"/>
            <w:vAlign w:val="bottom"/>
          </w:tcPr>
          <w:p>
            <w:pPr>
              <w:spacing w:after="0"/>
              <w:rPr>
                <w:sz w:val="19"/>
                <w:szCs w:val="19"/>
                <w:color w:val="auto"/>
              </w:rPr>
            </w:pPr>
          </w:p>
        </w:tc>
        <w:tc>
          <w:tcPr>
            <w:tcW w:w="2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18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18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196"/>
        </w:trPr>
        <w:tc>
          <w:tcPr>
            <w:tcW w:w="2400" w:type="dxa"/>
            <w:vAlign w:val="bottom"/>
            <w:tcBorders>
              <w:top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Eliav Barr</w:t>
            </w:r>
          </w:p>
        </w:tc>
        <w:tc>
          <w:tcPr>
            <w:tcW w:w="1840" w:type="dxa"/>
            <w:vAlign w:val="bottom"/>
            <w:tcBorders>
              <w:top w:val="single" w:sz="8" w:color="auto"/>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69,359,611</w:t>
            </w:r>
          </w:p>
        </w:tc>
        <w:tc>
          <w:tcPr>
            <w:tcW w:w="340" w:type="dxa"/>
            <w:vAlign w:val="bottom"/>
            <w:tcBorders>
              <w:top w:val="single" w:sz="8" w:color="CCEEFF"/>
            </w:tcBorders>
            <w:shd w:val="clear" w:color="auto" w:fill="CCEEFF"/>
          </w:tcPr>
          <w:p>
            <w:pPr>
              <w:spacing w:after="0"/>
              <w:rPr>
                <w:sz w:val="17"/>
                <w:szCs w:val="17"/>
                <w:color w:val="auto"/>
              </w:rPr>
            </w:pPr>
          </w:p>
        </w:tc>
        <w:tc>
          <w:tcPr>
            <w:tcW w:w="1840" w:type="dxa"/>
            <w:vAlign w:val="bottom"/>
            <w:tcBorders>
              <w:top w:val="single" w:sz="8" w:color="auto"/>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319,707</w:t>
            </w:r>
          </w:p>
        </w:tc>
        <w:tc>
          <w:tcPr>
            <w:tcW w:w="340" w:type="dxa"/>
            <w:vAlign w:val="bottom"/>
            <w:tcBorders>
              <w:top w:val="single" w:sz="8" w:color="CCEEFF"/>
            </w:tcBorders>
            <w:shd w:val="clear" w:color="auto" w:fill="CCEEFF"/>
          </w:tcPr>
          <w:p>
            <w:pPr>
              <w:spacing w:after="0"/>
              <w:rPr>
                <w:sz w:val="17"/>
                <w:szCs w:val="17"/>
                <w:color w:val="auto"/>
              </w:rPr>
            </w:pPr>
          </w:p>
        </w:tc>
        <w:tc>
          <w:tcPr>
            <w:tcW w:w="1840" w:type="dxa"/>
            <w:vAlign w:val="bottom"/>
            <w:tcBorders>
              <w:top w:val="single" w:sz="8" w:color="auto"/>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10,908</w:t>
            </w:r>
          </w:p>
        </w:tc>
        <w:tc>
          <w:tcPr>
            <w:tcW w:w="340" w:type="dxa"/>
            <w:vAlign w:val="bottom"/>
            <w:tcBorders>
              <w:top w:val="single" w:sz="8" w:color="CCEEFF"/>
            </w:tcBorders>
            <w:shd w:val="clear" w:color="auto" w:fill="CCEEFF"/>
          </w:tcPr>
          <w:p>
            <w:pPr>
              <w:spacing w:after="0"/>
              <w:rPr>
                <w:sz w:val="17"/>
                <w:szCs w:val="17"/>
                <w:color w:val="auto"/>
              </w:rPr>
            </w:pPr>
          </w:p>
        </w:tc>
        <w:tc>
          <w:tcPr>
            <w:tcW w:w="2080" w:type="dxa"/>
            <w:vAlign w:val="bottom"/>
            <w:tcBorders>
              <w:top w:val="single" w:sz="8" w:color="auto"/>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2,662,888</w:t>
            </w:r>
          </w:p>
        </w:tc>
      </w:tr>
      <w:tr>
        <w:trPr>
          <w:trHeight w:val="203"/>
        </w:trPr>
        <w:tc>
          <w:tcPr>
            <w:tcW w:w="24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Muna Bhanji</w:t>
            </w:r>
          </w:p>
        </w:tc>
        <w:tc>
          <w:tcPr>
            <w:tcW w:w="18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8"/>
              </w:rPr>
              <w:t>59,556,296</w:t>
            </w:r>
          </w:p>
        </w:tc>
        <w:tc>
          <w:tcPr>
            <w:tcW w:w="340" w:type="dxa"/>
            <w:vAlign w:val="bottom"/>
          </w:tcPr>
          <w:p>
            <w:pPr>
              <w:spacing w:after="0"/>
              <w:rPr>
                <w:sz w:val="17"/>
                <w:szCs w:val="17"/>
                <w:color w:val="auto"/>
              </w:rPr>
            </w:pPr>
          </w:p>
        </w:tc>
        <w:tc>
          <w:tcPr>
            <w:tcW w:w="18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9,588,360</w:t>
            </w:r>
          </w:p>
        </w:tc>
        <w:tc>
          <w:tcPr>
            <w:tcW w:w="340" w:type="dxa"/>
            <w:vAlign w:val="bottom"/>
          </w:tcPr>
          <w:p>
            <w:pPr>
              <w:spacing w:after="0"/>
              <w:rPr>
                <w:sz w:val="17"/>
                <w:szCs w:val="17"/>
                <w:color w:val="auto"/>
              </w:rPr>
            </w:pPr>
          </w:p>
        </w:tc>
        <w:tc>
          <w:tcPr>
            <w:tcW w:w="18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545,570</w:t>
            </w:r>
          </w:p>
        </w:tc>
        <w:tc>
          <w:tcPr>
            <w:tcW w:w="340" w:type="dxa"/>
            <w:vAlign w:val="bottom"/>
          </w:tcPr>
          <w:p>
            <w:pPr>
              <w:spacing w:after="0"/>
              <w:rPr>
                <w:sz w:val="17"/>
                <w:szCs w:val="17"/>
                <w:color w:val="auto"/>
              </w:rPr>
            </w:pPr>
          </w:p>
        </w:tc>
        <w:tc>
          <w:tcPr>
            <w:tcW w:w="20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2,662,888</w:t>
            </w:r>
          </w:p>
        </w:tc>
      </w:tr>
      <w:tr>
        <w:trPr>
          <w:trHeight w:val="203"/>
        </w:trPr>
        <w:tc>
          <w:tcPr>
            <w:tcW w:w="240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Karin Eastham</w:t>
            </w:r>
          </w:p>
        </w:tc>
        <w:tc>
          <w:tcPr>
            <w:tcW w:w="18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8"/>
              </w:rPr>
              <w:t>67,986,084</w:t>
            </w:r>
          </w:p>
        </w:tc>
        <w:tc>
          <w:tcPr>
            <w:tcW w:w="340" w:type="dxa"/>
            <w:vAlign w:val="bottom"/>
            <w:shd w:val="clear" w:color="auto" w:fill="CCEEFF"/>
          </w:tcPr>
          <w:p>
            <w:pPr>
              <w:spacing w:after="0"/>
              <w:rPr>
                <w:sz w:val="17"/>
                <w:szCs w:val="17"/>
                <w:color w:val="auto"/>
              </w:rPr>
            </w:pPr>
          </w:p>
        </w:tc>
        <w:tc>
          <w:tcPr>
            <w:tcW w:w="18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1,693,356</w:t>
            </w:r>
          </w:p>
        </w:tc>
        <w:tc>
          <w:tcPr>
            <w:tcW w:w="340" w:type="dxa"/>
            <w:vAlign w:val="bottom"/>
            <w:shd w:val="clear" w:color="auto" w:fill="CCEEFF"/>
          </w:tcPr>
          <w:p>
            <w:pPr>
              <w:spacing w:after="0"/>
              <w:rPr>
                <w:sz w:val="17"/>
                <w:szCs w:val="17"/>
                <w:color w:val="auto"/>
              </w:rPr>
            </w:pPr>
          </w:p>
        </w:tc>
        <w:tc>
          <w:tcPr>
            <w:tcW w:w="18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10,786</w:t>
            </w:r>
          </w:p>
        </w:tc>
        <w:tc>
          <w:tcPr>
            <w:tcW w:w="340" w:type="dxa"/>
            <w:vAlign w:val="bottom"/>
            <w:shd w:val="clear" w:color="auto" w:fill="CCEEFF"/>
          </w:tcPr>
          <w:p>
            <w:pPr>
              <w:spacing w:after="0"/>
              <w:rPr>
                <w:sz w:val="17"/>
                <w:szCs w:val="17"/>
                <w:color w:val="auto"/>
              </w:rPr>
            </w:pPr>
          </w:p>
        </w:tc>
        <w:tc>
          <w:tcPr>
            <w:tcW w:w="20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2,662,888</w:t>
            </w:r>
          </w:p>
        </w:tc>
      </w:tr>
      <w:tr>
        <w:trPr>
          <w:trHeight w:val="203"/>
        </w:trPr>
        <w:tc>
          <w:tcPr>
            <w:tcW w:w="24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Jens Holstein</w:t>
            </w:r>
          </w:p>
        </w:tc>
        <w:tc>
          <w:tcPr>
            <w:tcW w:w="18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8"/>
              </w:rPr>
              <w:t>69,210,987</w:t>
            </w:r>
          </w:p>
        </w:tc>
        <w:tc>
          <w:tcPr>
            <w:tcW w:w="340" w:type="dxa"/>
            <w:vAlign w:val="bottom"/>
          </w:tcPr>
          <w:p>
            <w:pPr>
              <w:spacing w:after="0"/>
              <w:rPr>
                <w:sz w:val="17"/>
                <w:szCs w:val="17"/>
                <w:color w:val="auto"/>
              </w:rPr>
            </w:pPr>
          </w:p>
        </w:tc>
        <w:tc>
          <w:tcPr>
            <w:tcW w:w="18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468,451</w:t>
            </w:r>
          </w:p>
        </w:tc>
        <w:tc>
          <w:tcPr>
            <w:tcW w:w="340" w:type="dxa"/>
            <w:vAlign w:val="bottom"/>
          </w:tcPr>
          <w:p>
            <w:pPr>
              <w:spacing w:after="0"/>
              <w:rPr>
                <w:sz w:val="17"/>
                <w:szCs w:val="17"/>
                <w:color w:val="auto"/>
              </w:rPr>
            </w:pPr>
          </w:p>
        </w:tc>
        <w:tc>
          <w:tcPr>
            <w:tcW w:w="18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10,788</w:t>
            </w:r>
          </w:p>
        </w:tc>
        <w:tc>
          <w:tcPr>
            <w:tcW w:w="340" w:type="dxa"/>
            <w:vAlign w:val="bottom"/>
          </w:tcPr>
          <w:p>
            <w:pPr>
              <w:spacing w:after="0"/>
              <w:rPr>
                <w:sz w:val="17"/>
                <w:szCs w:val="17"/>
                <w:color w:val="auto"/>
              </w:rPr>
            </w:pPr>
          </w:p>
        </w:tc>
        <w:tc>
          <w:tcPr>
            <w:tcW w:w="20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2,662,888</w:t>
            </w:r>
          </w:p>
        </w:tc>
      </w:tr>
      <w:tr>
        <w:trPr>
          <w:trHeight w:val="203"/>
        </w:trPr>
        <w:tc>
          <w:tcPr>
            <w:tcW w:w="240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Tom Miller</w:t>
            </w:r>
          </w:p>
        </w:tc>
        <w:tc>
          <w:tcPr>
            <w:tcW w:w="18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8"/>
              </w:rPr>
              <w:t>69,363,357</w:t>
            </w:r>
          </w:p>
        </w:tc>
        <w:tc>
          <w:tcPr>
            <w:tcW w:w="340" w:type="dxa"/>
            <w:vAlign w:val="bottom"/>
            <w:shd w:val="clear" w:color="auto" w:fill="CCEEFF"/>
          </w:tcPr>
          <w:p>
            <w:pPr>
              <w:spacing w:after="0"/>
              <w:rPr>
                <w:sz w:val="17"/>
                <w:szCs w:val="17"/>
                <w:color w:val="auto"/>
              </w:rPr>
            </w:pPr>
          </w:p>
        </w:tc>
        <w:tc>
          <w:tcPr>
            <w:tcW w:w="18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252,277</w:t>
            </w:r>
          </w:p>
        </w:tc>
        <w:tc>
          <w:tcPr>
            <w:tcW w:w="340" w:type="dxa"/>
            <w:vAlign w:val="bottom"/>
            <w:shd w:val="clear" w:color="auto" w:fill="CCEEFF"/>
          </w:tcPr>
          <w:p>
            <w:pPr>
              <w:spacing w:after="0"/>
              <w:rPr>
                <w:sz w:val="17"/>
                <w:szCs w:val="17"/>
                <w:color w:val="auto"/>
              </w:rPr>
            </w:pPr>
          </w:p>
        </w:tc>
        <w:tc>
          <w:tcPr>
            <w:tcW w:w="18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74,592</w:t>
            </w:r>
          </w:p>
        </w:tc>
        <w:tc>
          <w:tcPr>
            <w:tcW w:w="340" w:type="dxa"/>
            <w:vAlign w:val="bottom"/>
            <w:shd w:val="clear" w:color="auto" w:fill="CCEEFF"/>
          </w:tcPr>
          <w:p>
            <w:pPr>
              <w:spacing w:after="0"/>
              <w:rPr>
                <w:sz w:val="17"/>
                <w:szCs w:val="17"/>
                <w:color w:val="auto"/>
              </w:rPr>
            </w:pPr>
          </w:p>
        </w:tc>
        <w:tc>
          <w:tcPr>
            <w:tcW w:w="20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2,662,888</w:t>
            </w:r>
          </w:p>
        </w:tc>
      </w:tr>
      <w:tr>
        <w:trPr>
          <w:trHeight w:val="203"/>
        </w:trPr>
        <w:tc>
          <w:tcPr>
            <w:tcW w:w="24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Brent Shafer</w:t>
            </w:r>
          </w:p>
        </w:tc>
        <w:tc>
          <w:tcPr>
            <w:tcW w:w="18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8"/>
              </w:rPr>
              <w:t>67,103,688</w:t>
            </w:r>
          </w:p>
        </w:tc>
        <w:tc>
          <w:tcPr>
            <w:tcW w:w="340" w:type="dxa"/>
            <w:vAlign w:val="bottom"/>
          </w:tcPr>
          <w:p>
            <w:pPr>
              <w:spacing w:after="0"/>
              <w:rPr>
                <w:sz w:val="17"/>
                <w:szCs w:val="17"/>
                <w:color w:val="auto"/>
              </w:rPr>
            </w:pPr>
          </w:p>
        </w:tc>
        <w:tc>
          <w:tcPr>
            <w:tcW w:w="18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2,503,195</w:t>
            </w:r>
          </w:p>
        </w:tc>
        <w:tc>
          <w:tcPr>
            <w:tcW w:w="340" w:type="dxa"/>
            <w:vAlign w:val="bottom"/>
          </w:tcPr>
          <w:p>
            <w:pPr>
              <w:spacing w:after="0"/>
              <w:rPr>
                <w:sz w:val="17"/>
                <w:szCs w:val="17"/>
                <w:color w:val="auto"/>
              </w:rPr>
            </w:pPr>
          </w:p>
        </w:tc>
        <w:tc>
          <w:tcPr>
            <w:tcW w:w="18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83,343</w:t>
            </w:r>
          </w:p>
        </w:tc>
        <w:tc>
          <w:tcPr>
            <w:tcW w:w="340" w:type="dxa"/>
            <w:vAlign w:val="bottom"/>
          </w:tcPr>
          <w:p>
            <w:pPr>
              <w:spacing w:after="0"/>
              <w:rPr>
                <w:sz w:val="17"/>
                <w:szCs w:val="17"/>
                <w:color w:val="auto"/>
              </w:rPr>
            </w:pPr>
          </w:p>
        </w:tc>
        <w:tc>
          <w:tcPr>
            <w:tcW w:w="20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2,662,888</w:t>
            </w:r>
          </w:p>
        </w:tc>
      </w:tr>
      <w:tr>
        <w:trPr>
          <w:trHeight w:val="203"/>
        </w:trPr>
        <w:tc>
          <w:tcPr>
            <w:tcW w:w="240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Marc Stapley</w:t>
            </w:r>
          </w:p>
        </w:tc>
        <w:tc>
          <w:tcPr>
            <w:tcW w:w="18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8"/>
              </w:rPr>
              <w:t>68,740,790</w:t>
            </w:r>
          </w:p>
        </w:tc>
        <w:tc>
          <w:tcPr>
            <w:tcW w:w="340" w:type="dxa"/>
            <w:vAlign w:val="bottom"/>
            <w:shd w:val="clear" w:color="auto" w:fill="CCEEFF"/>
          </w:tcPr>
          <w:p>
            <w:pPr>
              <w:spacing w:after="0"/>
              <w:rPr>
                <w:sz w:val="17"/>
                <w:szCs w:val="17"/>
                <w:color w:val="auto"/>
              </w:rPr>
            </w:pPr>
          </w:p>
        </w:tc>
        <w:tc>
          <w:tcPr>
            <w:tcW w:w="18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609,523</w:t>
            </w:r>
          </w:p>
        </w:tc>
        <w:tc>
          <w:tcPr>
            <w:tcW w:w="340" w:type="dxa"/>
            <w:vAlign w:val="bottom"/>
            <w:shd w:val="clear" w:color="auto" w:fill="CCEEFF"/>
          </w:tcPr>
          <w:p>
            <w:pPr>
              <w:spacing w:after="0"/>
              <w:rPr>
                <w:sz w:val="17"/>
                <w:szCs w:val="17"/>
                <w:color w:val="auto"/>
              </w:rPr>
            </w:pPr>
          </w:p>
        </w:tc>
        <w:tc>
          <w:tcPr>
            <w:tcW w:w="184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339,913</w:t>
            </w:r>
          </w:p>
        </w:tc>
        <w:tc>
          <w:tcPr>
            <w:tcW w:w="340" w:type="dxa"/>
            <w:vAlign w:val="bottom"/>
            <w:shd w:val="clear" w:color="auto" w:fill="CCEEFF"/>
          </w:tcPr>
          <w:p>
            <w:pPr>
              <w:spacing w:after="0"/>
              <w:rPr>
                <w:sz w:val="17"/>
                <w:szCs w:val="17"/>
                <w:color w:val="auto"/>
              </w:rPr>
            </w:pPr>
          </w:p>
        </w:tc>
        <w:tc>
          <w:tcPr>
            <w:tcW w:w="20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2,662,888</w:t>
            </w:r>
          </w:p>
        </w:tc>
      </w:tr>
    </w:tbl>
    <w:p>
      <w:pPr>
        <w:spacing w:after="0" w:line="319"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Each of the seven nominees for director was elected to serve until the 2026 annual meeting of stockholders and until their successors are duly elected and qualified.</w:t>
      </w:r>
    </w:p>
    <w:p>
      <w:pPr>
        <w:spacing w:after="0" w:line="189" w:lineRule="exact"/>
        <w:rPr>
          <w:sz w:val="20"/>
          <w:szCs w:val="20"/>
          <w:color w:val="auto"/>
        </w:rPr>
      </w:pPr>
    </w:p>
    <w:p>
      <w:pPr>
        <w:ind w:left="340"/>
        <w:spacing w:after="0"/>
        <w:tabs>
          <w:tab w:leader="none" w:pos="620" w:val="left"/>
        </w:tabs>
        <w:rPr>
          <w:sz w:val="20"/>
          <w:szCs w:val="20"/>
          <w:color w:val="auto"/>
        </w:rPr>
      </w:pP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7"/>
          <w:szCs w:val="17"/>
          <w:color w:val="auto"/>
        </w:rPr>
        <w:t>The ratification of the appointment of Ernst &amp; Young LLP as the Company’s independent registered public accounting firm for 2025:</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8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20" w:type="dxa"/>
            <w:vAlign w:val="bottom"/>
            <w:gridSpan w:val="2"/>
          </w:tcPr>
          <w:p>
            <w:pPr>
              <w:ind w:left="96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r>
      <w:tr>
        <w:trPr>
          <w:trHeight w:val="196"/>
        </w:trPr>
        <w:tc>
          <w:tcPr>
            <w:tcW w:w="2500" w:type="dxa"/>
            <w:vAlign w:val="bottom"/>
            <w:tcBorders>
              <w:top w:val="single" w:sz="8" w:color="auto"/>
            </w:tcBorders>
            <w:shd w:val="clear" w:color="auto" w:fill="CCEEFF"/>
          </w:tcPr>
          <w:p>
            <w:pPr>
              <w:jc w:val="right"/>
              <w:ind w:right="750"/>
              <w:spacing w:after="0" w:line="196" w:lineRule="exact"/>
              <w:rPr>
                <w:sz w:val="20"/>
                <w:szCs w:val="20"/>
                <w:color w:val="auto"/>
              </w:rPr>
            </w:pPr>
            <w:r>
              <w:rPr>
                <w:rFonts w:ascii="Times New Roman" w:cs="Times New Roman" w:eastAsia="Times New Roman" w:hAnsi="Times New Roman"/>
                <w:sz w:val="18"/>
                <w:szCs w:val="18"/>
                <w:color w:val="auto"/>
              </w:rPr>
              <w:t>72,172,533</w:t>
            </w:r>
          </w:p>
        </w:tc>
        <w:tc>
          <w:tcPr>
            <w:tcW w:w="300" w:type="dxa"/>
            <w:vAlign w:val="bottom"/>
            <w:tcBorders>
              <w:top w:val="single" w:sz="8" w:color="CCEEFF"/>
            </w:tcBorders>
            <w:shd w:val="clear" w:color="auto" w:fill="CCEEFF"/>
          </w:tcPr>
          <w:p>
            <w:pPr>
              <w:spacing w:after="0"/>
              <w:rPr>
                <w:sz w:val="17"/>
                <w:szCs w:val="17"/>
                <w:color w:val="auto"/>
              </w:rPr>
            </w:pPr>
          </w:p>
        </w:tc>
        <w:tc>
          <w:tcPr>
            <w:tcW w:w="2520" w:type="dxa"/>
            <w:vAlign w:val="bottom"/>
            <w:tcBorders>
              <w:top w:val="single" w:sz="8" w:color="auto"/>
            </w:tcBorders>
            <w:shd w:val="clear" w:color="auto" w:fill="CCEEFF"/>
          </w:tcPr>
          <w:p>
            <w:pPr>
              <w:ind w:left="960"/>
              <w:spacing w:after="0" w:line="196" w:lineRule="exact"/>
              <w:rPr>
                <w:sz w:val="20"/>
                <w:szCs w:val="20"/>
                <w:color w:val="auto"/>
              </w:rPr>
            </w:pPr>
            <w:r>
              <w:rPr>
                <w:rFonts w:ascii="Times New Roman" w:cs="Times New Roman" w:eastAsia="Times New Roman" w:hAnsi="Times New Roman"/>
                <w:sz w:val="18"/>
                <w:szCs w:val="18"/>
                <w:color w:val="auto"/>
              </w:rPr>
              <w:t>165,657</w:t>
            </w:r>
          </w:p>
        </w:tc>
        <w:tc>
          <w:tcPr>
            <w:tcW w:w="300" w:type="dxa"/>
            <w:vAlign w:val="bottom"/>
            <w:tcBorders>
              <w:top w:val="single" w:sz="8" w:color="CCEEFF"/>
            </w:tcBorders>
            <w:shd w:val="clear" w:color="auto" w:fill="CCEEFF"/>
          </w:tcPr>
          <w:p>
            <w:pPr>
              <w:spacing w:after="0"/>
              <w:rPr>
                <w:sz w:val="17"/>
                <w:szCs w:val="17"/>
                <w:color w:val="auto"/>
              </w:rPr>
            </w:pPr>
          </w:p>
        </w:tc>
        <w:tc>
          <w:tcPr>
            <w:tcW w:w="2520" w:type="dxa"/>
            <w:vAlign w:val="bottom"/>
            <w:tcBorders>
              <w:top w:val="single" w:sz="8" w:color="auto"/>
            </w:tcBorders>
            <w:shd w:val="clear" w:color="auto" w:fill="CCEEFF"/>
          </w:tcPr>
          <w:p>
            <w:pPr>
              <w:jc w:val="right"/>
              <w:ind w:right="930"/>
              <w:spacing w:after="0" w:line="196" w:lineRule="exact"/>
              <w:rPr>
                <w:sz w:val="20"/>
                <w:szCs w:val="20"/>
                <w:color w:val="auto"/>
              </w:rPr>
            </w:pPr>
            <w:r>
              <w:rPr>
                <w:rFonts w:ascii="Times New Roman" w:cs="Times New Roman" w:eastAsia="Times New Roman" w:hAnsi="Times New Roman"/>
                <w:sz w:val="18"/>
                <w:szCs w:val="18"/>
                <w:color w:val="auto"/>
              </w:rPr>
              <w:t>14,924</w:t>
            </w:r>
          </w:p>
        </w:tc>
      </w:tr>
    </w:tbl>
    <w:p>
      <w:pPr>
        <w:spacing w:after="0" w:line="306"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The stockholders ratified the appointment of Ernst &amp; Young LLP as the Company’s independent registered public accounting firm for the fiscal year ending December 31, 2025.</w:t>
      </w:r>
    </w:p>
    <w:p>
      <w:pPr>
        <w:spacing w:after="0" w:line="189" w:lineRule="exact"/>
        <w:rPr>
          <w:sz w:val="20"/>
          <w:szCs w:val="20"/>
          <w:color w:val="auto"/>
        </w:rPr>
      </w:pPr>
    </w:p>
    <w:p>
      <w:pPr>
        <w:ind w:left="340"/>
        <w:spacing w:after="0"/>
        <w:tabs>
          <w:tab w:leader="none" w:pos="620" w:val="left"/>
        </w:tabs>
        <w:rPr>
          <w:sz w:val="20"/>
          <w:szCs w:val="20"/>
          <w:color w:val="auto"/>
        </w:rPr>
      </w:pP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7"/>
          <w:szCs w:val="17"/>
          <w:color w:val="auto"/>
        </w:rPr>
        <w:t>The approval, on a non-binding advisory basis, of the compensation of the Company’s named executive officers: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8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28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8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196"/>
        </w:trPr>
        <w:tc>
          <w:tcPr>
            <w:tcW w:w="2500" w:type="dxa"/>
            <w:vAlign w:val="bottom"/>
            <w:tcBorders>
              <w:top w:val="single" w:sz="8" w:color="auto"/>
            </w:tcBorders>
            <w:shd w:val="clear" w:color="auto" w:fill="CCEEFF"/>
          </w:tcPr>
          <w:p>
            <w:pPr>
              <w:jc w:val="right"/>
              <w:ind w:right="750"/>
              <w:spacing w:after="0" w:line="196" w:lineRule="exact"/>
              <w:rPr>
                <w:sz w:val="20"/>
                <w:szCs w:val="20"/>
                <w:color w:val="auto"/>
              </w:rPr>
            </w:pPr>
            <w:r>
              <w:rPr>
                <w:rFonts w:ascii="Times New Roman" w:cs="Times New Roman" w:eastAsia="Times New Roman" w:hAnsi="Times New Roman"/>
                <w:sz w:val="18"/>
                <w:szCs w:val="18"/>
                <w:color w:val="auto"/>
              </w:rPr>
              <w:t>67,829,470</w:t>
            </w:r>
          </w:p>
        </w:tc>
        <w:tc>
          <w:tcPr>
            <w:tcW w:w="300" w:type="dxa"/>
            <w:vAlign w:val="bottom"/>
            <w:tcBorders>
              <w:top w:val="single" w:sz="8" w:color="CCEEFF"/>
            </w:tcBorders>
            <w:shd w:val="clear" w:color="auto" w:fill="CCEEFF"/>
          </w:tcPr>
          <w:p>
            <w:pPr>
              <w:spacing w:after="0"/>
              <w:rPr>
                <w:sz w:val="17"/>
                <w:szCs w:val="17"/>
                <w:color w:val="auto"/>
              </w:rPr>
            </w:pPr>
          </w:p>
        </w:tc>
        <w:tc>
          <w:tcPr>
            <w:tcW w:w="2500" w:type="dxa"/>
            <w:vAlign w:val="bottom"/>
            <w:tcBorders>
              <w:top w:val="single" w:sz="8" w:color="auto"/>
            </w:tcBorders>
            <w:shd w:val="clear" w:color="auto" w:fill="CCEEFF"/>
          </w:tcPr>
          <w:p>
            <w:pPr>
              <w:jc w:val="right"/>
              <w:ind w:right="810"/>
              <w:spacing w:after="0" w:line="196" w:lineRule="exact"/>
              <w:rPr>
                <w:sz w:val="20"/>
                <w:szCs w:val="20"/>
                <w:color w:val="auto"/>
              </w:rPr>
            </w:pPr>
            <w:r>
              <w:rPr>
                <w:rFonts w:ascii="Times New Roman" w:cs="Times New Roman" w:eastAsia="Times New Roman" w:hAnsi="Times New Roman"/>
                <w:sz w:val="18"/>
                <w:szCs w:val="18"/>
                <w:color w:val="auto"/>
              </w:rPr>
              <w:t>1,849,211</w:t>
            </w:r>
          </w:p>
        </w:tc>
        <w:tc>
          <w:tcPr>
            <w:tcW w:w="320" w:type="dxa"/>
            <w:vAlign w:val="bottom"/>
            <w:tcBorders>
              <w:top w:val="single" w:sz="8" w:color="CCEEFF"/>
            </w:tcBorders>
            <w:shd w:val="clear" w:color="auto" w:fill="CCEEFF"/>
          </w:tcPr>
          <w:p>
            <w:pPr>
              <w:spacing w:after="0"/>
              <w:rPr>
                <w:sz w:val="17"/>
                <w:szCs w:val="17"/>
                <w:color w:val="auto"/>
              </w:rPr>
            </w:pPr>
          </w:p>
        </w:tc>
        <w:tc>
          <w:tcPr>
            <w:tcW w:w="2500" w:type="dxa"/>
            <w:vAlign w:val="bottom"/>
            <w:tcBorders>
              <w:top w:val="single" w:sz="8" w:color="auto"/>
            </w:tcBorders>
            <w:shd w:val="clear" w:color="auto" w:fill="CCEEFF"/>
          </w:tcPr>
          <w:p>
            <w:pPr>
              <w:jc w:val="right"/>
              <w:ind w:right="910"/>
              <w:spacing w:after="0" w:line="196" w:lineRule="exact"/>
              <w:rPr>
                <w:sz w:val="20"/>
                <w:szCs w:val="20"/>
                <w:color w:val="auto"/>
              </w:rPr>
            </w:pPr>
            <w:r>
              <w:rPr>
                <w:rFonts w:ascii="Times New Roman" w:cs="Times New Roman" w:eastAsia="Times New Roman" w:hAnsi="Times New Roman"/>
                <w:sz w:val="18"/>
                <w:szCs w:val="18"/>
                <w:color w:val="auto"/>
              </w:rPr>
              <w:t>11,545</w:t>
            </w:r>
          </w:p>
        </w:tc>
        <w:tc>
          <w:tcPr>
            <w:tcW w:w="320" w:type="dxa"/>
            <w:vAlign w:val="bottom"/>
            <w:tcBorders>
              <w:top w:val="single" w:sz="8" w:color="CCEEFF"/>
            </w:tcBorders>
            <w:shd w:val="clear" w:color="auto" w:fill="CCEEFF"/>
          </w:tcPr>
          <w:p>
            <w:pPr>
              <w:spacing w:after="0"/>
              <w:rPr>
                <w:sz w:val="17"/>
                <w:szCs w:val="17"/>
                <w:color w:val="auto"/>
              </w:rPr>
            </w:pPr>
          </w:p>
        </w:tc>
        <w:tc>
          <w:tcPr>
            <w:tcW w:w="2500" w:type="dxa"/>
            <w:vAlign w:val="bottom"/>
            <w:tcBorders>
              <w:top w:val="single" w:sz="8" w:color="auto"/>
            </w:tcBorders>
            <w:shd w:val="clear" w:color="auto" w:fill="CCEEFF"/>
          </w:tcPr>
          <w:p>
            <w:pPr>
              <w:jc w:val="right"/>
              <w:ind w:right="810"/>
              <w:spacing w:after="0" w:line="196" w:lineRule="exact"/>
              <w:rPr>
                <w:sz w:val="20"/>
                <w:szCs w:val="20"/>
                <w:color w:val="auto"/>
              </w:rPr>
            </w:pPr>
            <w:r>
              <w:rPr>
                <w:rFonts w:ascii="Times New Roman" w:cs="Times New Roman" w:eastAsia="Times New Roman" w:hAnsi="Times New Roman"/>
                <w:sz w:val="18"/>
                <w:szCs w:val="18"/>
                <w:color w:val="auto"/>
              </w:rPr>
              <w:t>2,662,888</w:t>
            </w:r>
          </w:p>
        </w:tc>
        <w:tc>
          <w:tcPr>
            <w:tcW w:w="300" w:type="dxa"/>
            <w:vAlign w:val="bottom"/>
          </w:tcPr>
          <w:p>
            <w:pPr>
              <w:spacing w:after="0"/>
              <w:rPr>
                <w:sz w:val="17"/>
                <w:szCs w:val="17"/>
                <w:color w:val="auto"/>
              </w:rPr>
            </w:pPr>
          </w:p>
        </w:tc>
      </w:tr>
      <w:tr>
        <w:trPr>
          <w:trHeight w:val="1505"/>
        </w:trPr>
        <w:tc>
          <w:tcPr>
            <w:tcW w:w="25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stockholders approved, on a non-binding advisory basis, the compensation of the Company’s named executive officers.</w:t>
      </w:r>
    </w:p>
    <w:p>
      <w:pPr>
        <w:spacing w:after="0" w:line="252" w:lineRule="exact"/>
        <w:rPr>
          <w:sz w:val="20"/>
          <w:szCs w:val="20"/>
          <w:color w:val="auto"/>
        </w:rPr>
      </w:pPr>
    </w:p>
    <w:p>
      <w:pPr>
        <w:ind w:right="20" w:firstLine="332"/>
        <w:spacing w:after="0" w:line="282" w:lineRule="auto"/>
        <w:tabs>
          <w:tab w:leader="none" w:pos="65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selection, on a non-binding advisory basis, of whether future advisory votes on the compensation of the Company’s named executive officers should be held every one, two or three years: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8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One Year</w:t>
            </w:r>
          </w:p>
        </w:tc>
        <w:tc>
          <w:tcPr>
            <w:tcW w:w="28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5"/>
              </w:rPr>
              <w:t>Two Years</w:t>
            </w:r>
          </w:p>
        </w:tc>
        <w:tc>
          <w:tcPr>
            <w:tcW w:w="28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Three Years</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r>
      <w:tr>
        <w:trPr>
          <w:trHeight w:val="196"/>
        </w:trPr>
        <w:tc>
          <w:tcPr>
            <w:tcW w:w="2500" w:type="dxa"/>
            <w:vAlign w:val="bottom"/>
            <w:tcBorders>
              <w:top w:val="single" w:sz="8" w:color="auto"/>
            </w:tcBorders>
            <w:shd w:val="clear" w:color="auto" w:fill="CCEEFF"/>
          </w:tcPr>
          <w:p>
            <w:pPr>
              <w:jc w:val="right"/>
              <w:ind w:right="750"/>
              <w:spacing w:after="0" w:line="196" w:lineRule="exact"/>
              <w:rPr>
                <w:sz w:val="20"/>
                <w:szCs w:val="20"/>
                <w:color w:val="auto"/>
              </w:rPr>
            </w:pPr>
            <w:r>
              <w:rPr>
                <w:rFonts w:ascii="Times New Roman" w:cs="Times New Roman" w:eastAsia="Times New Roman" w:hAnsi="Times New Roman"/>
                <w:sz w:val="18"/>
                <w:szCs w:val="18"/>
                <w:color w:val="auto"/>
              </w:rPr>
              <w:t>66,846,469</w:t>
            </w:r>
          </w:p>
        </w:tc>
        <w:tc>
          <w:tcPr>
            <w:tcW w:w="300" w:type="dxa"/>
            <w:vAlign w:val="bottom"/>
            <w:tcBorders>
              <w:top w:val="single" w:sz="8" w:color="CCEEFF"/>
            </w:tcBorders>
            <w:shd w:val="clear" w:color="auto" w:fill="CCEEFF"/>
          </w:tcPr>
          <w:p>
            <w:pPr>
              <w:spacing w:after="0"/>
              <w:rPr>
                <w:sz w:val="17"/>
                <w:szCs w:val="17"/>
                <w:color w:val="auto"/>
              </w:rPr>
            </w:pPr>
          </w:p>
        </w:tc>
        <w:tc>
          <w:tcPr>
            <w:tcW w:w="2500" w:type="dxa"/>
            <w:vAlign w:val="bottom"/>
            <w:tcBorders>
              <w:top w:val="single" w:sz="8" w:color="auto"/>
            </w:tcBorders>
            <w:shd w:val="clear" w:color="auto" w:fill="CCEEFF"/>
          </w:tcPr>
          <w:p>
            <w:pPr>
              <w:jc w:val="right"/>
              <w:ind w:right="910"/>
              <w:spacing w:after="0" w:line="196" w:lineRule="exact"/>
              <w:rPr>
                <w:sz w:val="20"/>
                <w:szCs w:val="20"/>
                <w:color w:val="auto"/>
              </w:rPr>
            </w:pPr>
            <w:r>
              <w:rPr>
                <w:rFonts w:ascii="Times New Roman" w:cs="Times New Roman" w:eastAsia="Times New Roman" w:hAnsi="Times New Roman"/>
                <w:sz w:val="18"/>
                <w:szCs w:val="18"/>
                <w:color w:val="auto"/>
              </w:rPr>
              <w:t>48,744</w:t>
            </w:r>
          </w:p>
        </w:tc>
        <w:tc>
          <w:tcPr>
            <w:tcW w:w="320" w:type="dxa"/>
            <w:vAlign w:val="bottom"/>
            <w:tcBorders>
              <w:top w:val="single" w:sz="8" w:color="CCEEFF"/>
            </w:tcBorders>
            <w:shd w:val="clear" w:color="auto" w:fill="CCEEFF"/>
          </w:tcPr>
          <w:p>
            <w:pPr>
              <w:spacing w:after="0"/>
              <w:rPr>
                <w:sz w:val="17"/>
                <w:szCs w:val="17"/>
                <w:color w:val="auto"/>
              </w:rPr>
            </w:pPr>
          </w:p>
        </w:tc>
        <w:tc>
          <w:tcPr>
            <w:tcW w:w="2500" w:type="dxa"/>
            <w:vAlign w:val="bottom"/>
            <w:tcBorders>
              <w:top w:val="single" w:sz="8" w:color="auto"/>
            </w:tcBorders>
            <w:shd w:val="clear" w:color="auto" w:fill="CCEEFF"/>
          </w:tcPr>
          <w:p>
            <w:pPr>
              <w:jc w:val="right"/>
              <w:ind w:right="810"/>
              <w:spacing w:after="0" w:line="196" w:lineRule="exact"/>
              <w:rPr>
                <w:sz w:val="20"/>
                <w:szCs w:val="20"/>
                <w:color w:val="auto"/>
              </w:rPr>
            </w:pPr>
            <w:r>
              <w:rPr>
                <w:rFonts w:ascii="Times New Roman" w:cs="Times New Roman" w:eastAsia="Times New Roman" w:hAnsi="Times New Roman"/>
                <w:sz w:val="18"/>
                <w:szCs w:val="18"/>
                <w:color w:val="auto"/>
              </w:rPr>
              <w:t>2,783,951</w:t>
            </w:r>
          </w:p>
        </w:tc>
        <w:tc>
          <w:tcPr>
            <w:tcW w:w="320" w:type="dxa"/>
            <w:vAlign w:val="bottom"/>
            <w:tcBorders>
              <w:top w:val="single" w:sz="8" w:color="CCEEFF"/>
            </w:tcBorders>
            <w:shd w:val="clear" w:color="auto" w:fill="CCEEFF"/>
          </w:tcPr>
          <w:p>
            <w:pPr>
              <w:spacing w:after="0"/>
              <w:rPr>
                <w:sz w:val="17"/>
                <w:szCs w:val="17"/>
                <w:color w:val="auto"/>
              </w:rPr>
            </w:pPr>
          </w:p>
        </w:tc>
        <w:tc>
          <w:tcPr>
            <w:tcW w:w="2500" w:type="dxa"/>
            <w:vAlign w:val="bottom"/>
            <w:tcBorders>
              <w:top w:val="single" w:sz="8" w:color="auto"/>
            </w:tcBorders>
            <w:shd w:val="clear" w:color="auto" w:fill="CCEEFF"/>
          </w:tcPr>
          <w:p>
            <w:pPr>
              <w:jc w:val="right"/>
              <w:ind w:right="910"/>
              <w:spacing w:after="0" w:line="196" w:lineRule="exact"/>
              <w:rPr>
                <w:sz w:val="20"/>
                <w:szCs w:val="20"/>
                <w:color w:val="auto"/>
              </w:rPr>
            </w:pPr>
            <w:r>
              <w:rPr>
                <w:rFonts w:ascii="Times New Roman" w:cs="Times New Roman" w:eastAsia="Times New Roman" w:hAnsi="Times New Roman"/>
                <w:sz w:val="18"/>
                <w:szCs w:val="18"/>
                <w:color w:val="auto"/>
              </w:rPr>
              <w:t>11,062</w:t>
            </w:r>
          </w:p>
        </w:tc>
      </w:tr>
    </w:tbl>
    <w:p>
      <w:pPr>
        <w:spacing w:after="0" w:line="3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stockholders approved, on a non-binding advisory basis, that future non-binding advisory votes on the compensation of the Company’s named executive officers be held every year. Consistent with the results of the advisory vote and with the Company’s recommendation, the Company’s Board of Directors has determined that the Company will conduct future stockholder non-binding advisory votes regarding the compensation to be paid by the Company to its named executive officers every year. This policy will remain in effect until the next stockholder vote on the frequency of stockholder advisory votes on the compensation of named executive officers, expected to be held at the Company’s 2031 Annual Meeting of Stockholders.</w:t>
      </w:r>
    </w:p>
    <w:p>
      <w:pPr>
        <w:spacing w:after="0" w:line="210" w:lineRule="exact"/>
        <w:rPr>
          <w:sz w:val="20"/>
          <w:szCs w:val="20"/>
          <w:color w:val="auto"/>
        </w:rPr>
      </w:pPr>
    </w:p>
    <w:p>
      <w:pPr>
        <w:ind w:left="680" w:hanging="348"/>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2023 Plan Amendment: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8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28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196"/>
        </w:trPr>
        <w:tc>
          <w:tcPr>
            <w:tcW w:w="2500" w:type="dxa"/>
            <w:vAlign w:val="bottom"/>
            <w:tcBorders>
              <w:top w:val="single" w:sz="8" w:color="auto"/>
            </w:tcBorders>
            <w:shd w:val="clear" w:color="auto" w:fill="CCEEFF"/>
          </w:tcPr>
          <w:p>
            <w:pPr>
              <w:jc w:val="right"/>
              <w:ind w:right="750"/>
              <w:spacing w:after="0" w:line="196" w:lineRule="exact"/>
              <w:rPr>
                <w:sz w:val="20"/>
                <w:szCs w:val="20"/>
                <w:color w:val="auto"/>
              </w:rPr>
            </w:pPr>
            <w:r>
              <w:rPr>
                <w:rFonts w:ascii="Times New Roman" w:cs="Times New Roman" w:eastAsia="Times New Roman" w:hAnsi="Times New Roman"/>
                <w:sz w:val="18"/>
                <w:szCs w:val="18"/>
                <w:color w:val="auto"/>
              </w:rPr>
              <w:t>50,604,131</w:t>
            </w:r>
          </w:p>
        </w:tc>
        <w:tc>
          <w:tcPr>
            <w:tcW w:w="300" w:type="dxa"/>
            <w:vAlign w:val="bottom"/>
            <w:tcBorders>
              <w:top w:val="single" w:sz="8" w:color="CCEEFF"/>
            </w:tcBorders>
            <w:shd w:val="clear" w:color="auto" w:fill="CCEEFF"/>
          </w:tcPr>
          <w:p>
            <w:pPr>
              <w:spacing w:after="0"/>
              <w:rPr>
                <w:sz w:val="17"/>
                <w:szCs w:val="17"/>
                <w:color w:val="auto"/>
              </w:rPr>
            </w:pPr>
          </w:p>
        </w:tc>
        <w:tc>
          <w:tcPr>
            <w:tcW w:w="2500" w:type="dxa"/>
            <w:vAlign w:val="bottom"/>
            <w:tcBorders>
              <w:top w:val="single" w:sz="8" w:color="auto"/>
            </w:tcBorders>
            <w:shd w:val="clear" w:color="auto" w:fill="CCEEFF"/>
          </w:tcPr>
          <w:p>
            <w:pPr>
              <w:jc w:val="right"/>
              <w:ind w:right="750"/>
              <w:spacing w:after="0" w:line="196" w:lineRule="exact"/>
              <w:rPr>
                <w:sz w:val="20"/>
                <w:szCs w:val="20"/>
                <w:color w:val="auto"/>
              </w:rPr>
            </w:pPr>
            <w:r>
              <w:rPr>
                <w:rFonts w:ascii="Times New Roman" w:cs="Times New Roman" w:eastAsia="Times New Roman" w:hAnsi="Times New Roman"/>
                <w:sz w:val="18"/>
                <w:szCs w:val="18"/>
                <w:color w:val="auto"/>
              </w:rPr>
              <w:t>19,070,837</w:t>
            </w:r>
          </w:p>
        </w:tc>
        <w:tc>
          <w:tcPr>
            <w:tcW w:w="320" w:type="dxa"/>
            <w:vAlign w:val="bottom"/>
            <w:tcBorders>
              <w:top w:val="single" w:sz="8" w:color="CCEEFF"/>
            </w:tcBorders>
            <w:shd w:val="clear" w:color="auto" w:fill="CCEEFF"/>
          </w:tcPr>
          <w:p>
            <w:pPr>
              <w:spacing w:after="0"/>
              <w:rPr>
                <w:sz w:val="17"/>
                <w:szCs w:val="17"/>
                <w:color w:val="auto"/>
              </w:rPr>
            </w:pPr>
          </w:p>
        </w:tc>
        <w:tc>
          <w:tcPr>
            <w:tcW w:w="2500" w:type="dxa"/>
            <w:vAlign w:val="bottom"/>
            <w:tcBorders>
              <w:top w:val="single" w:sz="8" w:color="auto"/>
            </w:tcBorders>
            <w:shd w:val="clear" w:color="auto" w:fill="CCEEFF"/>
          </w:tcPr>
          <w:p>
            <w:pPr>
              <w:jc w:val="right"/>
              <w:ind w:right="910"/>
              <w:spacing w:after="0" w:line="196" w:lineRule="exact"/>
              <w:rPr>
                <w:sz w:val="20"/>
                <w:szCs w:val="20"/>
                <w:color w:val="auto"/>
              </w:rPr>
            </w:pPr>
            <w:r>
              <w:rPr>
                <w:rFonts w:ascii="Times New Roman" w:cs="Times New Roman" w:eastAsia="Times New Roman" w:hAnsi="Times New Roman"/>
                <w:sz w:val="18"/>
                <w:szCs w:val="18"/>
                <w:color w:val="auto"/>
              </w:rPr>
              <w:t>15,258</w:t>
            </w:r>
          </w:p>
        </w:tc>
        <w:tc>
          <w:tcPr>
            <w:tcW w:w="320" w:type="dxa"/>
            <w:vAlign w:val="bottom"/>
            <w:tcBorders>
              <w:top w:val="single" w:sz="8" w:color="CCEEFF"/>
            </w:tcBorders>
            <w:shd w:val="clear" w:color="auto" w:fill="CCEEFF"/>
          </w:tcPr>
          <w:p>
            <w:pPr>
              <w:spacing w:after="0"/>
              <w:rPr>
                <w:sz w:val="17"/>
                <w:szCs w:val="17"/>
                <w:color w:val="auto"/>
              </w:rPr>
            </w:pPr>
          </w:p>
        </w:tc>
        <w:tc>
          <w:tcPr>
            <w:tcW w:w="2500" w:type="dxa"/>
            <w:vAlign w:val="bottom"/>
            <w:tcBorders>
              <w:top w:val="single" w:sz="8" w:color="auto"/>
            </w:tcBorders>
            <w:shd w:val="clear" w:color="auto" w:fill="CCEEFF"/>
          </w:tcPr>
          <w:p>
            <w:pPr>
              <w:jc w:val="right"/>
              <w:ind w:right="810"/>
              <w:spacing w:after="0" w:line="196" w:lineRule="exact"/>
              <w:rPr>
                <w:sz w:val="20"/>
                <w:szCs w:val="20"/>
                <w:color w:val="auto"/>
              </w:rPr>
            </w:pPr>
            <w:r>
              <w:rPr>
                <w:rFonts w:ascii="Times New Roman" w:cs="Times New Roman" w:eastAsia="Times New Roman" w:hAnsi="Times New Roman"/>
                <w:sz w:val="18"/>
                <w:szCs w:val="18"/>
                <w:color w:val="auto"/>
              </w:rPr>
              <w:t>2,662,888</w:t>
            </w:r>
          </w:p>
        </w:tc>
      </w:tr>
    </w:tbl>
    <w:p>
      <w:pPr>
        <w:spacing w:after="0" w:line="3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stockholders approved the 2023 Plan Amendment.</w:t>
      </w:r>
    </w:p>
    <w:p>
      <w:pPr>
        <w:spacing w:after="0" w:line="200" w:lineRule="exact"/>
        <w:rPr>
          <w:sz w:val="20"/>
          <w:szCs w:val="20"/>
          <w:color w:val="auto"/>
        </w:rPr>
      </w:pPr>
    </w:p>
    <w:p>
      <w:pPr>
        <w:spacing w:after="0" w:line="291"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6"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 Exhibits.</w:t>
            </w:r>
          </w:p>
        </w:tc>
        <w:tc>
          <w:tcPr>
            <w:tcW w:w="304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256"/>
        </w:trPr>
        <w:tc>
          <w:tcPr>
            <w:tcW w:w="126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3040" w:type="dxa"/>
            <w:vAlign w:val="bottom"/>
          </w:tcPr>
          <w:p>
            <w:pPr>
              <w:spacing w:after="0"/>
              <w:rPr>
                <w:sz w:val="22"/>
                <w:szCs w:val="22"/>
                <w:color w:val="auto"/>
              </w:rPr>
            </w:pPr>
          </w:p>
        </w:tc>
        <w:tc>
          <w:tcPr>
            <w:tcW w:w="2280" w:type="dxa"/>
            <w:vAlign w:val="bottom"/>
          </w:tcPr>
          <w:p>
            <w:pPr>
              <w:ind w:left="1380"/>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r>
      <w:tr>
        <w:trPr>
          <w:trHeight w:val="243"/>
        </w:trPr>
        <w:tc>
          <w:tcPr>
            <w:tcW w:w="12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10.1</w:t>
            </w:r>
          </w:p>
        </w:tc>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2023 Equity Incentive Plan, as Amended*</w:t>
            </w:r>
          </w:p>
        </w:tc>
      </w:tr>
      <w:tr>
        <w:trPr>
          <w:trHeight w:val="20"/>
        </w:trPr>
        <w:tc>
          <w:tcPr>
            <w:tcW w:w="1260" w:type="dxa"/>
            <w:vAlign w:val="bottom"/>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bl>
    <w:p>
      <w:pPr>
        <w:spacing w:after="0" w:line="49" w:lineRule="exact"/>
        <w:rPr>
          <w:sz w:val="20"/>
          <w:szCs w:val="20"/>
          <w:color w:val="auto"/>
        </w:rPr>
      </w:pPr>
    </w:p>
    <w:p>
      <w:pPr>
        <w:ind w:left="1480" w:hanging="952"/>
        <w:spacing w:after="0"/>
        <w:tabs>
          <w:tab w:leader="none" w:pos="14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9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p>
      <w:pPr>
        <w:ind w:left="20"/>
        <w:spacing w:after="0"/>
        <w:tabs>
          <w:tab w:leader="none" w:pos="100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June 18, 2025</w:t>
      </w:r>
    </w:p>
    <w:p>
      <w:pPr>
        <w:spacing w:after="0" w:line="27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VERACYTE, INC.</w:t>
      </w:r>
    </w:p>
    <w:p>
      <w:pPr>
        <w:spacing w:after="0" w:line="279" w:lineRule="exact"/>
        <w:rPr>
          <w:sz w:val="20"/>
          <w:szCs w:val="20"/>
          <w:color w:val="auto"/>
        </w:rPr>
      </w:pPr>
    </w:p>
    <w:tbl>
      <w:tblPr>
        <w:tblLayout w:type="fixed"/>
        <w:tblInd w:w="4580" w:type="dxa"/>
        <w:tblCellMar>
          <w:top w:w="0" w:type="dxa"/>
          <w:left w:w="0" w:type="dxa"/>
          <w:bottom w:w="0" w:type="dxa"/>
          <w:right w:w="0" w:type="dxa"/>
        </w:tblCellMar>
      </w:tblPr>
      <w:tr>
        <w:trPr>
          <w:trHeight w:val="241"/>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6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Rebecca Chambers</w:t>
            </w:r>
          </w:p>
        </w:tc>
      </w:tr>
      <w:tr>
        <w:trPr>
          <w:trHeight w:val="243"/>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6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Rebecca Chambers</w:t>
            </w:r>
          </w:p>
        </w:tc>
      </w:tr>
      <w:tr>
        <w:trPr>
          <w:trHeight w:val="25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66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257"/>
        </w:trPr>
        <w:tc>
          <w:tcPr>
            <w:tcW w:w="920" w:type="dxa"/>
            <w:vAlign w:val="bottom"/>
          </w:tcPr>
          <w:p>
            <w:pPr>
              <w:spacing w:after="0"/>
              <w:rPr>
                <w:sz w:val="22"/>
                <w:szCs w:val="22"/>
                <w:color w:val="auto"/>
              </w:rPr>
            </w:pPr>
          </w:p>
        </w:tc>
        <w:tc>
          <w:tcPr>
            <w:tcW w:w="56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ectPr>
          <w:pgSz w:w="11900" w:h="16838" w:orient="portrait"/>
          <w:cols w:equalWidth="0" w:num="1">
            <w:col w:w="11200"/>
          </w:cols>
          <w:pgMar w:left="320" w:top="1400" w:right="3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2023 EQUITY INCENTIVE PLAN, AS AMENDED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(ADOPTED BY THE BOARD OF DIRECTORS ON APRIL 12, 2023,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AMENDED JUNE 12, 2024 AND JUNE 17, 2025)</w:t>
      </w:r>
    </w:p>
    <w:p>
      <w:pPr>
        <w:spacing w:after="0" w:line="203" w:lineRule="exact"/>
        <w:rPr>
          <w:sz w:val="20"/>
          <w:szCs w:val="20"/>
          <w:color w:val="auto"/>
        </w:rPr>
      </w:pPr>
    </w:p>
    <w:p>
      <w:pPr>
        <w:jc w:val="both"/>
        <w:ind w:firstLine="8"/>
        <w:spacing w:after="0" w:line="268" w:lineRule="auto"/>
        <w:tabs>
          <w:tab w:leader="none" w:pos="315"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PURPOSE</w:t>
      </w:r>
      <w:r>
        <w:rPr>
          <w:rFonts w:ascii="Times New Roman" w:cs="Times New Roman" w:eastAsia="Times New Roman" w:hAnsi="Times New Roman"/>
          <w:sz w:val="18"/>
          <w:szCs w:val="18"/>
          <w:color w:val="auto"/>
        </w:rPr>
        <w:t>. The purpose of this Plan is to provide incentives to attract, retain, and motivate eligible persons whose present and potential contributions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are important to the success of the Company, and any Parents, Subsidiaries, and Affiliates that exist now or in the future, by offering them an opportunity to participate in the Company’s future performance through the grant of Awards. Capitalized terms not defined elsewhere in the text are defined in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b w:val="1"/>
          <w:bCs w:val="1"/>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SHARES SUBJECT TO THIS PLAN</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010000"/>
        </w:rPr>
        <w:t xml:space="preserve">2.1. </w:t>
      </w:r>
      <w:r>
        <w:rPr>
          <w:rFonts w:ascii="Times New Roman" w:cs="Times New Roman" w:eastAsia="Times New Roman" w:hAnsi="Times New Roman"/>
          <w:sz w:val="18"/>
          <w:szCs w:val="18"/>
          <w:u w:val="single" w:color="auto"/>
          <w:color w:val="000000"/>
        </w:rPr>
        <w:t>Number of Shares Available</w:t>
      </w:r>
      <w:r>
        <w:rPr>
          <w:rFonts w:ascii="Times New Roman" w:cs="Times New Roman" w:eastAsia="Times New Roman" w:hAnsi="Times New Roman"/>
          <w:sz w:val="18"/>
          <w:szCs w:val="18"/>
          <w:color w:val="000000"/>
        </w:rPr>
        <w:t>. Subject to</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u w:val="single" w:color="auto"/>
          <w:color w:val="000000"/>
        </w:rPr>
        <w:t>Sections 2.5 and 21</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and any other applicable provisions hereof, the total number of Shares reserved</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and available for grant and issuance pursuant to this Plan is 10,306,156 </w:t>
      </w:r>
      <w:r>
        <w:rPr>
          <w:rFonts w:ascii="Times New Roman" w:cs="Times New Roman" w:eastAsia="Times New Roman" w:hAnsi="Times New Roman"/>
          <w:sz w:val="18"/>
          <w:szCs w:val="18"/>
          <w:i w:val="1"/>
          <w:iCs w:val="1"/>
          <w:color w:val="000000"/>
        </w:rPr>
        <w:t>plus</w:t>
      </w:r>
      <w:r>
        <w:rPr>
          <w:rFonts w:ascii="Times New Roman" w:cs="Times New Roman" w:eastAsia="Times New Roman" w:hAnsi="Times New Roman"/>
          <w:sz w:val="18"/>
          <w:szCs w:val="18"/>
          <w:color w:val="000000"/>
        </w:rPr>
        <w:t xml:space="preserve"> (a) Shares that are subject to awards granted under the Prior Plan that cease to be subject to such awards by forfeiture or otherwise after the Effective Date, (b) Shares issued under the Prior Plan, including Shares issued pursuant to the exercise of stock options, that are forfeited after the Effective Date, (c) Shares issued under the Prior Plan that are repurchased by the Company at the original issue price after the Effective Date, (d) Shares that are subject to awards granted under the Prior Plan that are settled in cash after the Effective Date and (e) Shares that are subject to awards under the Prior Plan that are used to pay the Exercise Price of an award or withheld to satisfy the tax withholding obligations related to an award after the Effective Date. As of the Effective Date, no further awards can be granted under the Prior Plan.</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010000"/>
        </w:rPr>
        <w:t xml:space="preserve">2.2. </w:t>
      </w:r>
      <w:r>
        <w:rPr>
          <w:rFonts w:ascii="Times New Roman" w:cs="Times New Roman" w:eastAsia="Times New Roman" w:hAnsi="Times New Roman"/>
          <w:sz w:val="18"/>
          <w:szCs w:val="18"/>
          <w:u w:val="single" w:color="auto"/>
          <w:color w:val="000000"/>
        </w:rPr>
        <w:t>Lapsed, Returned Awards</w:t>
      </w:r>
      <w:r>
        <w:rPr>
          <w:rFonts w:ascii="Times New Roman" w:cs="Times New Roman" w:eastAsia="Times New Roman" w:hAnsi="Times New Roman"/>
          <w:sz w:val="18"/>
          <w:szCs w:val="18"/>
          <w:color w:val="000000"/>
        </w:rPr>
        <w:t>. Shares subject to Awards, and Shares issued under this Plan under any Award, will again be available for grant</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and issuance in connection with subsequent Awards under this Plan to the extent such Shares: (a) are subject to issuance upon exercise of an Option or SAR granted under this Plan but which cease to be subject to the Option or SAR for any reason other than exercise of the Option or SAR, (b) are subject to Awards granted under this Plan that are forfeited or are repurchased by the Company at the original issue price, (c) are subject to Awards granted under this Plan that otherwise terminate without such Shares being issued, (d) are surrendered pursuant to an Exchange Program, (e) are subject to Awards granted under this Plan that are settled in cash and (f) are subject to Awards granted under this Plan and are used to pay the Exercise Price of an Award or withheld to satisfy the tax withholding obligations related to an Award. For the avoidance of doubt, Shares that otherwise become available for grant and issuance because of the provisions of this </w:t>
      </w:r>
      <w:r>
        <w:rPr>
          <w:rFonts w:ascii="Times New Roman" w:cs="Times New Roman" w:eastAsia="Times New Roman" w:hAnsi="Times New Roman"/>
          <w:sz w:val="18"/>
          <w:szCs w:val="18"/>
          <w:u w:val="single" w:color="auto"/>
          <w:color w:val="000000"/>
        </w:rPr>
        <w:t>Section 2.2</w:t>
      </w:r>
      <w:r>
        <w:rPr>
          <w:rFonts w:ascii="Times New Roman" w:cs="Times New Roman" w:eastAsia="Times New Roman" w:hAnsi="Times New Roman"/>
          <w:sz w:val="18"/>
          <w:szCs w:val="18"/>
          <w:color w:val="000000"/>
        </w:rPr>
        <w:t xml:space="preserve"> will not include Shares subject to Awards that initially became available because of the substitution clause in </w:t>
      </w:r>
      <w:r>
        <w:rPr>
          <w:rFonts w:ascii="Times New Roman" w:cs="Times New Roman" w:eastAsia="Times New Roman" w:hAnsi="Times New Roman"/>
          <w:sz w:val="18"/>
          <w:szCs w:val="18"/>
          <w:u w:val="single" w:color="auto"/>
          <w:color w:val="000000"/>
        </w:rPr>
        <w:t>Section 21.2</w:t>
      </w:r>
      <w:r>
        <w:rPr>
          <w:rFonts w:ascii="Times New Roman" w:cs="Times New Roman" w:eastAsia="Times New Roman" w:hAnsi="Times New Roman"/>
          <w:sz w:val="18"/>
          <w:szCs w:val="18"/>
          <w:color w:val="000000"/>
        </w:rPr>
        <w:t xml:space="preserve"> hereof.</w:t>
      </w:r>
    </w:p>
    <w:p>
      <w:pPr>
        <w:spacing w:after="0" w:line="18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010000"/>
        </w:rPr>
        <w:t xml:space="preserve">2.3. </w:t>
      </w:r>
      <w:r>
        <w:rPr>
          <w:rFonts w:ascii="Times New Roman" w:cs="Times New Roman" w:eastAsia="Times New Roman" w:hAnsi="Times New Roman"/>
          <w:sz w:val="18"/>
          <w:szCs w:val="18"/>
          <w:u w:val="single" w:color="auto"/>
          <w:color w:val="000000"/>
        </w:rPr>
        <w:t>Minimum Share Reserve</w:t>
      </w:r>
      <w:r>
        <w:rPr>
          <w:rFonts w:ascii="Times New Roman" w:cs="Times New Roman" w:eastAsia="Times New Roman" w:hAnsi="Times New Roman"/>
          <w:sz w:val="18"/>
          <w:szCs w:val="18"/>
          <w:color w:val="000000"/>
        </w:rPr>
        <w:t>. At all times the Company will reserve and keep available a sufficient number of Shares as will be required to</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satisfy the requirements of all outstanding Awards granted under this Plan.</w:t>
      </w:r>
    </w:p>
    <w:p>
      <w:pPr>
        <w:spacing w:after="0" w:line="155"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010000"/>
        </w:rPr>
        <w:t>2.4.</w:t>
      </w:r>
      <w:r>
        <w:rPr>
          <w:sz w:val="20"/>
          <w:szCs w:val="20"/>
          <w:color w:val="auto"/>
        </w:rPr>
        <w:tab/>
      </w:r>
      <w:r>
        <w:rPr>
          <w:rFonts w:ascii="Times New Roman" w:cs="Times New Roman" w:eastAsia="Times New Roman" w:hAnsi="Times New Roman"/>
          <w:sz w:val="18"/>
          <w:szCs w:val="18"/>
          <w:u w:val="single" w:color="auto"/>
          <w:color w:val="auto"/>
        </w:rPr>
        <w:t>ISO Limitation</w:t>
      </w:r>
      <w:r>
        <w:rPr>
          <w:rFonts w:ascii="Times New Roman" w:cs="Times New Roman" w:eastAsia="Times New Roman" w:hAnsi="Times New Roman"/>
          <w:sz w:val="18"/>
          <w:szCs w:val="18"/>
          <w:color w:val="auto"/>
        </w:rPr>
        <w:t>. No more than 15,000,000 Shares will be issued pursuant to the exercise of ISOs granted under this Plan.</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010000"/>
        </w:rPr>
        <w:t xml:space="preserve">2.5. </w:t>
      </w:r>
      <w:r>
        <w:rPr>
          <w:rFonts w:ascii="Times New Roman" w:cs="Times New Roman" w:eastAsia="Times New Roman" w:hAnsi="Times New Roman"/>
          <w:sz w:val="18"/>
          <w:szCs w:val="18"/>
          <w:u w:val="single" w:color="auto"/>
          <w:color w:val="000000"/>
        </w:rPr>
        <w:t>Adjustment of Shares</w:t>
      </w:r>
      <w:r>
        <w:rPr>
          <w:rFonts w:ascii="Times New Roman" w:cs="Times New Roman" w:eastAsia="Times New Roman" w:hAnsi="Times New Roman"/>
          <w:sz w:val="18"/>
          <w:szCs w:val="18"/>
          <w:color w:val="000000"/>
        </w:rPr>
        <w:t>. If the number or class of outstanding Shares is changed by a stock dividend, extraordinary dividend or distribution</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(whether in cash, shares, or other property, other than a regular cash dividend), recapitalization, stock split, reverse stock split, subdivision, combination, consolidation, reclassification, spin-off, or similar change in the capital structure of the Company, without consideration, then (a) the number and class of Shares reserved for issuance and future grant under this Plan set forth in </w:t>
      </w:r>
      <w:r>
        <w:rPr>
          <w:rFonts w:ascii="Times New Roman" w:cs="Times New Roman" w:eastAsia="Times New Roman" w:hAnsi="Times New Roman"/>
          <w:sz w:val="18"/>
          <w:szCs w:val="18"/>
          <w:u w:val="single" w:color="auto"/>
          <w:color w:val="000000"/>
        </w:rPr>
        <w:t>Section 2.1</w:t>
      </w:r>
      <w:r>
        <w:rPr>
          <w:rFonts w:ascii="Times New Roman" w:cs="Times New Roman" w:eastAsia="Times New Roman" w:hAnsi="Times New Roman"/>
          <w:sz w:val="18"/>
          <w:szCs w:val="18"/>
          <w:color w:val="000000"/>
        </w:rPr>
        <w:t xml:space="preserve">, (b) the Exercise Prices of and number and class of Shares subject to outstanding Options and SARs, (c) the number and class of Shares subject to other outstanding Awards, and (d) the maximum number and class of Shares that may be issued as ISOs set forth in </w:t>
      </w:r>
      <w:r>
        <w:rPr>
          <w:rFonts w:ascii="Times New Roman" w:cs="Times New Roman" w:eastAsia="Times New Roman" w:hAnsi="Times New Roman"/>
          <w:sz w:val="18"/>
          <w:szCs w:val="18"/>
          <w:u w:val="single" w:color="auto"/>
          <w:color w:val="000000"/>
        </w:rPr>
        <w:t>Section 2.4</w:t>
      </w:r>
      <w:r>
        <w:rPr>
          <w:rFonts w:ascii="Times New Roman" w:cs="Times New Roman" w:eastAsia="Times New Roman" w:hAnsi="Times New Roman"/>
          <w:sz w:val="18"/>
          <w:szCs w:val="18"/>
          <w:color w:val="000000"/>
        </w:rPr>
        <w:t>, will be proportionately adjusted, subject to any required action by the Board or the stockholders of the Company and in compliance with applicable securities laws, provided that fractions of a Share will not be issued.</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If, by reason of an adjustment pursuant to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a Participant’s Award Agreement or other agreement related to any Award, or the Shares subject to such Award, covers additional or different shares of stock or securities, then such additional or different shares, and the Award Agreement or such other agreement in respect thereof, will be subject to all of the terms, conditions, and restrictions which were applicable to the Award or the Shares subject to such Award prior to such adjustment.</w:t>
      </w:r>
    </w:p>
    <w:p>
      <w:pPr>
        <w:sectPr>
          <w:pgSz w:w="11900" w:h="16838" w:orient="portrait"/>
          <w:cols w:equalWidth="0" w:num="1">
            <w:col w:w="11240"/>
          </w:cols>
          <w:pgMar w:left="320" w:top="117" w:right="339" w:bottom="1440" w:gutter="0" w:footer="0" w:header="0"/>
        </w:sectPr>
      </w:pPr>
    </w:p>
    <w:bookmarkStart w:id="5" w:name="page6"/>
    <w:bookmarkEnd w:id="5"/>
    <w:p>
      <w:pPr>
        <w:jc w:val="both"/>
        <w:ind w:firstLine="8"/>
        <w:spacing w:after="0" w:line="268" w:lineRule="auto"/>
        <w:tabs>
          <w:tab w:leader="none" w:pos="315"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ELIGIBILITY</w:t>
      </w:r>
      <w:r>
        <w:rPr>
          <w:rFonts w:ascii="Times New Roman" w:cs="Times New Roman" w:eastAsia="Times New Roman" w:hAnsi="Times New Roman"/>
          <w:sz w:val="18"/>
          <w:szCs w:val="18"/>
          <w:color w:val="auto"/>
        </w:rPr>
        <w:t>. ISOs may be granted only to Employees. All other Awards may be granted to Employees, Consultants, Directors, and Non-Employee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provided that such Consultants, Directors, and Non-Employee Directors render bona fide services not in connection with the offer and sale of securities in a capital-raising transaction.</w:t>
      </w:r>
    </w:p>
    <w:p>
      <w:pPr>
        <w:spacing w:after="0" w:line="170" w:lineRule="exact"/>
        <w:rPr>
          <w:rFonts w:ascii="Times New Roman" w:cs="Times New Roman" w:eastAsia="Times New Roman" w:hAnsi="Times New Roman"/>
          <w:sz w:val="18"/>
          <w:szCs w:val="18"/>
          <w:b w:val="1"/>
          <w:bCs w:val="1"/>
          <w:color w:val="auto"/>
        </w:rPr>
      </w:pPr>
    </w:p>
    <w:p>
      <w:pPr>
        <w:ind w:left="320" w:hanging="312"/>
        <w:spacing w:after="0"/>
        <w:tabs>
          <w:tab w:leader="none" w:pos="3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ADMINISTRATION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8"/>
          <w:szCs w:val="18"/>
          <w:b w:val="1"/>
          <w:bCs w:val="1"/>
          <w:color w:val="010000"/>
        </w:rPr>
        <w:t xml:space="preserve">4.1. </w:t>
      </w:r>
      <w:r>
        <w:rPr>
          <w:rFonts w:ascii="Times New Roman" w:cs="Times New Roman" w:eastAsia="Times New Roman" w:hAnsi="Times New Roman"/>
          <w:sz w:val="18"/>
          <w:szCs w:val="18"/>
          <w:u w:val="single" w:color="auto"/>
          <w:color w:val="000000"/>
        </w:rPr>
        <w:t>Committee Composition; Authority</w:t>
      </w:r>
      <w:r>
        <w:rPr>
          <w:rFonts w:ascii="Times New Roman" w:cs="Times New Roman" w:eastAsia="Times New Roman" w:hAnsi="Times New Roman"/>
          <w:sz w:val="18"/>
          <w:szCs w:val="18"/>
          <w:color w:val="000000"/>
        </w:rPr>
        <w:t>. This Plan will be administered by the Committee or by the Board acting as the Committee. Subject to</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the general purposes, terms, and conditions of this Plan, and to the direction of the Board, the Committee will have full power to implement and carry out this Plan, except, however, the Board will establish the terms for the grant of an Award to Non-Employee Directors. The Committee will have the authority to:</w:t>
      </w:r>
    </w:p>
    <w:p>
      <w:pPr>
        <w:spacing w:after="0" w:line="398" w:lineRule="exact"/>
        <w:rPr>
          <w:sz w:val="20"/>
          <w:szCs w:val="20"/>
          <w:color w:val="auto"/>
        </w:rPr>
      </w:pPr>
    </w:p>
    <w:p>
      <w:pPr>
        <w:ind w:left="1680" w:hanging="376"/>
        <w:spacing w:after="0"/>
        <w:tabs>
          <w:tab w:leader="none" w:pos="1680" w:val="left"/>
        </w:tabs>
        <w:numPr>
          <w:ilvl w:val="0"/>
          <w:numId w:val="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construe and interpret this Plan, any Award Agreement, and any other agreement or document executed pursuant to this Plan;</w:t>
      </w:r>
    </w:p>
    <w:p>
      <w:pPr>
        <w:spacing w:after="0" w:line="225" w:lineRule="exact"/>
        <w:rPr>
          <w:rFonts w:ascii="Times New Roman" w:cs="Times New Roman" w:eastAsia="Times New Roman" w:hAnsi="Times New Roman"/>
          <w:sz w:val="18"/>
          <w:szCs w:val="18"/>
          <w:color w:val="010000"/>
        </w:rPr>
      </w:pPr>
    </w:p>
    <w:p>
      <w:pPr>
        <w:ind w:left="1700" w:hanging="396"/>
        <w:spacing w:after="0"/>
        <w:tabs>
          <w:tab w:leader="none" w:pos="1700" w:val="left"/>
        </w:tabs>
        <w:numPr>
          <w:ilvl w:val="0"/>
          <w:numId w:val="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prescribe, amend, and rescind rules and regulations relating to this Plan or any Award;</w:t>
      </w:r>
    </w:p>
    <w:p>
      <w:pPr>
        <w:spacing w:after="0" w:line="225" w:lineRule="exact"/>
        <w:rPr>
          <w:rFonts w:ascii="Times New Roman" w:cs="Times New Roman" w:eastAsia="Times New Roman" w:hAnsi="Times New Roman"/>
          <w:sz w:val="18"/>
          <w:szCs w:val="18"/>
          <w:color w:val="010000"/>
        </w:rPr>
      </w:pPr>
    </w:p>
    <w:p>
      <w:pPr>
        <w:ind w:left="1680" w:hanging="376"/>
        <w:spacing w:after="0"/>
        <w:tabs>
          <w:tab w:leader="none" w:pos="1680" w:val="left"/>
        </w:tabs>
        <w:numPr>
          <w:ilvl w:val="0"/>
          <w:numId w:val="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select persons to receive Awards;</w:t>
      </w:r>
    </w:p>
    <w:p>
      <w:pPr>
        <w:spacing w:after="0" w:line="225" w:lineRule="exact"/>
        <w:rPr>
          <w:rFonts w:ascii="Times New Roman" w:cs="Times New Roman" w:eastAsia="Times New Roman" w:hAnsi="Times New Roman"/>
          <w:sz w:val="18"/>
          <w:szCs w:val="18"/>
          <w:color w:val="010000"/>
        </w:rPr>
      </w:pPr>
    </w:p>
    <w:p>
      <w:pPr>
        <w:jc w:val="both"/>
        <w:ind w:firstLine="1304"/>
        <w:spacing w:after="0" w:line="258" w:lineRule="auto"/>
        <w:tabs>
          <w:tab w:leader="none" w:pos="1726" w:val="left"/>
        </w:tabs>
        <w:numPr>
          <w:ilvl w:val="0"/>
          <w:numId w:val="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determine the form and terms and conditions, not inconsistent with the terms of this Plan, of any Award granted hereunder. Such terms and conditions include, but are not limited to, the Exercise Price, the time or times when Awards may vest (which may be based on performance criteria) and be exercised or settled, any vesting acceleration or waiver of forfeiture restrictions, the method to satisfy tax withholding obligations or any other tax liability legally due, and any restriction or limitation regarding any Award or the Shares relating thereto, based in each case on such factors as the Committee will determine;</w:t>
      </w:r>
    </w:p>
    <w:p>
      <w:pPr>
        <w:spacing w:after="0" w:line="183" w:lineRule="exact"/>
        <w:rPr>
          <w:rFonts w:ascii="Times New Roman" w:cs="Times New Roman" w:eastAsia="Times New Roman" w:hAnsi="Times New Roman"/>
          <w:sz w:val="18"/>
          <w:szCs w:val="18"/>
          <w:color w:val="010000"/>
        </w:rPr>
      </w:pPr>
    </w:p>
    <w:p>
      <w:pPr>
        <w:ind w:left="1680" w:hanging="376"/>
        <w:spacing w:after="0"/>
        <w:tabs>
          <w:tab w:leader="none" w:pos="1680" w:val="left"/>
        </w:tabs>
        <w:numPr>
          <w:ilvl w:val="0"/>
          <w:numId w:val="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determine the number of Shares or other consideration subject to Awards;</w:t>
      </w:r>
    </w:p>
    <w:p>
      <w:pPr>
        <w:spacing w:after="0" w:line="225" w:lineRule="exact"/>
        <w:rPr>
          <w:rFonts w:ascii="Times New Roman" w:cs="Times New Roman" w:eastAsia="Times New Roman" w:hAnsi="Times New Roman"/>
          <w:sz w:val="18"/>
          <w:szCs w:val="18"/>
          <w:color w:val="010000"/>
        </w:rPr>
      </w:pPr>
    </w:p>
    <w:p>
      <w:pPr>
        <w:ind w:firstLine="1304"/>
        <w:spacing w:after="0" w:line="282" w:lineRule="auto"/>
        <w:tabs>
          <w:tab w:leader="none" w:pos="1683" w:val="left"/>
        </w:tabs>
        <w:numPr>
          <w:ilvl w:val="0"/>
          <w:numId w:val="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determine the Fair Market Value in good faith and interpret the applicable provisions of this Plan and the definition of Fair Market Value in connection with circumstances that impact the Fair Market Value, if necessary;</w:t>
      </w:r>
    </w:p>
    <w:p>
      <w:pPr>
        <w:spacing w:after="0" w:line="161" w:lineRule="exact"/>
        <w:rPr>
          <w:rFonts w:ascii="Times New Roman" w:cs="Times New Roman" w:eastAsia="Times New Roman" w:hAnsi="Times New Roman"/>
          <w:sz w:val="18"/>
          <w:szCs w:val="18"/>
          <w:color w:val="010000"/>
        </w:rPr>
      </w:pPr>
    </w:p>
    <w:p>
      <w:pPr>
        <w:ind w:firstLine="1304"/>
        <w:spacing w:after="0" w:line="282" w:lineRule="auto"/>
        <w:tabs>
          <w:tab w:leader="none" w:pos="1686" w:val="left"/>
        </w:tabs>
        <w:numPr>
          <w:ilvl w:val="0"/>
          <w:numId w:val="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determine whether Awards will be granted singly, in combination with, in tandem with, in replacement of, or as alternatives to, other Awards under this Plan or any other incentive or compensation plan of the Company or any Parent, Subsidiary, or Affiliate;</w:t>
      </w:r>
    </w:p>
    <w:p>
      <w:pPr>
        <w:spacing w:after="0" w:line="161" w:lineRule="exact"/>
        <w:rPr>
          <w:rFonts w:ascii="Times New Roman" w:cs="Times New Roman" w:eastAsia="Times New Roman" w:hAnsi="Times New Roman"/>
          <w:sz w:val="18"/>
          <w:szCs w:val="18"/>
          <w:color w:val="010000"/>
        </w:rPr>
      </w:pPr>
    </w:p>
    <w:p>
      <w:pPr>
        <w:ind w:left="1700" w:hanging="396"/>
        <w:spacing w:after="0"/>
        <w:tabs>
          <w:tab w:leader="none" w:pos="1700" w:val="left"/>
        </w:tabs>
        <w:numPr>
          <w:ilvl w:val="0"/>
          <w:numId w:val="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grant waivers of Plan or Award conditions;</w:t>
      </w:r>
    </w:p>
    <w:p>
      <w:pPr>
        <w:spacing w:after="0" w:line="225" w:lineRule="exact"/>
        <w:rPr>
          <w:rFonts w:ascii="Times New Roman" w:cs="Times New Roman" w:eastAsia="Times New Roman" w:hAnsi="Times New Roman"/>
          <w:sz w:val="18"/>
          <w:szCs w:val="18"/>
          <w:color w:val="010000"/>
        </w:rPr>
      </w:pPr>
    </w:p>
    <w:p>
      <w:pPr>
        <w:ind w:left="1660" w:hanging="356"/>
        <w:spacing w:after="0"/>
        <w:tabs>
          <w:tab w:leader="none" w:pos="1660" w:val="left"/>
        </w:tabs>
        <w:numPr>
          <w:ilvl w:val="0"/>
          <w:numId w:val="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determine the vesting, exercisability, and payment of Awards;</w:t>
      </w:r>
    </w:p>
    <w:p>
      <w:pPr>
        <w:spacing w:after="0" w:line="225" w:lineRule="exact"/>
        <w:rPr>
          <w:rFonts w:ascii="Times New Roman" w:cs="Times New Roman" w:eastAsia="Times New Roman" w:hAnsi="Times New Roman"/>
          <w:sz w:val="18"/>
          <w:szCs w:val="18"/>
          <w:color w:val="010000"/>
        </w:rPr>
      </w:pPr>
    </w:p>
    <w:p>
      <w:pPr>
        <w:ind w:left="1660" w:hanging="356"/>
        <w:spacing w:after="0"/>
        <w:tabs>
          <w:tab w:leader="none" w:pos="1660" w:val="left"/>
        </w:tabs>
        <w:numPr>
          <w:ilvl w:val="0"/>
          <w:numId w:val="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correct any defect, supply any omission or reconcile any inconsistency in this Plan, any Award or any Award Agreement;</w:t>
      </w:r>
    </w:p>
    <w:p>
      <w:pPr>
        <w:spacing w:after="0" w:line="225" w:lineRule="exact"/>
        <w:rPr>
          <w:rFonts w:ascii="Times New Roman" w:cs="Times New Roman" w:eastAsia="Times New Roman" w:hAnsi="Times New Roman"/>
          <w:sz w:val="18"/>
          <w:szCs w:val="18"/>
          <w:color w:val="010000"/>
        </w:rPr>
      </w:pPr>
    </w:p>
    <w:p>
      <w:pPr>
        <w:ind w:left="1700" w:hanging="396"/>
        <w:spacing w:after="0"/>
        <w:tabs>
          <w:tab w:leader="none" w:pos="1700" w:val="left"/>
        </w:tabs>
        <w:numPr>
          <w:ilvl w:val="0"/>
          <w:numId w:val="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determine whether an Award has been vested and/or earned;</w:t>
      </w:r>
    </w:p>
    <w:p>
      <w:pPr>
        <w:spacing w:after="0" w:line="225" w:lineRule="exact"/>
        <w:rPr>
          <w:rFonts w:ascii="Times New Roman" w:cs="Times New Roman" w:eastAsia="Times New Roman" w:hAnsi="Times New Roman"/>
          <w:sz w:val="18"/>
          <w:szCs w:val="18"/>
          <w:color w:val="010000"/>
        </w:rPr>
      </w:pPr>
    </w:p>
    <w:p>
      <w:pPr>
        <w:ind w:left="1660" w:hanging="356"/>
        <w:spacing w:after="0"/>
        <w:tabs>
          <w:tab w:leader="none" w:pos="1660" w:val="left"/>
        </w:tabs>
        <w:numPr>
          <w:ilvl w:val="0"/>
          <w:numId w:val="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determine the terms and conditions of any, and to institute any Exchange Program;</w:t>
      </w:r>
    </w:p>
    <w:p>
      <w:pPr>
        <w:spacing w:after="0" w:line="225" w:lineRule="exact"/>
        <w:rPr>
          <w:rFonts w:ascii="Times New Roman" w:cs="Times New Roman" w:eastAsia="Times New Roman" w:hAnsi="Times New Roman"/>
          <w:sz w:val="18"/>
          <w:szCs w:val="18"/>
          <w:color w:val="010000"/>
        </w:rPr>
      </w:pPr>
    </w:p>
    <w:p>
      <w:pPr>
        <w:ind w:left="1740" w:hanging="436"/>
        <w:spacing w:after="0"/>
        <w:tabs>
          <w:tab w:leader="none" w:pos="1740" w:val="left"/>
        </w:tabs>
        <w:numPr>
          <w:ilvl w:val="0"/>
          <w:numId w:val="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reduce or modify any criteria with respect to Performance Factors;</w:t>
      </w:r>
    </w:p>
    <w:p>
      <w:pPr>
        <w:spacing w:after="0" w:line="225" w:lineRule="exact"/>
        <w:rPr>
          <w:rFonts w:ascii="Times New Roman" w:cs="Times New Roman" w:eastAsia="Times New Roman" w:hAnsi="Times New Roman"/>
          <w:sz w:val="18"/>
          <w:szCs w:val="18"/>
          <w:color w:val="010000"/>
        </w:rPr>
      </w:pPr>
    </w:p>
    <w:p>
      <w:pPr>
        <w:ind w:firstLine="1304"/>
        <w:spacing w:after="0" w:line="282" w:lineRule="auto"/>
        <w:tabs>
          <w:tab w:leader="none" w:pos="1726" w:val="left"/>
        </w:tabs>
        <w:numPr>
          <w:ilvl w:val="0"/>
          <w:numId w:val="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adjust Performance Factors to take into account changes in law and accounting or tax rules as the Committee deems necessary or appropriate to reflect the impact of extraordinary or unusual items, events, or circumstances to avoid windfalls or inequitable results;</w:t>
      </w:r>
    </w:p>
    <w:p>
      <w:pPr>
        <w:spacing w:after="0" w:line="161" w:lineRule="exact"/>
        <w:rPr>
          <w:rFonts w:ascii="Times New Roman" w:cs="Times New Roman" w:eastAsia="Times New Roman" w:hAnsi="Times New Roman"/>
          <w:sz w:val="18"/>
          <w:szCs w:val="18"/>
          <w:color w:val="010000"/>
        </w:rPr>
      </w:pPr>
    </w:p>
    <w:p>
      <w:pPr>
        <w:jc w:val="both"/>
        <w:ind w:firstLine="1304"/>
        <w:spacing w:after="0" w:line="266" w:lineRule="auto"/>
        <w:tabs>
          <w:tab w:leader="none" w:pos="1807" w:val="left"/>
        </w:tabs>
        <w:numPr>
          <w:ilvl w:val="0"/>
          <w:numId w:val="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adopt terms and conditions, rules, and/or procedures (including the adoption of any subplan under this Plan) relating to the operation and administration of this Plan to accommodate requirements of local law and procedures outside of the United States or to qualify Awards for special tax treatment under laws of jurisdictions other than the United States;</w:t>
      </w:r>
    </w:p>
    <w:p>
      <w:pPr>
        <w:spacing w:after="0" w:line="175" w:lineRule="exact"/>
        <w:rPr>
          <w:rFonts w:ascii="Times New Roman" w:cs="Times New Roman" w:eastAsia="Times New Roman" w:hAnsi="Times New Roman"/>
          <w:sz w:val="18"/>
          <w:szCs w:val="18"/>
          <w:color w:val="010000"/>
        </w:rPr>
      </w:pPr>
    </w:p>
    <w:p>
      <w:pPr>
        <w:ind w:left="1700" w:hanging="396"/>
        <w:spacing w:after="0"/>
        <w:tabs>
          <w:tab w:leader="none" w:pos="1700" w:val="left"/>
        </w:tabs>
        <w:numPr>
          <w:ilvl w:val="0"/>
          <w:numId w:val="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exercise discretion with respect to Performance Awards;</w:t>
      </w:r>
    </w:p>
    <w:p>
      <w:pPr>
        <w:spacing w:after="0" w:line="225" w:lineRule="exact"/>
        <w:rPr>
          <w:rFonts w:ascii="Times New Roman" w:cs="Times New Roman" w:eastAsia="Times New Roman" w:hAnsi="Times New Roman"/>
          <w:sz w:val="18"/>
          <w:szCs w:val="18"/>
          <w:color w:val="010000"/>
        </w:rPr>
      </w:pPr>
    </w:p>
    <w:p>
      <w:pPr>
        <w:ind w:left="1700" w:hanging="396"/>
        <w:spacing w:after="0"/>
        <w:tabs>
          <w:tab w:leader="none" w:pos="1700" w:val="left"/>
        </w:tabs>
        <w:numPr>
          <w:ilvl w:val="0"/>
          <w:numId w:val="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make all other determinations necessary or advisable for the administration of this Plan; and</w:t>
      </w:r>
    </w:p>
    <w:p>
      <w:pPr>
        <w:sectPr>
          <w:pgSz w:w="11900" w:h="16838" w:orient="portrait"/>
          <w:cols w:equalWidth="0" w:num="1">
            <w:col w:w="11240"/>
          </w:cols>
          <w:pgMar w:left="320" w:top="1062" w:right="339" w:bottom="1440" w:gutter="0" w:footer="0" w:header="0"/>
        </w:sectPr>
      </w:pPr>
    </w:p>
    <w:bookmarkStart w:id="6" w:name="page7"/>
    <w:bookmarkEnd w:id="6"/>
    <w:p>
      <w:pPr>
        <w:ind w:firstLine="1304"/>
        <w:spacing w:after="0" w:line="282" w:lineRule="auto"/>
        <w:tabs>
          <w:tab w:leader="none" w:pos="1683" w:val="left"/>
        </w:tabs>
        <w:numPr>
          <w:ilvl w:val="0"/>
          <w:numId w:val="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delegate any of the foregoing to a subcommittee or to one or more executive officers pursuant to a specific delegation as permitted by applicable law, including but not limited to Section 157(c) of the Delaware General Corporation Law.</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010000"/>
        </w:rPr>
        <w:t xml:space="preserve">4.2. </w:t>
      </w:r>
      <w:r>
        <w:rPr>
          <w:rFonts w:ascii="Times New Roman" w:cs="Times New Roman" w:eastAsia="Times New Roman" w:hAnsi="Times New Roman"/>
          <w:sz w:val="18"/>
          <w:szCs w:val="18"/>
          <w:u w:val="single" w:color="auto"/>
          <w:color w:val="000000"/>
        </w:rPr>
        <w:t>Committee Interpretation and Discretion</w:t>
      </w:r>
      <w:r>
        <w:rPr>
          <w:rFonts w:ascii="Times New Roman" w:cs="Times New Roman" w:eastAsia="Times New Roman" w:hAnsi="Times New Roman"/>
          <w:sz w:val="18"/>
          <w:szCs w:val="18"/>
          <w:color w:val="000000"/>
        </w:rPr>
        <w:t>. Any determination made by the Committee with respect to any Award will be made in its sole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discretion at the time of grant of the Award or, unless in contravention of any express term of this Plan or Award, at any later time, and such determination will be final and binding on the Company and all persons having an interest in any Award under this Plan. Any dispute regarding the interpretation of this Plan or any Award Agreement will be submitted by the Participant or Company to the Committee for review. The resolution of such a dispute by the Committee will be final and binding on the Company and the Participant. The Committee may delegate to one or more executive officers the authority to review and resolve disputes with respect to Awards held by Participants who are not Insiders, and such resolution will be final and binding on the Company and the Participant.</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010000"/>
        </w:rPr>
        <w:t xml:space="preserve">4.3. </w:t>
      </w:r>
      <w:r>
        <w:rPr>
          <w:rFonts w:ascii="Times New Roman" w:cs="Times New Roman" w:eastAsia="Times New Roman" w:hAnsi="Times New Roman"/>
          <w:sz w:val="18"/>
          <w:szCs w:val="18"/>
          <w:u w:val="single" w:color="auto"/>
          <w:color w:val="000000"/>
        </w:rPr>
        <w:t>Section 16 of the Exchange Act</w:t>
      </w:r>
      <w:r>
        <w:rPr>
          <w:rFonts w:ascii="Times New Roman" w:cs="Times New Roman" w:eastAsia="Times New Roman" w:hAnsi="Times New Roman"/>
          <w:sz w:val="18"/>
          <w:szCs w:val="18"/>
          <w:color w:val="000000"/>
        </w:rPr>
        <w:t>. Awards granted to Participants who are subject to Section 16 of the Exchange Act must be approved by two</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or more “non-employee directors” (as defined in the regulations promulgated under Section 16 of the Exchange Act).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010000"/>
        </w:rPr>
        <w:t xml:space="preserve">4.4. </w:t>
      </w:r>
      <w:r>
        <w:rPr>
          <w:rFonts w:ascii="Times New Roman" w:cs="Times New Roman" w:eastAsia="Times New Roman" w:hAnsi="Times New Roman"/>
          <w:sz w:val="18"/>
          <w:szCs w:val="18"/>
          <w:u w:val="single" w:color="auto"/>
          <w:color w:val="000000"/>
        </w:rPr>
        <w:t>Documentation</w:t>
      </w:r>
      <w:r>
        <w:rPr>
          <w:rFonts w:ascii="Times New Roman" w:cs="Times New Roman" w:eastAsia="Times New Roman" w:hAnsi="Times New Roman"/>
          <w:sz w:val="18"/>
          <w:szCs w:val="18"/>
          <w:color w:val="000000"/>
        </w:rPr>
        <w:t>. The Award Agreement for a given Award, this Plan, and any other documents may be delivered to, and accepted by, a</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Participant or any other person in any manner (including electronic distribution or posting) that meets applicable legal requirements.</w:t>
      </w:r>
    </w:p>
    <w:p>
      <w:pPr>
        <w:spacing w:after="0" w:line="15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010000"/>
        </w:rPr>
        <w:t xml:space="preserve">4.5. </w:t>
      </w:r>
      <w:r>
        <w:rPr>
          <w:rFonts w:ascii="Times New Roman" w:cs="Times New Roman" w:eastAsia="Times New Roman" w:hAnsi="Times New Roman"/>
          <w:sz w:val="18"/>
          <w:szCs w:val="18"/>
          <w:u w:val="single" w:color="auto"/>
          <w:color w:val="000000"/>
        </w:rPr>
        <w:t>Foreign Award Recipients</w:t>
      </w:r>
      <w:r>
        <w:rPr>
          <w:rFonts w:ascii="Times New Roman" w:cs="Times New Roman" w:eastAsia="Times New Roman" w:hAnsi="Times New Roman"/>
          <w:sz w:val="18"/>
          <w:szCs w:val="18"/>
          <w:color w:val="000000"/>
        </w:rPr>
        <w:t>. Notwithstanding any provision of this Plan to the contrary, in order to comply with the laws and practices in</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other countries in which the Company, its Subsidiaries, and Affiliates operate or have Employees or other individuals eligible for Awards, the Committee, in its sole discretion, will have the power and authority to: (a) determine which Subsidiaries and Affiliates will be covered by this Plan; (b) determine which individuals outside the United States are eligible to participate in this Plan, which may include individuals who provide services to the Company, Subsidiary or Affiliate under an agreement with a foreign nation or agency; (c) modify the terms and conditions of any Award granted to individuals outside the United States or foreign nationals to comply with applicable foreign laws, policies, customs, and practices; (d) establish subplans and modify exercise procedures, vesting conditions, and other terms and procedures to the extent the Committee determines such actions to be necessary or advisable (and such subplans and/or modifications will be attached to this Plan as appendices, if necessary); and (e) take any action, before or after an Award is made, that the Committee determines to be necessary or advisable to obtain approval or comply with any local governmental regulatory exemptions or approvals, provided, however, that no action taken under this </w:t>
      </w:r>
      <w:r>
        <w:rPr>
          <w:rFonts w:ascii="Times New Roman" w:cs="Times New Roman" w:eastAsia="Times New Roman" w:hAnsi="Times New Roman"/>
          <w:sz w:val="18"/>
          <w:szCs w:val="18"/>
          <w:u w:val="single" w:color="auto"/>
          <w:color w:val="000000"/>
        </w:rPr>
        <w:t>Section 4.5</w:t>
      </w:r>
      <w:r>
        <w:rPr>
          <w:rFonts w:ascii="Times New Roman" w:cs="Times New Roman" w:eastAsia="Times New Roman" w:hAnsi="Times New Roman"/>
          <w:sz w:val="18"/>
          <w:szCs w:val="18"/>
          <w:color w:val="000000"/>
        </w:rPr>
        <w:t xml:space="preserve"> will increase the Share limitations contained in </w:t>
      </w:r>
      <w:r>
        <w:rPr>
          <w:rFonts w:ascii="Times New Roman" w:cs="Times New Roman" w:eastAsia="Times New Roman" w:hAnsi="Times New Roman"/>
          <w:sz w:val="18"/>
          <w:szCs w:val="18"/>
          <w:u w:val="single" w:color="auto"/>
          <w:color w:val="000000"/>
        </w:rPr>
        <w:t>Section 2.1</w:t>
      </w:r>
      <w:r>
        <w:rPr>
          <w:rFonts w:ascii="Times New Roman" w:cs="Times New Roman" w:eastAsia="Times New Roman" w:hAnsi="Times New Roman"/>
          <w:sz w:val="18"/>
          <w:szCs w:val="18"/>
          <w:color w:val="000000"/>
        </w:rPr>
        <w:t xml:space="preserve"> hereof. Notwithstanding the foregoing, the Committee may not take any actions hereunder, and no Awards will be granted, that would violate the Exchange Act or any other applicable United States securities law, the Code, or any other applicable United States governing statute or law.</w:t>
      </w:r>
    </w:p>
    <w:p>
      <w:pPr>
        <w:spacing w:after="0" w:line="190" w:lineRule="exact"/>
        <w:rPr>
          <w:sz w:val="20"/>
          <w:szCs w:val="20"/>
          <w:color w:val="auto"/>
        </w:rPr>
      </w:pPr>
    </w:p>
    <w:p>
      <w:pPr>
        <w:jc w:val="both"/>
        <w:ind w:firstLine="8"/>
        <w:spacing w:after="0" w:line="262" w:lineRule="auto"/>
        <w:tabs>
          <w:tab w:leader="none" w:pos="355"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OPTIONS</w:t>
      </w:r>
      <w:r>
        <w:rPr>
          <w:rFonts w:ascii="Times New Roman" w:cs="Times New Roman" w:eastAsia="Times New Roman" w:hAnsi="Times New Roman"/>
          <w:sz w:val="18"/>
          <w:szCs w:val="18"/>
          <w:color w:val="auto"/>
        </w:rPr>
        <w:t>. An Option is the right but not the obligation to purchase a Share, subject to certain conditions, if applicable. The Committee may grant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Options to eligible Employees, Consultants, and Directors and will determine whether such Options will be “incentive stock options” within the meaning of the Code (“</w:t>
      </w:r>
      <w:r>
        <w:rPr>
          <w:rFonts w:ascii="Times New Roman" w:cs="Times New Roman" w:eastAsia="Times New Roman" w:hAnsi="Times New Roman"/>
          <w:sz w:val="18"/>
          <w:szCs w:val="18"/>
          <w:b w:val="1"/>
          <w:bCs w:val="1"/>
          <w:i w:val="1"/>
          <w:iCs w:val="1"/>
          <w:color w:val="auto"/>
        </w:rPr>
        <w:t>ISOs</w:t>
      </w:r>
      <w:r>
        <w:rPr>
          <w:rFonts w:ascii="Times New Roman" w:cs="Times New Roman" w:eastAsia="Times New Roman" w:hAnsi="Times New Roman"/>
          <w:sz w:val="18"/>
          <w:szCs w:val="18"/>
          <w:color w:val="auto"/>
        </w:rPr>
        <w:t>”) or Nonqualified Stock Options (“</w:t>
      </w:r>
      <w:r>
        <w:rPr>
          <w:rFonts w:ascii="Times New Roman" w:cs="Times New Roman" w:eastAsia="Times New Roman" w:hAnsi="Times New Roman"/>
          <w:sz w:val="18"/>
          <w:szCs w:val="18"/>
          <w:b w:val="1"/>
          <w:bCs w:val="1"/>
          <w:i w:val="1"/>
          <w:iCs w:val="1"/>
          <w:color w:val="auto"/>
        </w:rPr>
        <w:t>NQSOs</w:t>
      </w:r>
      <w:r>
        <w:rPr>
          <w:rFonts w:ascii="Times New Roman" w:cs="Times New Roman" w:eastAsia="Times New Roman" w:hAnsi="Times New Roman"/>
          <w:sz w:val="18"/>
          <w:szCs w:val="18"/>
          <w:color w:val="auto"/>
        </w:rPr>
        <w:t>”), the number of Shares subject to the Option, the Exercise Price of the Option, the period during which the Option may vest and be exercised, and all other terms and conditions of the Option, subject to the following terms of this section.</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010000"/>
        </w:rPr>
        <w:t xml:space="preserve">5.1. </w:t>
      </w:r>
      <w:r>
        <w:rPr>
          <w:rFonts w:ascii="Times New Roman" w:cs="Times New Roman" w:eastAsia="Times New Roman" w:hAnsi="Times New Roman"/>
          <w:sz w:val="18"/>
          <w:szCs w:val="18"/>
          <w:u w:val="single" w:color="auto"/>
          <w:color w:val="000000"/>
        </w:rPr>
        <w:t>Option Grant</w:t>
      </w:r>
      <w:r>
        <w:rPr>
          <w:rFonts w:ascii="Times New Roman" w:cs="Times New Roman" w:eastAsia="Times New Roman" w:hAnsi="Times New Roman"/>
          <w:sz w:val="18"/>
          <w:szCs w:val="18"/>
          <w:color w:val="000000"/>
        </w:rPr>
        <w:t>. Each Option granted under this Plan will identify the Option as an ISO or an NQSO. An Option may be, but need not be,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awarded upon satisfaction of such Performance Factors during any Performance Period as are set out in advance in the Participant’s individual Award Agreement. If the Option is being earned upon the satisfaction of Performance Factors, then the Committee will: (a) determine the nature, length, and starting date of any Performance Period for each Option; and (b) select from among the Performance Factors to be used to measure the performance, if any. Performance Periods may overlap and Participants may participate simultaneously with respect to Options that are subject to different performance goals and other criteria.</w:t>
      </w:r>
    </w:p>
    <w:p>
      <w:pPr>
        <w:spacing w:after="0" w:line="182"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010000"/>
        </w:rPr>
        <w:t xml:space="preserve">5.2. </w:t>
      </w:r>
      <w:r>
        <w:rPr>
          <w:rFonts w:ascii="Times New Roman" w:cs="Times New Roman" w:eastAsia="Times New Roman" w:hAnsi="Times New Roman"/>
          <w:sz w:val="18"/>
          <w:szCs w:val="18"/>
          <w:u w:val="single" w:color="auto"/>
          <w:color w:val="000000"/>
        </w:rPr>
        <w:t>Date of Grant</w:t>
      </w:r>
      <w:r>
        <w:rPr>
          <w:rFonts w:ascii="Times New Roman" w:cs="Times New Roman" w:eastAsia="Times New Roman" w:hAnsi="Times New Roman"/>
          <w:sz w:val="18"/>
          <w:szCs w:val="18"/>
          <w:color w:val="000000"/>
        </w:rPr>
        <w:t>. The date of grant of an Option will be the date on which the Committee makes the determination to grant such Option, or a</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specified future date. The Award Agreement will be delivered to the Participant within a reasonable time after the granting of the Option.</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010000"/>
        </w:rPr>
        <w:t xml:space="preserve">5.3. </w:t>
      </w:r>
      <w:r>
        <w:rPr>
          <w:rFonts w:ascii="Times New Roman" w:cs="Times New Roman" w:eastAsia="Times New Roman" w:hAnsi="Times New Roman"/>
          <w:sz w:val="18"/>
          <w:szCs w:val="18"/>
          <w:u w:val="single" w:color="auto"/>
          <w:color w:val="000000"/>
        </w:rPr>
        <w:t>Exercise Period</w:t>
      </w:r>
      <w:r>
        <w:rPr>
          <w:rFonts w:ascii="Times New Roman" w:cs="Times New Roman" w:eastAsia="Times New Roman" w:hAnsi="Times New Roman"/>
          <w:sz w:val="18"/>
          <w:szCs w:val="18"/>
          <w:color w:val="000000"/>
        </w:rPr>
        <w:t>. Options may be vested and exercisable within the times or upon the conditions as set forth in the Award Agreement</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governing such Option, provided, however, that no Option will be exercisable after the expiration of ten (10) years from the date the Option is granted and provided further that no ISO granted to a person who, at the time the ISO is granted, directly or by attribution owns more than ten percent (10%) of the total combined voting power of all classes of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-173355</wp:posOffset>
            </wp:positionV>
            <wp:extent cx="285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7" w:name="page8"/>
    <w:bookmarkEnd w:id="7"/>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of the Company or of any Parent or Subsidiary (“</w:t>
      </w:r>
      <w:r>
        <w:rPr>
          <w:rFonts w:ascii="Times New Roman" w:cs="Times New Roman" w:eastAsia="Times New Roman" w:hAnsi="Times New Roman"/>
          <w:sz w:val="18"/>
          <w:szCs w:val="18"/>
          <w:b w:val="1"/>
          <w:bCs w:val="1"/>
          <w:i w:val="1"/>
          <w:iCs w:val="1"/>
          <w:color w:val="auto"/>
        </w:rPr>
        <w:t>Ten Percent Stockholder</w:t>
      </w:r>
      <w:r>
        <w:rPr>
          <w:rFonts w:ascii="Times New Roman" w:cs="Times New Roman" w:eastAsia="Times New Roman" w:hAnsi="Times New Roman"/>
          <w:sz w:val="18"/>
          <w:szCs w:val="18"/>
          <w:color w:val="auto"/>
        </w:rPr>
        <w:t>”) will be exercisable after the expiration of five (5) years from the date the ISO is granted. The Committee also may provide for Options to become exercisable at one time or from time to time, periodically or otherwise, in such number of Shares or percentage of Shares as the Committee determines.</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010000"/>
        </w:rPr>
        <w:t xml:space="preserve">5.4. </w:t>
      </w:r>
      <w:r>
        <w:rPr>
          <w:rFonts w:ascii="Times New Roman" w:cs="Times New Roman" w:eastAsia="Times New Roman" w:hAnsi="Times New Roman"/>
          <w:sz w:val="18"/>
          <w:szCs w:val="18"/>
          <w:u w:val="single" w:color="auto"/>
          <w:color w:val="000000"/>
        </w:rPr>
        <w:t>Exercise Price</w:t>
      </w:r>
      <w:r>
        <w:rPr>
          <w:rFonts w:ascii="Times New Roman" w:cs="Times New Roman" w:eastAsia="Times New Roman" w:hAnsi="Times New Roman"/>
          <w:sz w:val="18"/>
          <w:szCs w:val="18"/>
          <w:color w:val="000000"/>
        </w:rPr>
        <w:t>. The Exercise Price of an Option will be determined by the Committee when the Option is granted, provided that: (a) the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Exercise Price of an Option will be not less than one hundred percent (100%) of the Fair Market Value of the Shares on the date of grant, and (b) the Exercise Price of any ISO granted to a Ten Percent Stockholder will not be less than one hundred ten percent (110%) of the Fair Market Value of the Shares on the date of grant. Payment for the Shares purchased may be made in accordance with </w:t>
      </w:r>
      <w:r>
        <w:rPr>
          <w:rFonts w:ascii="Times New Roman" w:cs="Times New Roman" w:eastAsia="Times New Roman" w:hAnsi="Times New Roman"/>
          <w:sz w:val="18"/>
          <w:szCs w:val="18"/>
          <w:u w:val="single" w:color="auto"/>
          <w:color w:val="000000"/>
        </w:rPr>
        <w:t>Section 11</w:t>
      </w:r>
      <w:r>
        <w:rPr>
          <w:rFonts w:ascii="Times New Roman" w:cs="Times New Roman" w:eastAsia="Times New Roman" w:hAnsi="Times New Roman"/>
          <w:sz w:val="18"/>
          <w:szCs w:val="18"/>
          <w:color w:val="000000"/>
        </w:rPr>
        <w:t xml:space="preserve"> and the Award Agreement and in accordance with any procedures established by the Company.</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010000"/>
        </w:rPr>
        <w:t xml:space="preserve">5.5. </w:t>
      </w:r>
      <w:r>
        <w:rPr>
          <w:rFonts w:ascii="Times New Roman" w:cs="Times New Roman" w:eastAsia="Times New Roman" w:hAnsi="Times New Roman"/>
          <w:sz w:val="18"/>
          <w:szCs w:val="18"/>
          <w:u w:val="single" w:color="auto"/>
          <w:color w:val="000000"/>
        </w:rPr>
        <w:t>Method of Exercise</w:t>
      </w:r>
      <w:r>
        <w:rPr>
          <w:rFonts w:ascii="Times New Roman" w:cs="Times New Roman" w:eastAsia="Times New Roman" w:hAnsi="Times New Roman"/>
          <w:sz w:val="18"/>
          <w:szCs w:val="18"/>
          <w:color w:val="000000"/>
        </w:rPr>
        <w:t>. Any Option granted hereunder will be vested and exercisable according to the terms of this Plan and at such times and</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under such conditions as determined by the Committee and set forth in the Award Agreement. An Option may not be exercised for a fraction of a Share. An Option will be deemed exercised when the Company receives: (a) notice of exercise (in such form as the Committee may specify from time to time) from the person entitled to exercise the Option (and/or via electronic execution through the authorized third-party administrator) and (b) full payment for the Shares with respect to which the Option is exercised (together with applicable withholding taxes). Full payment may consist of any consideration and method of payment authorized by the Committee and permitted by the Award Agreement and this Plan. Shares issued upon exercise of an Option will be issued in the name of the Participant. Until the Shares are issued (as evidenced by the appropriate entry on the books of the Company or of a duly authorized transfer agent of the Company), no right to vote or receive dividends or any other rights as a stockholder will exist with respect to the Shares,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w:t>
      </w:r>
      <w:r>
        <w:rPr>
          <w:rFonts w:ascii="Times New Roman" w:cs="Times New Roman" w:eastAsia="Times New Roman" w:hAnsi="Times New Roman"/>
          <w:sz w:val="18"/>
          <w:szCs w:val="18"/>
          <w:u w:val="single" w:color="auto"/>
          <w:color w:val="000000"/>
        </w:rPr>
        <w:t>Section 2.5</w:t>
      </w:r>
      <w:r>
        <w:rPr>
          <w:rFonts w:ascii="Times New Roman" w:cs="Times New Roman" w:eastAsia="Times New Roman" w:hAnsi="Times New Roman"/>
          <w:sz w:val="18"/>
          <w:szCs w:val="18"/>
          <w:color w:val="000000"/>
        </w:rPr>
        <w:t xml:space="preserve"> of this Plan.</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010000"/>
        </w:rPr>
        <w:t xml:space="preserve">5.6. </w:t>
      </w:r>
      <w:r>
        <w:rPr>
          <w:rFonts w:ascii="Times New Roman" w:cs="Times New Roman" w:eastAsia="Times New Roman" w:hAnsi="Times New Roman"/>
          <w:sz w:val="18"/>
          <w:szCs w:val="18"/>
          <w:u w:val="single" w:color="auto"/>
          <w:color w:val="000000"/>
        </w:rPr>
        <w:t>Termination of Service</w:t>
      </w:r>
      <w:r>
        <w:rPr>
          <w:rFonts w:ascii="Times New Roman" w:cs="Times New Roman" w:eastAsia="Times New Roman" w:hAnsi="Times New Roman"/>
          <w:sz w:val="18"/>
          <w:szCs w:val="18"/>
          <w:color w:val="000000"/>
        </w:rPr>
        <w:t>. If the Participant’s Service terminates for any reason except for Cause or the Participant’s death or Disability, then</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the Participant may exercise such Participant’s Options, only to the extent that such Options would have been exercisable by the Participant on the date Participant’s Service terminates, no later than three (3) months after the date Participant’s Service terminates (or such shorter or longer time period as may be determined by the Committee, with any exercise beyond three (3) months after the date Participant’s employment terminates deemed to be the exercise of an NQSO), but in any event no later than the expiration date of the Options.</w:t>
      </w:r>
    </w:p>
    <w:p>
      <w:pPr>
        <w:spacing w:after="0" w:line="183" w:lineRule="exact"/>
        <w:rPr>
          <w:sz w:val="20"/>
          <w:szCs w:val="20"/>
          <w:color w:val="auto"/>
        </w:rPr>
      </w:pPr>
    </w:p>
    <w:p>
      <w:pPr>
        <w:jc w:val="both"/>
        <w:ind w:firstLine="1304"/>
        <w:spacing w:after="0" w:line="258" w:lineRule="auto"/>
        <w:tabs>
          <w:tab w:leader="none" w:pos="1689" w:val="left"/>
        </w:tabs>
        <w:numPr>
          <w:ilvl w:val="0"/>
          <w:numId w:val="1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Death</w:t>
      </w:r>
      <w:r>
        <w:rPr>
          <w:rFonts w:ascii="Times New Roman" w:cs="Times New Roman" w:eastAsia="Times New Roman" w:hAnsi="Times New Roman"/>
          <w:sz w:val="18"/>
          <w:szCs w:val="18"/>
          <w:color w:val="auto"/>
        </w:rPr>
        <w:t>. If the Participant’s Service terminates because of the Participant’s death (or the Participant dies within three (3) months after Participant’s Service terminates other than for Cause or because of the Participant’s Disability), then the Participant’s Options may be exercised, only to the extent that such Options would have been exercisable by the Participant on the date Participant’s Service terminates, and must be exercised by the Participant’s legal representative, or authorized assignee no later than twelve (12) months after the date Participant’s Service terminates (or such shorter time period or longer time period as may be determined by the Committee), but in any event no later than the expiration date of the Options.</w:t>
      </w:r>
    </w:p>
    <w:p>
      <w:pPr>
        <w:spacing w:after="0" w:line="183" w:lineRule="exact"/>
        <w:rPr>
          <w:rFonts w:ascii="Times New Roman" w:cs="Times New Roman" w:eastAsia="Times New Roman" w:hAnsi="Times New Roman"/>
          <w:sz w:val="18"/>
          <w:szCs w:val="18"/>
          <w:color w:val="010000"/>
        </w:rPr>
      </w:pPr>
    </w:p>
    <w:p>
      <w:pPr>
        <w:jc w:val="both"/>
        <w:ind w:firstLine="1304"/>
        <w:spacing w:after="0" w:line="254" w:lineRule="auto"/>
        <w:tabs>
          <w:tab w:leader="none" w:pos="1780" w:val="left"/>
        </w:tabs>
        <w:numPr>
          <w:ilvl w:val="0"/>
          <w:numId w:val="1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If the Participant’s Service terminates because of the Participant’s Disability, then the Participant’s Options may be exercised, only to the extent that such Options would have been exercisable by the Participant on the date Participant’s Service terminates, and must be exercised by the Participant (or the Participant’s legal representative or authorized assignee) no later than twelve (12) months after the date Participant’s Service terminates (or such shorter time period not less than six (6) months or longer time period as may be determined by the Committee, with any exercise beyond (a) three (3) months after the date Participant’s employment terminates when the termination of Service is for a Disability that is not a “permanent and total disability” as defined in Section 22(e)(3) of the Code or (b) twelve (12) months after the date Participant’s employment terminates when the termination of Service is for a Disability that is a “permanent and total disability” as defined in Section 22(e)(3) of the Code, deemed to be exercise of an NQSO), but in any event no later than the expiration date of the Options.</w:t>
      </w:r>
    </w:p>
    <w:p>
      <w:pPr>
        <w:spacing w:after="0" w:line="191" w:lineRule="exact"/>
        <w:rPr>
          <w:rFonts w:ascii="Times New Roman" w:cs="Times New Roman" w:eastAsia="Times New Roman" w:hAnsi="Times New Roman"/>
          <w:sz w:val="18"/>
          <w:szCs w:val="18"/>
          <w:color w:val="010000"/>
        </w:rPr>
      </w:pPr>
    </w:p>
    <w:p>
      <w:pPr>
        <w:jc w:val="both"/>
        <w:ind w:firstLine="1304"/>
        <w:spacing w:after="0" w:line="255" w:lineRule="auto"/>
        <w:tabs>
          <w:tab w:leader="none" w:pos="1729" w:val="left"/>
        </w:tabs>
        <w:numPr>
          <w:ilvl w:val="0"/>
          <w:numId w:val="1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Unless otherwise determined by the Committee, if the Participant’s Service terminates for Cause or if the Committee has reasonably determined in good faith that such cessation of Services has resulted in connection with an act or failure to act constituting Cause (or such Participant’s Services could have been terminated for Cause (without regard to the lapsing of any required notice or cure periods in connection therewith) at the time such Participant terminated Service), then Participant’s Options (whether or not vested) will expire on the date of termination of Participant’s Service or at such later time and on such conditions as are determined by the Committee, but in any event no later than the expiration date of the Options. Unless otherwise provided in an employment agreement, Award Agreement, or other applicable agreement, Cause will have the meaning set forth in this Plan.</w:t>
      </w:r>
    </w:p>
    <w:p>
      <w:pPr>
        <w:sectPr>
          <w:pgSz w:w="11900" w:h="16838" w:orient="portrait"/>
          <w:cols w:equalWidth="0" w:num="1">
            <w:col w:w="11240"/>
          </w:cols>
          <w:pgMar w:left="320" w:top="1062" w:right="339" w:bottom="1440" w:gutter="0" w:footer="0" w:header="0"/>
        </w:sectPr>
      </w:pPr>
    </w:p>
    <w:bookmarkStart w:id="8" w:name="page9"/>
    <w:bookmarkEnd w:id="8"/>
    <w:p>
      <w:pPr>
        <w:jc w:val="both"/>
        <w:ind w:firstLine="1304"/>
        <w:spacing w:after="0" w:line="266" w:lineRule="auto"/>
        <w:tabs>
          <w:tab w:leader="none" w:pos="1753" w:val="left"/>
        </w:tabs>
        <w:numPr>
          <w:ilvl w:val="0"/>
          <w:numId w:val="1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Unvested Options</w:t>
      </w:r>
      <w:r>
        <w:rPr>
          <w:rFonts w:ascii="Times New Roman" w:cs="Times New Roman" w:eastAsia="Times New Roman" w:hAnsi="Times New Roman"/>
          <w:sz w:val="18"/>
          <w:szCs w:val="18"/>
          <w:color w:val="auto"/>
        </w:rPr>
        <w:t>. Participant’s unvested Options shall expire on the date of Participant’s termination of Service for any reason (unless Participant’s unvested Options are accelerated upon such termination of Service or are required to remain outstanding for some period post-termination in order to remain eligible for acceleration pursuant to an agreement between Participant and the Company).</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010000"/>
        </w:rPr>
        <w:t xml:space="preserve">5.7. </w:t>
      </w:r>
      <w:r>
        <w:rPr>
          <w:rFonts w:ascii="Times New Roman" w:cs="Times New Roman" w:eastAsia="Times New Roman" w:hAnsi="Times New Roman"/>
          <w:sz w:val="18"/>
          <w:szCs w:val="18"/>
          <w:u w:val="single" w:color="auto"/>
          <w:color w:val="000000"/>
        </w:rPr>
        <w:t>Limitations on Exercise</w:t>
      </w:r>
      <w:r>
        <w:rPr>
          <w:rFonts w:ascii="Times New Roman" w:cs="Times New Roman" w:eastAsia="Times New Roman" w:hAnsi="Times New Roman"/>
          <w:sz w:val="18"/>
          <w:szCs w:val="18"/>
          <w:color w:val="000000"/>
        </w:rPr>
        <w:t>. The Committee may specify a minimum number of Shares that may be purchased on any exercise of an Option,</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provided that such minimum number will not prevent any Participant from exercising the Option for the full number of Shares for which it is then exercisable.</w:t>
      </w:r>
    </w:p>
    <w:p>
      <w:pPr>
        <w:spacing w:after="0" w:line="17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010000"/>
        </w:rPr>
        <w:t xml:space="preserve">5.8. </w:t>
      </w:r>
      <w:r>
        <w:rPr>
          <w:rFonts w:ascii="Times New Roman" w:cs="Times New Roman" w:eastAsia="Times New Roman" w:hAnsi="Times New Roman"/>
          <w:sz w:val="18"/>
          <w:szCs w:val="18"/>
          <w:u w:val="single" w:color="auto"/>
          <w:color w:val="000000"/>
        </w:rPr>
        <w:t>Limitations on ISOs</w:t>
      </w:r>
      <w:r>
        <w:rPr>
          <w:rFonts w:ascii="Times New Roman" w:cs="Times New Roman" w:eastAsia="Times New Roman" w:hAnsi="Times New Roman"/>
          <w:sz w:val="18"/>
          <w:szCs w:val="18"/>
          <w:color w:val="000000"/>
        </w:rPr>
        <w:t>. With respect to Awards granted as ISOs, to the extent that the aggregate Fair Market Value of the Shares with respect</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to which such ISOs are exercisable for the first time by the Participant during any calendar year (under all plans of the Company and any Parent or Subsidiary) exceeds one hundred thousand dollars ($100,000), such Options will be treated as NQSOs. For purposes of this </w:t>
      </w:r>
      <w:r>
        <w:rPr>
          <w:rFonts w:ascii="Times New Roman" w:cs="Times New Roman" w:eastAsia="Times New Roman" w:hAnsi="Times New Roman"/>
          <w:sz w:val="18"/>
          <w:szCs w:val="18"/>
          <w:u w:val="single" w:color="auto"/>
          <w:color w:val="000000"/>
        </w:rPr>
        <w:t>Section 5.8</w:t>
      </w:r>
      <w:r>
        <w:rPr>
          <w:rFonts w:ascii="Times New Roman" w:cs="Times New Roman" w:eastAsia="Times New Roman" w:hAnsi="Times New Roman"/>
          <w:sz w:val="18"/>
          <w:szCs w:val="18"/>
          <w:color w:val="000000"/>
        </w:rPr>
        <w:t>, ISOs will be taken into account in the order in which they were granted. The Fair Market Value of the Shares will be determined as of the time the Option with respect to such Shares is granted. In the event that the Code or the regulations promulgated thereunder are amended after the Effective Date to provide for a different limit on the Fair Market Value of Shares permitted to be subject to ISOs, such different limit will be automatically incorporated herein and will apply to any Options granted after the effective date of such amendment.</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010000"/>
        </w:rPr>
        <w:t xml:space="preserve">5.9. </w:t>
      </w:r>
      <w:r>
        <w:rPr>
          <w:rFonts w:ascii="Times New Roman" w:cs="Times New Roman" w:eastAsia="Times New Roman" w:hAnsi="Times New Roman"/>
          <w:sz w:val="18"/>
          <w:szCs w:val="18"/>
          <w:u w:val="single" w:color="auto"/>
          <w:color w:val="000000"/>
        </w:rPr>
        <w:t>Modification, Extension or Renewal</w:t>
      </w:r>
      <w:r>
        <w:rPr>
          <w:rFonts w:ascii="Times New Roman" w:cs="Times New Roman" w:eastAsia="Times New Roman" w:hAnsi="Times New Roman"/>
          <w:sz w:val="18"/>
          <w:szCs w:val="18"/>
          <w:color w:val="000000"/>
        </w:rPr>
        <w:t>. The Committee may modify, extend or renew outstanding Options and authorize the grant of new</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Options in substitution therefor, provided that any such action may not, without the written consent of a Participant, impair any of such Participant’s rights under any Option previously granted, unless for the purpose of complying with applicable laws and regulations. Any outstanding ISO that is modified, extended, renewed or otherwise altered will be treated in accordance with Section 424(h) of the Code. Subject to prior stockholder approval as is required by </w:t>
      </w:r>
      <w:r>
        <w:rPr>
          <w:rFonts w:ascii="Times New Roman" w:cs="Times New Roman" w:eastAsia="Times New Roman" w:hAnsi="Times New Roman"/>
          <w:sz w:val="18"/>
          <w:szCs w:val="18"/>
          <w:u w:val="single" w:color="auto"/>
          <w:color w:val="000000"/>
        </w:rPr>
        <w:t>Section 18</w:t>
      </w:r>
      <w:r>
        <w:rPr>
          <w:rFonts w:ascii="Times New Roman" w:cs="Times New Roman" w:eastAsia="Times New Roman" w:hAnsi="Times New Roman"/>
          <w:sz w:val="18"/>
          <w:szCs w:val="18"/>
          <w:color w:val="000000"/>
        </w:rPr>
        <w:t xml:space="preserve"> of this Plan, by written notice to affected Participants, the Committee may reduce the Exercise Price of outstanding Options without the consent of such Participants; provided, however, that the Exercise Price may not be reduced below the Fair Market Value on the date the action is taken to reduce the Exercise Price.</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010000"/>
        </w:rPr>
        <w:t xml:space="preserve">5.10. </w:t>
      </w:r>
      <w:r>
        <w:rPr>
          <w:rFonts w:ascii="Times New Roman" w:cs="Times New Roman" w:eastAsia="Times New Roman" w:hAnsi="Times New Roman"/>
          <w:sz w:val="18"/>
          <w:szCs w:val="18"/>
          <w:u w:val="single" w:color="auto"/>
          <w:color w:val="000000"/>
        </w:rPr>
        <w:t>No Disqualification</w:t>
      </w:r>
      <w:r>
        <w:rPr>
          <w:rFonts w:ascii="Times New Roman" w:cs="Times New Roman" w:eastAsia="Times New Roman" w:hAnsi="Times New Roman"/>
          <w:sz w:val="18"/>
          <w:szCs w:val="18"/>
          <w:color w:val="000000"/>
        </w:rPr>
        <w:t>. Notwithstanding any other provision in this Plan, no term of this Plan relating to ISOs will be interpreted, amended,</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or altered, nor will any discretion or authority granted under this Plan be exercised, so as to disqualify this Plan under Section 422 of the Code or, without the consent of the Participant affected, to disqualify any ISO under Section 422 of the Code.</w:t>
      </w:r>
    </w:p>
    <w:p>
      <w:pPr>
        <w:spacing w:after="0" w:line="171" w:lineRule="exact"/>
        <w:rPr>
          <w:sz w:val="20"/>
          <w:szCs w:val="20"/>
          <w:color w:val="auto"/>
        </w:rPr>
      </w:pPr>
    </w:p>
    <w:p>
      <w:pPr>
        <w:jc w:val="both"/>
        <w:ind w:firstLine="8"/>
        <w:spacing w:after="0" w:line="262" w:lineRule="auto"/>
        <w:tabs>
          <w:tab w:leader="none" w:pos="355"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RESTRICTED STOCK AWARDS</w:t>
      </w:r>
      <w:r>
        <w:rPr>
          <w:rFonts w:ascii="Times New Roman" w:cs="Times New Roman" w:eastAsia="Times New Roman" w:hAnsi="Times New Roman"/>
          <w:sz w:val="18"/>
          <w:szCs w:val="18"/>
          <w:color w:val="auto"/>
        </w:rPr>
        <w:t>. A Restricted Stock Award is an offer by the Company to sell to an eligible Employee, Consultant, or Director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that are subject to restrictions (“</w:t>
      </w:r>
      <w:r>
        <w:rPr>
          <w:rFonts w:ascii="Times New Roman" w:cs="Times New Roman" w:eastAsia="Times New Roman" w:hAnsi="Times New Roman"/>
          <w:sz w:val="18"/>
          <w:szCs w:val="18"/>
          <w:b w:val="1"/>
          <w:bCs w:val="1"/>
          <w:i w:val="1"/>
          <w:iCs w:val="1"/>
          <w:color w:val="auto"/>
        </w:rPr>
        <w:t>Restricted Stock</w:t>
      </w:r>
      <w:r>
        <w:rPr>
          <w:rFonts w:ascii="Times New Roman" w:cs="Times New Roman" w:eastAsia="Times New Roman" w:hAnsi="Times New Roman"/>
          <w:sz w:val="18"/>
          <w:szCs w:val="18"/>
          <w:color w:val="auto"/>
        </w:rPr>
        <w:t>”). The Committee will determine to whom an offer will be made, the number of Shares the Participant may purchase, the Purchase Price, the restrictions under which the Shares will be subject, and all other terms and conditions of the Restricted Stock Award, subject to this Plan.</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010000"/>
        </w:rPr>
        <w:t xml:space="preserve">6.1. </w:t>
      </w:r>
      <w:r>
        <w:rPr>
          <w:rFonts w:ascii="Times New Roman" w:cs="Times New Roman" w:eastAsia="Times New Roman" w:hAnsi="Times New Roman"/>
          <w:sz w:val="18"/>
          <w:szCs w:val="18"/>
          <w:u w:val="single" w:color="auto"/>
          <w:color w:val="000000"/>
        </w:rPr>
        <w:t>Restricted Stock Purchase Agreement</w:t>
      </w:r>
      <w:r>
        <w:rPr>
          <w:rFonts w:ascii="Times New Roman" w:cs="Times New Roman" w:eastAsia="Times New Roman" w:hAnsi="Times New Roman"/>
          <w:sz w:val="18"/>
          <w:szCs w:val="18"/>
          <w:color w:val="000000"/>
        </w:rPr>
        <w:t>. All purchases under a Restricted Stock Award will be evidenced by an Award Agreement. Except as</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may otherwise be provided in an Award Agreement, a Participant accepts a Restricted Stock Award by signing and delivering to the Company an Award Agreement with full payment of the Purchase Price, within thirty (30) days from the date the Award Agreement was delivered to the Participant. If the Participant does not accept such Award within thirty (30) days, then the offer of such Restricted Stock Award will terminate, unless the Committee determines otherwise.</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010000"/>
        </w:rPr>
        <w:t xml:space="preserve">6.2. </w:t>
      </w:r>
      <w:r>
        <w:rPr>
          <w:rFonts w:ascii="Times New Roman" w:cs="Times New Roman" w:eastAsia="Times New Roman" w:hAnsi="Times New Roman"/>
          <w:sz w:val="18"/>
          <w:szCs w:val="18"/>
          <w:u w:val="single" w:color="auto"/>
          <w:color w:val="000000"/>
        </w:rPr>
        <w:t>Purchase Price</w:t>
      </w:r>
      <w:r>
        <w:rPr>
          <w:rFonts w:ascii="Times New Roman" w:cs="Times New Roman" w:eastAsia="Times New Roman" w:hAnsi="Times New Roman"/>
          <w:sz w:val="18"/>
          <w:szCs w:val="18"/>
          <w:color w:val="000000"/>
        </w:rPr>
        <w:t>. The Purchase Price for a Restricted Stock Award will be determined by the Committee and may be less than Fair Market</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Value on the date the Restricted Stock Award is granted. Payment of the Purchase Price must be made in accordance with </w:t>
      </w:r>
      <w:r>
        <w:rPr>
          <w:rFonts w:ascii="Times New Roman" w:cs="Times New Roman" w:eastAsia="Times New Roman" w:hAnsi="Times New Roman"/>
          <w:sz w:val="18"/>
          <w:szCs w:val="18"/>
          <w:u w:val="single" w:color="auto"/>
          <w:color w:val="000000"/>
        </w:rPr>
        <w:t>Section 11</w:t>
      </w:r>
      <w:r>
        <w:rPr>
          <w:rFonts w:ascii="Times New Roman" w:cs="Times New Roman" w:eastAsia="Times New Roman" w:hAnsi="Times New Roman"/>
          <w:sz w:val="18"/>
          <w:szCs w:val="18"/>
          <w:color w:val="000000"/>
        </w:rPr>
        <w:t xml:space="preserve"> of this Plan, and the Award Agreement and in accordance with any procedures established by the Company.</w:t>
      </w:r>
    </w:p>
    <w:p>
      <w:pPr>
        <w:spacing w:after="0" w:line="17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010000"/>
        </w:rPr>
        <w:t xml:space="preserve">6.3. </w:t>
      </w:r>
      <w:r>
        <w:rPr>
          <w:rFonts w:ascii="Times New Roman" w:cs="Times New Roman" w:eastAsia="Times New Roman" w:hAnsi="Times New Roman"/>
          <w:sz w:val="18"/>
          <w:szCs w:val="18"/>
          <w:u w:val="single" w:color="auto"/>
          <w:color w:val="000000"/>
        </w:rPr>
        <w:t>Terms of Restricted Stock Awards</w:t>
      </w:r>
      <w:r>
        <w:rPr>
          <w:rFonts w:ascii="Times New Roman" w:cs="Times New Roman" w:eastAsia="Times New Roman" w:hAnsi="Times New Roman"/>
          <w:sz w:val="18"/>
          <w:szCs w:val="18"/>
          <w:color w:val="000000"/>
        </w:rPr>
        <w:t>. Restricted Stock Awards will be subject to such restrictions as the Committee may impose or are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required by law. These restrictions may be based on completion of a specified period of Service with the Company or upon completion of Performance Factors, if any, during any Performance Period as set out in advance in the Participant’s Award Agreement. Prior to the grant of a Restricted Stock Award, the Committee will: (a) determine the nature, length, and starting date of any Performance Period for the Restricted Stock Award; (b) select from among the Performance Factors to be used to measure performance goals, if any; and (c) determine the number of Shares that may be awarded to the Participant. Performance Periods may overlap and a Participant may participate simultaneously with respect to Restricted Stock Awards that are subject to different Performance Periods and having different performance goals and other criteria.</w:t>
      </w:r>
    </w:p>
    <w:p>
      <w:pPr>
        <w:sectPr>
          <w:pgSz w:w="11900" w:h="16838" w:orient="portrait"/>
          <w:cols w:equalWidth="0" w:num="1">
            <w:col w:w="11240"/>
          </w:cols>
          <w:pgMar w:left="320" w:top="1066" w:right="339" w:bottom="1440" w:gutter="0" w:footer="0" w:header="0"/>
        </w:sectPr>
      </w:pPr>
    </w:p>
    <w:bookmarkStart w:id="9" w:name="page10"/>
    <w:bookmarkEnd w:id="9"/>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010000"/>
        </w:rPr>
        <w:t xml:space="preserve">6.4. </w:t>
      </w:r>
      <w:r>
        <w:rPr>
          <w:rFonts w:ascii="Times New Roman" w:cs="Times New Roman" w:eastAsia="Times New Roman" w:hAnsi="Times New Roman"/>
          <w:sz w:val="18"/>
          <w:szCs w:val="18"/>
          <w:u w:val="single" w:color="auto"/>
          <w:color w:val="000000"/>
        </w:rPr>
        <w:t>Termination of Service</w:t>
      </w:r>
      <w:r>
        <w:rPr>
          <w:rFonts w:ascii="Times New Roman" w:cs="Times New Roman" w:eastAsia="Times New Roman" w:hAnsi="Times New Roman"/>
          <w:sz w:val="18"/>
          <w:szCs w:val="18"/>
          <w:color w:val="000000"/>
        </w:rPr>
        <w:t>. Except as may be set forth in the Participant’s Award Agreement, vesting ceases on such date Participant’s Service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terminates (unless determined otherwise by the Committee).</w:t>
      </w:r>
    </w:p>
    <w:p>
      <w:pPr>
        <w:spacing w:after="0" w:line="155" w:lineRule="exact"/>
        <w:rPr>
          <w:sz w:val="20"/>
          <w:szCs w:val="20"/>
          <w:color w:val="auto"/>
        </w:rPr>
      </w:pPr>
    </w:p>
    <w:p>
      <w:pPr>
        <w:jc w:val="both"/>
        <w:ind w:firstLine="8"/>
        <w:spacing w:after="0" w:line="268" w:lineRule="auto"/>
        <w:tabs>
          <w:tab w:leader="none" w:pos="315"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STOCK BONUS AWARDS</w:t>
      </w:r>
      <w:r>
        <w:rPr>
          <w:rFonts w:ascii="Times New Roman" w:cs="Times New Roman" w:eastAsia="Times New Roman" w:hAnsi="Times New Roman"/>
          <w:sz w:val="18"/>
          <w:szCs w:val="18"/>
          <w:color w:val="auto"/>
        </w:rPr>
        <w:t>. A Stock Bonus Award is an award to an eligible Employee, Consultant, or Director of Shares for Services to be rendered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for past Services already rendered to the Company or any Parent, Subsidiary, or Affiliate. All Stock Bonus Awards will be made pursuant to an Award Agreement. No payment from the Participant will be required for Shares awarded pursuant to a Stock Bonus Award.</w:t>
      </w:r>
    </w:p>
    <w:p>
      <w:pPr>
        <w:spacing w:after="0" w:line="17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010000"/>
        </w:rPr>
        <w:t xml:space="preserve">7.1. </w:t>
      </w:r>
      <w:r>
        <w:rPr>
          <w:rFonts w:ascii="Times New Roman" w:cs="Times New Roman" w:eastAsia="Times New Roman" w:hAnsi="Times New Roman"/>
          <w:sz w:val="18"/>
          <w:szCs w:val="18"/>
          <w:u w:val="single" w:color="auto"/>
          <w:color w:val="000000"/>
        </w:rPr>
        <w:t>Terms of Stock Bonus Awards</w:t>
      </w:r>
      <w:r>
        <w:rPr>
          <w:rFonts w:ascii="Times New Roman" w:cs="Times New Roman" w:eastAsia="Times New Roman" w:hAnsi="Times New Roman"/>
          <w:sz w:val="18"/>
          <w:szCs w:val="18"/>
          <w:color w:val="000000"/>
        </w:rPr>
        <w:t>. The Committee will determine the number of Shares to be awarded to the Participant under a Stock Bonus</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Award and any restrictions thereon. These restrictions may be based upon completion of a specified period of Service with the Company or upon satisfaction of performance goals based on Performance Factors during any Performance Period as set out in advance in the Participant’s Stock Bonus Agreement. Prior to the grant of any Stock Bonus Award the Committee will: (a) determine the nature, length, and starting date of any Performance Period for the Stock Bonus Award; (b) select from among the Performance Factors to be used to measure performance goals; and (c) determine the number of Shares that may be awarded to the Participant. Performance Periods may overlap and a Participant may participate simultaneously with respect to Stock Bonus Awards that are subject to different Performance Periods and different performance goals and other criteria.</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010000"/>
        </w:rPr>
        <w:t xml:space="preserve">7.2. </w:t>
      </w:r>
      <w:r>
        <w:rPr>
          <w:rFonts w:ascii="Times New Roman" w:cs="Times New Roman" w:eastAsia="Times New Roman" w:hAnsi="Times New Roman"/>
          <w:sz w:val="18"/>
          <w:szCs w:val="18"/>
          <w:u w:val="single" w:color="auto"/>
          <w:color w:val="000000"/>
        </w:rPr>
        <w:t>Form of Payment to Participant</w:t>
      </w:r>
      <w:r>
        <w:rPr>
          <w:rFonts w:ascii="Times New Roman" w:cs="Times New Roman" w:eastAsia="Times New Roman" w:hAnsi="Times New Roman"/>
          <w:sz w:val="18"/>
          <w:szCs w:val="18"/>
          <w:color w:val="000000"/>
        </w:rPr>
        <w:t>. Payment may be made in the form of cash, whole Shares, or a combination thereof, based on the Fair</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Market Value of the Shares earned under a Stock Bonus Award on the date of payment, as determined in the sole discretion of the Committee.</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010000"/>
        </w:rPr>
        <w:t xml:space="preserve">7.3. </w:t>
      </w:r>
      <w:r>
        <w:rPr>
          <w:rFonts w:ascii="Times New Roman" w:cs="Times New Roman" w:eastAsia="Times New Roman" w:hAnsi="Times New Roman"/>
          <w:sz w:val="18"/>
          <w:szCs w:val="18"/>
          <w:u w:val="single" w:color="auto"/>
          <w:color w:val="000000"/>
        </w:rPr>
        <w:t>Termination of Service</w:t>
      </w:r>
      <w:r>
        <w:rPr>
          <w:rFonts w:ascii="Times New Roman" w:cs="Times New Roman" w:eastAsia="Times New Roman" w:hAnsi="Times New Roman"/>
          <w:sz w:val="18"/>
          <w:szCs w:val="18"/>
          <w:color w:val="000000"/>
        </w:rPr>
        <w:t>. Except as may be set forth in the Participant’s Award Agreement, vesting ceases on such date Participant’s Service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terminates (unless determined otherwise by the Committee).</w:t>
      </w:r>
    </w:p>
    <w:p>
      <w:pPr>
        <w:spacing w:after="0" w:line="155" w:lineRule="exact"/>
        <w:rPr>
          <w:sz w:val="20"/>
          <w:szCs w:val="20"/>
          <w:color w:val="auto"/>
        </w:rPr>
      </w:pPr>
    </w:p>
    <w:p>
      <w:pPr>
        <w:jc w:val="both"/>
        <w:ind w:firstLine="8"/>
        <w:spacing w:after="0" w:line="262" w:lineRule="auto"/>
        <w:tabs>
          <w:tab w:leader="none" w:pos="328"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STOCK APPRECIATION RIGHTS</w:t>
      </w:r>
      <w:r>
        <w:rPr>
          <w:rFonts w:ascii="Times New Roman" w:cs="Times New Roman" w:eastAsia="Times New Roman" w:hAnsi="Times New Roman"/>
          <w:sz w:val="18"/>
          <w:szCs w:val="18"/>
          <w:color w:val="auto"/>
        </w:rPr>
        <w:t>. A Stock Appreciation Right (“</w:t>
      </w:r>
      <w:r>
        <w:rPr>
          <w:rFonts w:ascii="Times New Roman" w:cs="Times New Roman" w:eastAsia="Times New Roman" w:hAnsi="Times New Roman"/>
          <w:sz w:val="18"/>
          <w:szCs w:val="18"/>
          <w:b w:val="1"/>
          <w:bCs w:val="1"/>
          <w:i w:val="1"/>
          <w:iCs w:val="1"/>
          <w:color w:val="auto"/>
        </w:rPr>
        <w:t>SAR</w:t>
      </w:r>
      <w:r>
        <w:rPr>
          <w:rFonts w:ascii="Times New Roman" w:cs="Times New Roman" w:eastAsia="Times New Roman" w:hAnsi="Times New Roman"/>
          <w:sz w:val="18"/>
          <w:szCs w:val="18"/>
          <w:color w:val="auto"/>
        </w:rPr>
        <w:t>”) is an award to an eligible Employee, Consultant, or Director that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settled in cash or Shares (which may consist of Restricted Stock) having a value equal to (a) the difference between the Fair Market Value on the date of exercise over the Exercise Price multiplied by (b) the number of Shares with respect to which the SAR is being settled (subject to any maximum number of Shares that may be issuable as specified in an Award Agreement). All SARs will be made pursuant to an Award Agreement.</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010000"/>
        </w:rPr>
        <w:t xml:space="preserve">8.1. </w:t>
      </w:r>
      <w:r>
        <w:rPr>
          <w:rFonts w:ascii="Times New Roman" w:cs="Times New Roman" w:eastAsia="Times New Roman" w:hAnsi="Times New Roman"/>
          <w:sz w:val="18"/>
          <w:szCs w:val="18"/>
          <w:u w:val="single" w:color="auto"/>
          <w:color w:val="000000"/>
        </w:rPr>
        <w:t>Terms of SARs</w:t>
      </w:r>
      <w:r>
        <w:rPr>
          <w:rFonts w:ascii="Times New Roman" w:cs="Times New Roman" w:eastAsia="Times New Roman" w:hAnsi="Times New Roman"/>
          <w:sz w:val="18"/>
          <w:szCs w:val="18"/>
          <w:color w:val="000000"/>
        </w:rPr>
        <w:t>. The Committee will determine the terms of each SAR including, without limitation: (a) the number of Shares subject to the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SAR, (b) the Exercise Price and the time or times during which the SAR may be settled, (c) the consideration to be distributed on settlement of the SAR, and (d) the effect of the Participant’s termination of Service on each SAR. The Exercise Price of the SAR will be determined by the Committee when the SAR is granted and may not be less than Fair Market Value of the Shares on the date of grant. A SAR may be awarded upon satisfaction of Performance Factors, if any, during any Performance Period as are set out in advance in the Participant’s individual Award Agreement. If the SAR is being earned upon the satisfaction of Performance Factors, then the Committee will: (i) determine the nature, length, and starting date of any Performance Period for each SAR; and (ii) select from among the Performance Factors to be used to measure the performance, if any. Performance Periods may overlap and Participants may participate simultaneously with respect to SARs that are subject to different Performance Factors and other criteria.</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010000"/>
        </w:rPr>
        <w:t xml:space="preserve">8.2. </w:t>
      </w:r>
      <w:r>
        <w:rPr>
          <w:rFonts w:ascii="Times New Roman" w:cs="Times New Roman" w:eastAsia="Times New Roman" w:hAnsi="Times New Roman"/>
          <w:sz w:val="18"/>
          <w:szCs w:val="18"/>
          <w:u w:val="single" w:color="auto"/>
          <w:color w:val="000000"/>
        </w:rPr>
        <w:t>Exercise Period and Expiration Date</w:t>
      </w:r>
      <w:r>
        <w:rPr>
          <w:rFonts w:ascii="Times New Roman" w:cs="Times New Roman" w:eastAsia="Times New Roman" w:hAnsi="Times New Roman"/>
          <w:sz w:val="18"/>
          <w:szCs w:val="18"/>
          <w:color w:val="000000"/>
        </w:rPr>
        <w:t>. A SAR will be exercisable within the times or upon the occurrence of events determined by the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Committee and set forth in the Award Agreement governing such SAR. The SAR Agreement will set forth the expiration date, provided that no SAR will be exercisable after the expiration of ten (10) years from the date the SAR is granted. The Committee may also provide for SARs to become exercisable at one time or from time to time, periodically or otherwise (including, without limitation, upon the attainment during a Performance Period of performance goals based on Performance Factors), in such number of Shares or percentage of the Shares subject to the SAR as the Committee determines. Notwithstanding the foregoing, the rules of </w:t>
      </w:r>
      <w:r>
        <w:rPr>
          <w:rFonts w:ascii="Times New Roman" w:cs="Times New Roman" w:eastAsia="Times New Roman" w:hAnsi="Times New Roman"/>
          <w:sz w:val="18"/>
          <w:szCs w:val="18"/>
          <w:u w:val="single" w:color="auto"/>
          <w:color w:val="000000"/>
        </w:rPr>
        <w:t>Section 5.6</w:t>
      </w:r>
      <w:r>
        <w:rPr>
          <w:rFonts w:ascii="Times New Roman" w:cs="Times New Roman" w:eastAsia="Times New Roman" w:hAnsi="Times New Roman"/>
          <w:sz w:val="18"/>
          <w:szCs w:val="18"/>
          <w:color w:val="000000"/>
        </w:rPr>
        <w:t xml:space="preserve"> also will apply to SARs.</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010000"/>
        </w:rPr>
        <w:t xml:space="preserve">8.3. </w:t>
      </w:r>
      <w:r>
        <w:rPr>
          <w:rFonts w:ascii="Times New Roman" w:cs="Times New Roman" w:eastAsia="Times New Roman" w:hAnsi="Times New Roman"/>
          <w:sz w:val="18"/>
          <w:szCs w:val="18"/>
          <w:u w:val="single" w:color="auto"/>
          <w:color w:val="000000"/>
        </w:rPr>
        <w:t>Form of Settlement</w:t>
      </w:r>
      <w:r>
        <w:rPr>
          <w:rFonts w:ascii="Times New Roman" w:cs="Times New Roman" w:eastAsia="Times New Roman" w:hAnsi="Times New Roman"/>
          <w:sz w:val="18"/>
          <w:szCs w:val="18"/>
          <w:color w:val="000000"/>
        </w:rPr>
        <w:t>. Upon exercise of a SAR, a Participant will be entitled to receive payment from the Company in an amount determined</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by multiplying (a) the difference between the Fair Market Value of a Share on the date of exercise over the Exercise Price, by (b) the number of Shares with respect to which the SAR is exercised. At the discretion of the Committee, the payment from the Company for the SAR exercise may be in cash, in Shares of equivalent value, or in some combination thereof. The portion of a SAR being settled may be paid currently or on a deferred basis with such interest, if any, as the Committee determines, </w:t>
      </w:r>
      <w:r>
        <w:rPr>
          <w:rFonts w:ascii="Times New Roman" w:cs="Times New Roman" w:eastAsia="Times New Roman" w:hAnsi="Times New Roman"/>
          <w:sz w:val="18"/>
          <w:szCs w:val="18"/>
          <w:u w:val="single" w:color="auto"/>
          <w:color w:val="000000"/>
        </w:rPr>
        <w:t>provided that</w:t>
      </w:r>
      <w:r>
        <w:rPr>
          <w:rFonts w:ascii="Times New Roman" w:cs="Times New Roman" w:eastAsia="Times New Roman" w:hAnsi="Times New Roman"/>
          <w:sz w:val="18"/>
          <w:szCs w:val="18"/>
          <w:color w:val="000000"/>
        </w:rPr>
        <w:t xml:space="preserve"> the terms of the SAR and any deferral satisfy the requirements of Section 409A of the Code to the extent applicable.</w:t>
      </w:r>
    </w:p>
    <w:p>
      <w:pPr>
        <w:sectPr>
          <w:pgSz w:w="11900" w:h="16838" w:orient="portrait"/>
          <w:cols w:equalWidth="0" w:num="1">
            <w:col w:w="11240"/>
          </w:cols>
          <w:pgMar w:left="320" w:top="1062" w:right="339" w:bottom="1440" w:gutter="0" w:footer="0" w:header="0"/>
        </w:sectPr>
      </w:pPr>
    </w:p>
    <w:bookmarkStart w:id="10" w:name="page11"/>
    <w:bookmarkEnd w:id="10"/>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010000"/>
        </w:rPr>
        <w:t xml:space="preserve">8.4. </w:t>
      </w:r>
      <w:r>
        <w:rPr>
          <w:rFonts w:ascii="Times New Roman" w:cs="Times New Roman" w:eastAsia="Times New Roman" w:hAnsi="Times New Roman"/>
          <w:sz w:val="18"/>
          <w:szCs w:val="18"/>
          <w:u w:val="single" w:color="auto"/>
          <w:color w:val="000000"/>
        </w:rPr>
        <w:t>Termination of Service</w:t>
      </w:r>
      <w:r>
        <w:rPr>
          <w:rFonts w:ascii="Times New Roman" w:cs="Times New Roman" w:eastAsia="Times New Roman" w:hAnsi="Times New Roman"/>
          <w:sz w:val="18"/>
          <w:szCs w:val="18"/>
          <w:color w:val="000000"/>
        </w:rPr>
        <w:t>. Except as may be set forth in the Participant’s Award Agreement, vesting ceases on the date Participant’s Service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terminates (unless determined otherwise by the Committee).</w:t>
      </w:r>
    </w:p>
    <w:p>
      <w:pPr>
        <w:spacing w:after="0" w:line="155" w:lineRule="exact"/>
        <w:rPr>
          <w:sz w:val="20"/>
          <w:szCs w:val="20"/>
          <w:color w:val="auto"/>
        </w:rPr>
      </w:pPr>
    </w:p>
    <w:p>
      <w:pPr>
        <w:jc w:val="both"/>
        <w:ind w:firstLine="8"/>
        <w:spacing w:after="0" w:line="268" w:lineRule="auto"/>
        <w:tabs>
          <w:tab w:leader="none" w:pos="315"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RESTRICTED STOCK UNITS</w:t>
      </w:r>
      <w:r>
        <w:rPr>
          <w:rFonts w:ascii="Times New Roman" w:cs="Times New Roman" w:eastAsia="Times New Roman" w:hAnsi="Times New Roman"/>
          <w:sz w:val="18"/>
          <w:szCs w:val="18"/>
          <w:color w:val="auto"/>
        </w:rPr>
        <w:t>. A Restricted Stock Unit (“</w:t>
      </w:r>
      <w:r>
        <w:rPr>
          <w:rFonts w:ascii="Times New Roman" w:cs="Times New Roman" w:eastAsia="Times New Roman" w:hAnsi="Times New Roman"/>
          <w:sz w:val="18"/>
          <w:szCs w:val="18"/>
          <w:b w:val="1"/>
          <w:bCs w:val="1"/>
          <w:i w:val="1"/>
          <w:iCs w:val="1"/>
          <w:color w:val="auto"/>
        </w:rPr>
        <w:t>RSU</w:t>
      </w:r>
      <w:r>
        <w:rPr>
          <w:rFonts w:ascii="Times New Roman" w:cs="Times New Roman" w:eastAsia="Times New Roman" w:hAnsi="Times New Roman"/>
          <w:sz w:val="18"/>
          <w:szCs w:val="18"/>
          <w:color w:val="auto"/>
        </w:rPr>
        <w:t>”) is an award to an eligible Employee, Consultant, or Director covering a number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that may be settled by issuance of those Shares (which may consist of Restricted Stock) or in cash. All RSUs will be made pursuant to an Award Agreement.</w:t>
      </w:r>
    </w:p>
    <w:p>
      <w:pPr>
        <w:spacing w:after="0" w:line="17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010000"/>
        </w:rPr>
        <w:t xml:space="preserve">9.1. </w:t>
      </w:r>
      <w:r>
        <w:rPr>
          <w:rFonts w:ascii="Times New Roman" w:cs="Times New Roman" w:eastAsia="Times New Roman" w:hAnsi="Times New Roman"/>
          <w:sz w:val="18"/>
          <w:szCs w:val="18"/>
          <w:u w:val="single" w:color="auto"/>
          <w:color w:val="000000"/>
        </w:rPr>
        <w:t>Terms of RSUs</w:t>
      </w:r>
      <w:r>
        <w:rPr>
          <w:rFonts w:ascii="Times New Roman" w:cs="Times New Roman" w:eastAsia="Times New Roman" w:hAnsi="Times New Roman"/>
          <w:sz w:val="18"/>
          <w:szCs w:val="18"/>
          <w:color w:val="000000"/>
        </w:rPr>
        <w:t>. The Committee will determine the terms of an RSU including, without limitation: (a) the number of Shares subject to the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RSU, (b) the time or times during which the RSU may be settled, (c) the consideration to be distributed on settlement, and (d) the effect of the Participant’s termination of Service on each RSU, provided that no RSU will have a term longer than ten (10) years. An RSU may be awarded upon satisfaction of such performance goals based on Performance Factors during any Performance Period as are set out in advance in the Participant’s Award Agreement. If the RSU is being earned upon satisfaction of Performance Factors, then the Committee will: (i) determine the nature, length, and starting date of any Performance Period for the RSU; (ii) select from among the Performance Factors to be used to measure the performance, if any; and (iii) determine the number of Shares deemed subject to the RSU. Performance Periods may overlap and Participants may participate simultaneously with respect to RSUs that are subject to different Performance Periods and different performance goals and other criteria.</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010000"/>
        </w:rPr>
        <w:t xml:space="preserve">9.2. </w:t>
      </w:r>
      <w:r>
        <w:rPr>
          <w:rFonts w:ascii="Times New Roman" w:cs="Times New Roman" w:eastAsia="Times New Roman" w:hAnsi="Times New Roman"/>
          <w:sz w:val="18"/>
          <w:szCs w:val="18"/>
          <w:u w:val="single" w:color="auto"/>
          <w:color w:val="000000"/>
        </w:rPr>
        <w:t>Form and Timing of Settlement</w:t>
      </w:r>
      <w:r>
        <w:rPr>
          <w:rFonts w:ascii="Times New Roman" w:cs="Times New Roman" w:eastAsia="Times New Roman" w:hAnsi="Times New Roman"/>
          <w:sz w:val="18"/>
          <w:szCs w:val="18"/>
          <w:color w:val="000000"/>
        </w:rPr>
        <w:t>. Payment of earned RSUs will be made as soon as practicable after the date(s) determined by the Committee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and set forth in the Award Agreement. The Committee, in its sole discretion, may settle earned RSUs in cash, Shares, or a combination of both. The Committee may also permit a Participant to defer payment under a RSU to a date or dates after the RSU is earned, </w:t>
      </w:r>
      <w:r>
        <w:rPr>
          <w:rFonts w:ascii="Times New Roman" w:cs="Times New Roman" w:eastAsia="Times New Roman" w:hAnsi="Times New Roman"/>
          <w:sz w:val="18"/>
          <w:szCs w:val="18"/>
          <w:u w:val="single" w:color="auto"/>
          <w:color w:val="000000"/>
        </w:rPr>
        <w:t>provided that</w:t>
      </w:r>
      <w:r>
        <w:rPr>
          <w:rFonts w:ascii="Times New Roman" w:cs="Times New Roman" w:eastAsia="Times New Roman" w:hAnsi="Times New Roman"/>
          <w:sz w:val="18"/>
          <w:szCs w:val="18"/>
          <w:color w:val="000000"/>
        </w:rPr>
        <w:t xml:space="preserve"> the terms of the RSU and any deferral satisfy the requirements of Section 409A of the Code to the extent applicable.</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010000"/>
        </w:rPr>
        <w:t xml:space="preserve">9.3. </w:t>
      </w:r>
      <w:r>
        <w:rPr>
          <w:rFonts w:ascii="Times New Roman" w:cs="Times New Roman" w:eastAsia="Times New Roman" w:hAnsi="Times New Roman"/>
          <w:sz w:val="18"/>
          <w:szCs w:val="18"/>
          <w:u w:val="single" w:color="auto"/>
          <w:color w:val="000000"/>
        </w:rPr>
        <w:t>Termination of Service</w:t>
      </w:r>
      <w:r>
        <w:rPr>
          <w:rFonts w:ascii="Times New Roman" w:cs="Times New Roman" w:eastAsia="Times New Roman" w:hAnsi="Times New Roman"/>
          <w:sz w:val="18"/>
          <w:szCs w:val="18"/>
          <w:color w:val="000000"/>
        </w:rPr>
        <w:t>. Except as may be set forth in the Participant’s Award Agreement, vesting ceases on such date Participant’s Service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terminates (unless determined otherwise by the Committee).</w:t>
      </w:r>
    </w:p>
    <w:p>
      <w:pPr>
        <w:spacing w:after="0" w:line="155" w:lineRule="exact"/>
        <w:rPr>
          <w:sz w:val="20"/>
          <w:szCs w:val="20"/>
          <w:color w:val="auto"/>
        </w:rPr>
      </w:pPr>
    </w:p>
    <w:p>
      <w:pPr>
        <w:jc w:val="both"/>
        <w:ind w:firstLine="8"/>
        <w:spacing w:after="0" w:line="262" w:lineRule="auto"/>
        <w:tabs>
          <w:tab w:leader="none" w:pos="418"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PERFORMANCE AWARDS</w:t>
      </w:r>
      <w:r>
        <w:rPr>
          <w:rFonts w:ascii="Times New Roman" w:cs="Times New Roman" w:eastAsia="Times New Roman" w:hAnsi="Times New Roman"/>
          <w:sz w:val="18"/>
          <w:szCs w:val="18"/>
          <w:color w:val="auto"/>
        </w:rPr>
        <w:t>. A Performance Award is an award to an eligible Employee, Consultant, or Director that is based upon the attainment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performance goals, as established by the Committee, and other terms and conditions specified by the Committee, and may be settled in cash, Shares (which may consist of, without limitation, Restricted Stock), other property, or any combination thereof, and may be cash-based. Grants of Performance Awards will be made pursuant to an Award Agreement.</w:t>
      </w:r>
    </w:p>
    <w:p>
      <w:pPr>
        <w:spacing w:after="0" w:line="176"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010000"/>
        </w:rPr>
        <w:t xml:space="preserve">10.1. </w:t>
      </w:r>
      <w:r>
        <w:rPr>
          <w:rFonts w:ascii="Times New Roman" w:cs="Times New Roman" w:eastAsia="Times New Roman" w:hAnsi="Times New Roman"/>
          <w:sz w:val="18"/>
          <w:szCs w:val="18"/>
          <w:u w:val="single" w:color="auto"/>
          <w:color w:val="000000"/>
        </w:rPr>
        <w:t>Types of Performance Awards</w:t>
      </w:r>
      <w:r>
        <w:rPr>
          <w:rFonts w:ascii="Times New Roman" w:cs="Times New Roman" w:eastAsia="Times New Roman" w:hAnsi="Times New Roman"/>
          <w:sz w:val="18"/>
          <w:szCs w:val="18"/>
          <w:color w:val="000000"/>
        </w:rPr>
        <w:t>. Performance Awards shall include Performance Shares, Performance Units and cash-settled Performance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Awards as set forth in Sections 10.1(a), 10.1(b) and 10.1(c) below.</w:t>
      </w:r>
    </w:p>
    <w:p>
      <w:pPr>
        <w:spacing w:after="0" w:line="159" w:lineRule="exact"/>
        <w:rPr>
          <w:sz w:val="20"/>
          <w:szCs w:val="20"/>
          <w:color w:val="auto"/>
        </w:rPr>
      </w:pPr>
    </w:p>
    <w:p>
      <w:pPr>
        <w:ind w:firstLine="1304"/>
        <w:spacing w:after="0" w:line="282" w:lineRule="auto"/>
        <w:tabs>
          <w:tab w:leader="none" w:pos="1729" w:val="left"/>
        </w:tabs>
        <w:numPr>
          <w:ilvl w:val="0"/>
          <w:numId w:val="1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Performance Shares</w:t>
      </w:r>
      <w:r>
        <w:rPr>
          <w:rFonts w:ascii="Times New Roman" w:cs="Times New Roman" w:eastAsia="Times New Roman" w:hAnsi="Times New Roman"/>
          <w:sz w:val="18"/>
          <w:szCs w:val="18"/>
          <w:color w:val="auto"/>
        </w:rPr>
        <w:t>. The Committee may grant Awards of Performance Shares, designate the Participants to whom Performance Shares are to be awarded and determine the number of Performance Shares and the terms and conditions of each such Award.</w:t>
      </w:r>
    </w:p>
    <w:p>
      <w:pPr>
        <w:spacing w:after="0" w:line="161" w:lineRule="exact"/>
        <w:rPr>
          <w:rFonts w:ascii="Times New Roman" w:cs="Times New Roman" w:eastAsia="Times New Roman" w:hAnsi="Times New Roman"/>
          <w:sz w:val="18"/>
          <w:szCs w:val="18"/>
          <w:color w:val="010000"/>
        </w:rPr>
      </w:pPr>
    </w:p>
    <w:p>
      <w:pPr>
        <w:ind w:firstLine="1304"/>
        <w:spacing w:after="0" w:line="282" w:lineRule="auto"/>
        <w:tabs>
          <w:tab w:leader="none" w:pos="1686" w:val="left"/>
        </w:tabs>
        <w:numPr>
          <w:ilvl w:val="0"/>
          <w:numId w:val="1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Performance Units</w:t>
      </w:r>
      <w:r>
        <w:rPr>
          <w:rFonts w:ascii="Times New Roman" w:cs="Times New Roman" w:eastAsia="Times New Roman" w:hAnsi="Times New Roman"/>
          <w:sz w:val="18"/>
          <w:szCs w:val="18"/>
          <w:color w:val="auto"/>
        </w:rPr>
        <w:t>. The Committee may grant Awards of Performance Units, designate the Participants to whom Performance Units are to be awarded and determine the number of Performance Units and the terms and conditions of each such Award.</w:t>
      </w:r>
    </w:p>
    <w:p>
      <w:pPr>
        <w:spacing w:after="0" w:line="161" w:lineRule="exact"/>
        <w:rPr>
          <w:rFonts w:ascii="Times New Roman" w:cs="Times New Roman" w:eastAsia="Times New Roman" w:hAnsi="Times New Roman"/>
          <w:sz w:val="18"/>
          <w:szCs w:val="18"/>
          <w:color w:val="010000"/>
        </w:rPr>
      </w:pPr>
    </w:p>
    <w:p>
      <w:pPr>
        <w:ind w:firstLine="1304"/>
        <w:spacing w:after="0" w:line="282" w:lineRule="auto"/>
        <w:tabs>
          <w:tab w:leader="none" w:pos="1716" w:val="left"/>
        </w:tabs>
        <w:numPr>
          <w:ilvl w:val="0"/>
          <w:numId w:val="1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Cash-Settled Performance Awards</w:t>
      </w:r>
      <w:r>
        <w:rPr>
          <w:rFonts w:ascii="Times New Roman" w:cs="Times New Roman" w:eastAsia="Times New Roman" w:hAnsi="Times New Roman"/>
          <w:sz w:val="18"/>
          <w:szCs w:val="18"/>
          <w:color w:val="auto"/>
        </w:rPr>
        <w:t>. The Committee may also grant cash-settled Performance Awards, designate the Participants to whom cash-settled Performance Awards are to be awarded and determine the terms and conditions of each such Award.</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amount to be paid under any Performance Award may be adjusted on the basis of such further consideration as the Committee shall determine in its sole discretion.</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010000"/>
        </w:rPr>
        <w:t xml:space="preserve">10.2. </w:t>
      </w:r>
      <w:r>
        <w:rPr>
          <w:rFonts w:ascii="Times New Roman" w:cs="Times New Roman" w:eastAsia="Times New Roman" w:hAnsi="Times New Roman"/>
          <w:sz w:val="18"/>
          <w:szCs w:val="18"/>
          <w:u w:val="single" w:color="auto"/>
          <w:color w:val="000000"/>
        </w:rPr>
        <w:t>Terms of Performance Awards</w:t>
      </w:r>
      <w:r>
        <w:rPr>
          <w:rFonts w:ascii="Times New Roman" w:cs="Times New Roman" w:eastAsia="Times New Roman" w:hAnsi="Times New Roman"/>
          <w:sz w:val="18"/>
          <w:szCs w:val="18"/>
          <w:color w:val="000000"/>
        </w:rPr>
        <w:t>. Performance Awards will be based on the attainment of performance goals using the Performance Factors</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within this Plan that are established by the Committee for the relevant Performance Period. The Committee will determine, and each Award Agreement will set forth, the terms of each Performance Award including, without limitation: (a) the amount of any cash bonus, (b) the number of Shares deemed subject to a Performance Award, (c) the Performance Factors and Performance Period that will determine the time and extent to which each Performance Award will be settled, (d) the consideration to be distributed on settlement, and (e) the effect of the Participant’s termination of Service on each Performance Award. In establishing Performance Factors and the Performance Period the Committee will: (i) determine the nature, length, and starting date of any Performance Period; (ii) select from among the Performance Factors to be used and</w:t>
      </w:r>
    </w:p>
    <w:p>
      <w:pPr>
        <w:sectPr>
          <w:pgSz w:w="11900" w:h="16838" w:orient="portrait"/>
          <w:cols w:equalWidth="0" w:num="1">
            <w:col w:w="11240"/>
          </w:cols>
          <w:pgMar w:left="320" w:top="1062" w:right="339" w:bottom="1440" w:gutter="0" w:footer="0" w:header="0"/>
        </w:sectPr>
      </w:pPr>
    </w:p>
    <w:bookmarkStart w:id="11" w:name="page12"/>
    <w:bookmarkEnd w:id="11"/>
    <w:p>
      <w:pPr>
        <w:jc w:val="both"/>
        <w:ind w:firstLine="8"/>
        <w:spacing w:after="0" w:line="261" w:lineRule="auto"/>
        <w:tabs>
          <w:tab w:leader="none" w:pos="32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number of Shares deemed subject to the award of Performance Shares. Each Performance Share will have an initial value equal to the Fair Market Value of a Share on the date of grant. Prior to settlement the Committee will determine the extent to which Performance Awards have been earned. Performance Periods may overlap and Participants may participate simultaneously with respect to Performance Awards that are subject to different Performance Periods and different performance goals and other criteria.</w:t>
      </w:r>
    </w:p>
    <w:p>
      <w:pPr>
        <w:spacing w:after="0" w:line="176"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010000"/>
        </w:rPr>
        <w:t xml:space="preserve">10.3. </w:t>
      </w:r>
      <w:r>
        <w:rPr>
          <w:rFonts w:ascii="Times New Roman" w:cs="Times New Roman" w:eastAsia="Times New Roman" w:hAnsi="Times New Roman"/>
          <w:sz w:val="18"/>
          <w:szCs w:val="18"/>
          <w:u w:val="single" w:color="auto"/>
          <w:color w:val="000000"/>
        </w:rPr>
        <w:t>Termination of Service</w:t>
      </w:r>
      <w:r>
        <w:rPr>
          <w:rFonts w:ascii="Times New Roman" w:cs="Times New Roman" w:eastAsia="Times New Roman" w:hAnsi="Times New Roman"/>
          <w:sz w:val="18"/>
          <w:szCs w:val="18"/>
          <w:color w:val="000000"/>
        </w:rPr>
        <w:t>. Except as may be set forth in the Participant’s Award Agreement, vesting ceases on the date Participant’s Service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terminates (unless determined otherwise by the Committee).</w:t>
      </w:r>
    </w:p>
    <w:p>
      <w:pPr>
        <w:spacing w:after="0" w:line="155" w:lineRule="exact"/>
        <w:rPr>
          <w:sz w:val="20"/>
          <w:szCs w:val="20"/>
          <w:color w:val="auto"/>
        </w:rPr>
      </w:pPr>
    </w:p>
    <w:p>
      <w:pPr>
        <w:jc w:val="both"/>
        <w:ind w:firstLine="8"/>
        <w:spacing w:after="0" w:line="268" w:lineRule="auto"/>
        <w:tabs>
          <w:tab w:leader="none" w:pos="422"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PAYMENT FOR SHARE PURCHASES</w:t>
      </w:r>
      <w:r>
        <w:rPr>
          <w:rFonts w:ascii="Times New Roman" w:cs="Times New Roman" w:eastAsia="Times New Roman" w:hAnsi="Times New Roman"/>
          <w:sz w:val="18"/>
          <w:szCs w:val="18"/>
          <w:color w:val="auto"/>
        </w:rPr>
        <w:t>. Payment from a Participant for Shares purchased pursuant to this Plan may be made in cash or by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equivalents or, where expressly approved for the Participant by the Committee and where permitted by law (and to the extent not otherwise set forth in the applicable Award Agreement):</w:t>
      </w:r>
    </w:p>
    <w:p>
      <w:pPr>
        <w:spacing w:after="0" w:line="174" w:lineRule="exact"/>
        <w:rPr>
          <w:rFonts w:ascii="Times New Roman" w:cs="Times New Roman" w:eastAsia="Times New Roman" w:hAnsi="Times New Roman"/>
          <w:sz w:val="18"/>
          <w:szCs w:val="18"/>
          <w:b w:val="1"/>
          <w:bCs w:val="1"/>
          <w:color w:val="auto"/>
        </w:rPr>
      </w:pPr>
    </w:p>
    <w:p>
      <w:pPr>
        <w:ind w:left="1680" w:hanging="376"/>
        <w:spacing w:after="0"/>
        <w:tabs>
          <w:tab w:leader="none" w:pos="1680" w:val="left"/>
        </w:tabs>
        <w:numPr>
          <w:ilvl w:val="1"/>
          <w:numId w:val="2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by cancellation of indebtedness of the Company owed to the Participant;</w:t>
      </w:r>
    </w:p>
    <w:p>
      <w:pPr>
        <w:spacing w:after="0" w:line="225" w:lineRule="exact"/>
        <w:rPr>
          <w:rFonts w:ascii="Times New Roman" w:cs="Times New Roman" w:eastAsia="Times New Roman" w:hAnsi="Times New Roman"/>
          <w:sz w:val="18"/>
          <w:szCs w:val="18"/>
          <w:color w:val="010000"/>
        </w:rPr>
      </w:pPr>
    </w:p>
    <w:p>
      <w:pPr>
        <w:ind w:firstLine="1304"/>
        <w:spacing w:after="0" w:line="282" w:lineRule="auto"/>
        <w:tabs>
          <w:tab w:leader="none" w:pos="1713" w:val="left"/>
        </w:tabs>
        <w:numPr>
          <w:ilvl w:val="1"/>
          <w:numId w:val="2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by surrender of shares of the Company held by the Participant that have a Fair Market Value on the date of surrender equal to the aggregate Exercise Price of the Shares as to which said Award will be exercised or settled;</w:t>
      </w:r>
    </w:p>
    <w:p>
      <w:pPr>
        <w:spacing w:after="0" w:line="161" w:lineRule="exact"/>
        <w:rPr>
          <w:rFonts w:ascii="Times New Roman" w:cs="Times New Roman" w:eastAsia="Times New Roman" w:hAnsi="Times New Roman"/>
          <w:sz w:val="18"/>
          <w:szCs w:val="18"/>
          <w:color w:val="010000"/>
        </w:rPr>
      </w:pPr>
    </w:p>
    <w:p>
      <w:pPr>
        <w:ind w:left="1720" w:hanging="416"/>
        <w:spacing w:after="0"/>
        <w:tabs>
          <w:tab w:leader="none" w:pos="1720" w:val="left"/>
        </w:tabs>
        <w:numPr>
          <w:ilvl w:val="1"/>
          <w:numId w:val="2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by waiver of compensation due or accrued to the Participant for services rendered or to be rendered to the Company or a Parent,</w:t>
      </w:r>
    </w:p>
    <w:p>
      <w:pPr>
        <w:spacing w:after="0" w:line="27" w:lineRule="exact"/>
        <w:rPr>
          <w:rFonts w:ascii="Times New Roman" w:cs="Times New Roman" w:eastAsia="Times New Roman" w:hAnsi="Times New Roman"/>
          <w:sz w:val="18"/>
          <w:szCs w:val="18"/>
          <w:color w:val="010000"/>
        </w:rPr>
      </w:pPr>
    </w:p>
    <w:p>
      <w:pPr>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Subsidiary or Affiliate;</w:t>
      </w:r>
    </w:p>
    <w:p>
      <w:pPr>
        <w:spacing w:after="0" w:line="206" w:lineRule="exact"/>
        <w:rPr>
          <w:rFonts w:ascii="Times New Roman" w:cs="Times New Roman" w:eastAsia="Times New Roman" w:hAnsi="Times New Roman"/>
          <w:sz w:val="18"/>
          <w:szCs w:val="18"/>
          <w:color w:val="010000"/>
        </w:rPr>
      </w:pPr>
    </w:p>
    <w:p>
      <w:pPr>
        <w:ind w:right="20" w:firstLine="1304"/>
        <w:spacing w:after="0" w:line="282" w:lineRule="auto"/>
        <w:tabs>
          <w:tab w:leader="none" w:pos="1686" w:val="left"/>
        </w:tabs>
        <w:numPr>
          <w:ilvl w:val="1"/>
          <w:numId w:val="2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by consideration received by the Company pursuant to a broker-assisted or other form of cashless exercise program implemented by the Company in connection with this Plan;</w:t>
      </w:r>
    </w:p>
    <w:p>
      <w:pPr>
        <w:spacing w:after="0" w:line="161" w:lineRule="exact"/>
        <w:rPr>
          <w:rFonts w:ascii="Times New Roman" w:cs="Times New Roman" w:eastAsia="Times New Roman" w:hAnsi="Times New Roman"/>
          <w:sz w:val="18"/>
          <w:szCs w:val="18"/>
          <w:color w:val="010000"/>
        </w:rPr>
      </w:pPr>
    </w:p>
    <w:p>
      <w:pPr>
        <w:ind w:left="1680" w:hanging="376"/>
        <w:spacing w:after="0"/>
        <w:tabs>
          <w:tab w:leader="none" w:pos="1680" w:val="left"/>
        </w:tabs>
        <w:numPr>
          <w:ilvl w:val="1"/>
          <w:numId w:val="2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by any combination of the foregoing; or</w:t>
      </w:r>
    </w:p>
    <w:p>
      <w:pPr>
        <w:spacing w:after="0" w:line="225" w:lineRule="exact"/>
        <w:rPr>
          <w:rFonts w:ascii="Times New Roman" w:cs="Times New Roman" w:eastAsia="Times New Roman" w:hAnsi="Times New Roman"/>
          <w:sz w:val="18"/>
          <w:szCs w:val="18"/>
          <w:color w:val="010000"/>
        </w:rPr>
      </w:pPr>
    </w:p>
    <w:p>
      <w:pPr>
        <w:ind w:left="1660" w:hanging="356"/>
        <w:spacing w:after="0"/>
        <w:tabs>
          <w:tab w:leader="none" w:pos="1660" w:val="left"/>
        </w:tabs>
        <w:numPr>
          <w:ilvl w:val="1"/>
          <w:numId w:val="2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by any other method of payment as is permitted by applicable law.</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Committee may limit the availability of any method of payment, to the extent the Committee determines, in its discretion, such limitation is necessary or advisable to comply with applicable law or facilitate the administration of this Plan. Unless determined otherwise by the Committee, all payments under any of the methods indicated above shall be made in United States dollars.</w:t>
      </w:r>
    </w:p>
    <w:p>
      <w:pPr>
        <w:spacing w:after="0" w:line="172" w:lineRule="exact"/>
        <w:rPr>
          <w:sz w:val="20"/>
          <w:szCs w:val="20"/>
          <w:color w:val="auto"/>
        </w:rPr>
      </w:pPr>
    </w:p>
    <w:p>
      <w:pPr>
        <w:ind w:left="420" w:hanging="412"/>
        <w:spacing w:after="0"/>
        <w:tabs>
          <w:tab w:leader="none" w:pos="42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GRANTS TO NON-EMPLOYEE DIRECTORS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010000"/>
        </w:rPr>
        <w:t xml:space="preserve">12.1. </w:t>
      </w:r>
      <w:r>
        <w:rPr>
          <w:rFonts w:ascii="Times New Roman" w:cs="Times New Roman" w:eastAsia="Times New Roman" w:hAnsi="Times New Roman"/>
          <w:sz w:val="18"/>
          <w:szCs w:val="18"/>
          <w:u w:val="single" w:color="auto"/>
          <w:color w:val="000000"/>
        </w:rPr>
        <w:t>Grants and Eligibility</w:t>
      </w:r>
      <w:r>
        <w:rPr>
          <w:rFonts w:ascii="Times New Roman" w:cs="Times New Roman" w:eastAsia="Times New Roman" w:hAnsi="Times New Roman"/>
          <w:sz w:val="18"/>
          <w:szCs w:val="18"/>
          <w:color w:val="000000"/>
        </w:rPr>
        <w:t>. Awards pursuant to this</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u w:val="single" w:color="auto"/>
          <w:color w:val="000000"/>
        </w:rPr>
        <w:t>Section 12</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shall be granted only to Non-Employee Directors who are eligible to receive any</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type of Award offered under this Plan except ISOs. Awards pursuant to this </w:t>
      </w:r>
      <w:r>
        <w:rPr>
          <w:rFonts w:ascii="Times New Roman" w:cs="Times New Roman" w:eastAsia="Times New Roman" w:hAnsi="Times New Roman"/>
          <w:sz w:val="18"/>
          <w:szCs w:val="18"/>
          <w:u w:val="single" w:color="auto"/>
          <w:color w:val="000000"/>
        </w:rPr>
        <w:t>Section 12</w:t>
      </w:r>
      <w:r>
        <w:rPr>
          <w:rFonts w:ascii="Times New Roman" w:cs="Times New Roman" w:eastAsia="Times New Roman" w:hAnsi="Times New Roman"/>
          <w:sz w:val="18"/>
          <w:szCs w:val="18"/>
          <w:color w:val="000000"/>
        </w:rPr>
        <w:t xml:space="preserve"> may be automatically made pursuant to a policy adopted by the Board, or made from time to time as determined in the discretion of the Board.</w:t>
      </w:r>
    </w:p>
    <w:p>
      <w:pPr>
        <w:spacing w:after="0" w:line="17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010000"/>
        </w:rPr>
        <w:t xml:space="preserve">12.2. </w:t>
      </w:r>
      <w:r>
        <w:rPr>
          <w:rFonts w:ascii="Times New Roman" w:cs="Times New Roman" w:eastAsia="Times New Roman" w:hAnsi="Times New Roman"/>
          <w:sz w:val="18"/>
          <w:szCs w:val="18"/>
          <w:u w:val="single" w:color="auto"/>
          <w:color w:val="000000"/>
        </w:rPr>
        <w:t>Calendar Year Limitation</w:t>
      </w:r>
      <w:r>
        <w:rPr>
          <w:rFonts w:ascii="Times New Roman" w:cs="Times New Roman" w:eastAsia="Times New Roman" w:hAnsi="Times New Roman"/>
          <w:sz w:val="18"/>
          <w:szCs w:val="18"/>
          <w:color w:val="000000"/>
        </w:rPr>
        <w:t>. A Non-Employee Director may not receive Awards under this Plan that, when combined with cash</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compensation received for service as a Non-Employee Director, exceed (x) $750,000 in value (as described below) in any calendar year, for continuing Non-Employee Directors, or (y) $1,500,000 in value (as described below) in the initial calendar year, for a new Non-Employee Director. The value of Awards for purposes of complying with this maximum will be determined as follows: (a) for Options and SARs, grant date fair value will be calculated using the Black-Scholes valuation methodology or the Company’s regular valuation methodology for determining the grant date fair value of Options for reporting purposes, and (b) for all other Awards other than Options and SARs, grant date fair value will be determined by either (i) calculating the product of the Fair Market Value per Share on the date of grant and the aggregate number of Shares subject to the Award, or (ii) calculating the product using an average of the Fair Market Value over a number of trading days and the aggregate number of Shares subject to the Award as determined by the Committee. Awards granted to an individual while they were serving in the capacity as an Employee or while they were a Consultant but not a Non-Employee Director will not count for purposes of the limitations set forth in this </w:t>
      </w:r>
      <w:r>
        <w:rPr>
          <w:rFonts w:ascii="Times New Roman" w:cs="Times New Roman" w:eastAsia="Times New Roman" w:hAnsi="Times New Roman"/>
          <w:sz w:val="18"/>
          <w:szCs w:val="18"/>
          <w:u w:val="single" w:color="auto"/>
          <w:color w:val="000000"/>
        </w:rPr>
        <w:t>Section 12.2</w:t>
      </w:r>
      <w:r>
        <w:rPr>
          <w:rFonts w:ascii="Times New Roman" w:cs="Times New Roman" w:eastAsia="Times New Roman" w:hAnsi="Times New Roman"/>
          <w:sz w:val="18"/>
          <w:szCs w:val="18"/>
          <w:color w:val="000000"/>
        </w:rPr>
        <w:t>.</w:t>
      </w:r>
    </w:p>
    <w:p>
      <w:pPr>
        <w:spacing w:after="0" w:line="185"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010000"/>
        </w:rPr>
        <w:t xml:space="preserve">12.3. </w:t>
      </w:r>
      <w:r>
        <w:rPr>
          <w:rFonts w:ascii="Times New Roman" w:cs="Times New Roman" w:eastAsia="Times New Roman" w:hAnsi="Times New Roman"/>
          <w:sz w:val="18"/>
          <w:szCs w:val="18"/>
          <w:u w:val="single" w:color="auto"/>
          <w:color w:val="000000"/>
        </w:rPr>
        <w:t>Vesting, Exercisability and Settlement</w:t>
      </w:r>
      <w:r>
        <w:rPr>
          <w:rFonts w:ascii="Times New Roman" w:cs="Times New Roman" w:eastAsia="Times New Roman" w:hAnsi="Times New Roman"/>
          <w:sz w:val="18"/>
          <w:szCs w:val="18"/>
          <w:color w:val="000000"/>
        </w:rPr>
        <w:t>. Except as set forth in</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u w:val="single" w:color="auto"/>
          <w:color w:val="000000"/>
        </w:rPr>
        <w:t>Section 21</w:t>
      </w:r>
      <w:r>
        <w:rPr>
          <w:rFonts w:ascii="Times New Roman" w:cs="Times New Roman" w:eastAsia="Times New Roman" w:hAnsi="Times New Roman"/>
          <w:sz w:val="18"/>
          <w:szCs w:val="18"/>
          <w:color w:val="000000"/>
        </w:rPr>
        <w:t>, Awards will vest, become exercisable, and be settled as</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determined by the Board. The Exercise Price of Options and SARs granted to Non-Employee Directors will not be less than the Fair Market Value of the Shares at the time that such Option or SAR is granted.</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010000"/>
        </w:rPr>
        <w:t xml:space="preserve">12.4. </w:t>
      </w:r>
      <w:r>
        <w:rPr>
          <w:rFonts w:ascii="Times New Roman" w:cs="Times New Roman" w:eastAsia="Times New Roman" w:hAnsi="Times New Roman"/>
          <w:sz w:val="18"/>
          <w:szCs w:val="18"/>
          <w:u w:val="single" w:color="auto"/>
          <w:color w:val="000000"/>
        </w:rPr>
        <w:t>Election to Receive Awards in Lieu of Cash</w:t>
      </w:r>
      <w:r>
        <w:rPr>
          <w:rFonts w:ascii="Times New Roman" w:cs="Times New Roman" w:eastAsia="Times New Roman" w:hAnsi="Times New Roman"/>
          <w:sz w:val="18"/>
          <w:szCs w:val="18"/>
          <w:color w:val="000000"/>
        </w:rPr>
        <w:t>. If permitted by the Committee, a Non-Employee Director may elect to receive his or her</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annual retainer payments and/or meeting fees from the Company in the form of cash or Awards or a</w:t>
      </w:r>
    </w:p>
    <w:p>
      <w:pPr>
        <w:sectPr>
          <w:pgSz w:w="11900" w:h="16838" w:orient="portrait"/>
          <w:cols w:equalWidth="0" w:num="1">
            <w:col w:w="11240"/>
          </w:cols>
          <w:pgMar w:left="320" w:top="1066" w:right="339" w:bottom="1440" w:gutter="0" w:footer="0" w:header="0"/>
        </w:sectPr>
      </w:pPr>
    </w:p>
    <w:bookmarkStart w:id="12" w:name="page13"/>
    <w:bookmarkEnd w:id="12"/>
    <w:p>
      <w:pPr>
        <w:spacing w:after="0" w:line="282" w:lineRule="auto"/>
        <w:rPr>
          <w:sz w:val="20"/>
          <w:szCs w:val="20"/>
          <w:color w:val="auto"/>
        </w:rPr>
      </w:pPr>
      <w:r>
        <w:rPr>
          <w:rFonts w:ascii="Times New Roman" w:cs="Times New Roman" w:eastAsia="Times New Roman" w:hAnsi="Times New Roman"/>
          <w:sz w:val="18"/>
          <w:szCs w:val="18"/>
          <w:color w:val="auto"/>
        </w:rPr>
        <w:t xml:space="preserve">combination thereof, as determined by the Committee. Such Awards will be issued under this Plan. An election under this </w:t>
      </w:r>
      <w:r>
        <w:rPr>
          <w:rFonts w:ascii="Times New Roman" w:cs="Times New Roman" w:eastAsia="Times New Roman" w:hAnsi="Times New Roman"/>
          <w:sz w:val="18"/>
          <w:szCs w:val="18"/>
          <w:u w:val="single" w:color="auto"/>
          <w:color w:val="auto"/>
        </w:rPr>
        <w:t>Section 12.4</w:t>
      </w:r>
      <w:r>
        <w:rPr>
          <w:rFonts w:ascii="Times New Roman" w:cs="Times New Roman" w:eastAsia="Times New Roman" w:hAnsi="Times New Roman"/>
          <w:sz w:val="18"/>
          <w:szCs w:val="18"/>
          <w:color w:val="auto"/>
        </w:rPr>
        <w:t xml:space="preserve"> will be filed with the Company on the form prescribed by the Company.</w:t>
      </w:r>
    </w:p>
    <w:p>
      <w:pPr>
        <w:spacing w:after="0" w:line="158" w:lineRule="exact"/>
        <w:rPr>
          <w:sz w:val="20"/>
          <w:szCs w:val="20"/>
          <w:color w:val="auto"/>
        </w:rPr>
      </w:pPr>
    </w:p>
    <w:p>
      <w:pPr>
        <w:ind w:left="420" w:hanging="412"/>
        <w:spacing w:after="0"/>
        <w:tabs>
          <w:tab w:leader="none" w:pos="42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WITHHOLDING 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010000"/>
        </w:rPr>
        <w:t xml:space="preserve">13.1. </w:t>
      </w:r>
      <w:r>
        <w:rPr>
          <w:rFonts w:ascii="Times New Roman" w:cs="Times New Roman" w:eastAsia="Times New Roman" w:hAnsi="Times New Roman"/>
          <w:sz w:val="18"/>
          <w:szCs w:val="18"/>
          <w:u w:val="single" w:color="auto"/>
          <w:color w:val="000000"/>
        </w:rPr>
        <w:t>Withholding Generally</w:t>
      </w:r>
      <w:r>
        <w:rPr>
          <w:rFonts w:ascii="Times New Roman" w:cs="Times New Roman" w:eastAsia="Times New Roman" w:hAnsi="Times New Roman"/>
          <w:sz w:val="18"/>
          <w:szCs w:val="18"/>
          <w:color w:val="000000"/>
        </w:rPr>
        <w:t>. Whenever Shares are to be issued in satisfaction of Awards granted under this Plan or a tax event occurs, the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Company may require the Participant to remit to the Company, or to the Parent, Subsidiary, or Affiliate, as applicable, employing the Participant an amount sufficient to satisfy applicable U.S. federal, state, local, and international income tax, social insurance, payroll tax, fringe benefits tax, payment on account or other tax-related items (the “</w:t>
      </w:r>
      <w:r>
        <w:rPr>
          <w:rFonts w:ascii="Times New Roman" w:cs="Times New Roman" w:eastAsia="Times New Roman" w:hAnsi="Times New Roman"/>
          <w:sz w:val="18"/>
          <w:szCs w:val="18"/>
          <w:b w:val="1"/>
          <w:bCs w:val="1"/>
          <w:i w:val="1"/>
          <w:iCs w:val="1"/>
          <w:color w:val="000000"/>
        </w:rPr>
        <w:t>Tax-Related Items</w:t>
      </w:r>
      <w:r>
        <w:rPr>
          <w:rFonts w:ascii="Times New Roman" w:cs="Times New Roman" w:eastAsia="Times New Roman" w:hAnsi="Times New Roman"/>
          <w:sz w:val="18"/>
          <w:szCs w:val="18"/>
          <w:color w:val="000000"/>
        </w:rPr>
        <w:t>”) legally due from the Participant prior to the delivery of Shares pursuant to exercise or settlement of any Award. Whenever payments in satisfaction of Awards granted under this Plan are to be made in cash, such payment will be net of an amount sufficient to satisfy applicable withholding obligations for Tax-Related Items. Unless otherwise determined by the Committee, the Fair Market Value of the Shares will be determined as of the date that the taxes are required to be withheld and such Shares shall be valued based on the value of the actual trade or, if there is none, the Fair Market Value of the Shares as of the previous trading day.</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010000"/>
        </w:rPr>
        <w:t xml:space="preserve">13.2. </w:t>
      </w:r>
      <w:r>
        <w:rPr>
          <w:rFonts w:ascii="Times New Roman" w:cs="Times New Roman" w:eastAsia="Times New Roman" w:hAnsi="Times New Roman"/>
          <w:sz w:val="18"/>
          <w:szCs w:val="18"/>
          <w:u w:val="single" w:color="auto"/>
          <w:color w:val="000000"/>
        </w:rPr>
        <w:t>Stock Withholding</w:t>
      </w:r>
      <w:r>
        <w:rPr>
          <w:rFonts w:ascii="Times New Roman" w:cs="Times New Roman" w:eastAsia="Times New Roman" w:hAnsi="Times New Roman"/>
          <w:sz w:val="18"/>
          <w:szCs w:val="18"/>
          <w:color w:val="000000"/>
        </w:rPr>
        <w:t>. The Committee, or its delegate(s), as permitted by applicable law, in its sole discretion and pursuant to such procedures</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as it may specify from time to time and subject to limitations of local law, may require or permit a Participant to satisfy such Tax Related Items legally due from the Participant, in whole or in part by (without limitation) (a) paying cash, (b) having the Company withhold otherwise deliverable cash or Shares having a Fair Market Value equal to the Tax-Related Items to be withheld, (c) delivering to the Company already-owned shares having a Fair Market Value equal to the Tax-Related Items to be withheld, or (d) withholding from the proceeds of the sale of otherwise deliverable Shares acquired pursuant to an Award either through a voluntary sale or through a mandatory sale arranged by the Company. The Company may withhold or account for these Tax-Related Items by considering applicable statutory withholding rates or other applicable withholding rates, including up to the maximum permissible statutory tax rate for the applicable tax jurisdiction, to the extent consistent with applicable laws.</w:t>
      </w:r>
    </w:p>
    <w:p>
      <w:pPr>
        <w:spacing w:after="0" w:line="185" w:lineRule="exact"/>
        <w:rPr>
          <w:sz w:val="20"/>
          <w:szCs w:val="20"/>
          <w:color w:val="auto"/>
        </w:rPr>
      </w:pPr>
    </w:p>
    <w:p>
      <w:pPr>
        <w:jc w:val="both"/>
        <w:ind w:firstLine="8"/>
        <w:spacing w:after="0" w:line="255" w:lineRule="auto"/>
        <w:tabs>
          <w:tab w:leader="none" w:pos="418"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TRANSFERABILITY</w:t>
      </w:r>
      <w:r>
        <w:rPr>
          <w:rFonts w:ascii="Times New Roman" w:cs="Times New Roman" w:eastAsia="Times New Roman" w:hAnsi="Times New Roman"/>
          <w:sz w:val="18"/>
          <w:szCs w:val="18"/>
          <w:color w:val="auto"/>
        </w:rPr>
        <w:t>. Unless determined otherwise by the Committee, an Award may not be sold, pledged, assigned, hypothecated, transferred,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disposed of in any manner other than by will or by the laws of descent or distribution. If the Committee makes an Award transferable, including, without limitation, by instrument to an inter vivos or testamentary trust in which the Awards are to be passed to beneficiaries upon the death of the trustor (settlor) or by gift or by domestic relations order to a Permitted Transferee, such Award will contain such additional terms and conditions as the Committee deems appropriate. All Awards will be exercisable: (a) during the Participant’s lifetime only by the Participant or the Participant’s guardian or legal representative;</w:t>
      </w:r>
    </w:p>
    <w:p>
      <w:pPr>
        <w:spacing w:after="0" w:line="2" w:lineRule="exact"/>
        <w:rPr>
          <w:rFonts w:ascii="Times New Roman" w:cs="Times New Roman" w:eastAsia="Times New Roman" w:hAnsi="Times New Roman"/>
          <w:sz w:val="18"/>
          <w:szCs w:val="18"/>
          <w:b w:val="1"/>
          <w:bCs w:val="1"/>
          <w:color w:val="auto"/>
        </w:rPr>
      </w:pPr>
    </w:p>
    <w:p>
      <w:pPr>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 after the Participant’s death, by the legal representative of the Participant’s heirs or legatees; and (c) in the case of all awards except ISOs, by a Permitted Transferee.</w:t>
      </w:r>
    </w:p>
    <w:p>
      <w:pPr>
        <w:spacing w:after="0" w:line="177" w:lineRule="exact"/>
        <w:rPr>
          <w:rFonts w:ascii="Times New Roman" w:cs="Times New Roman" w:eastAsia="Times New Roman" w:hAnsi="Times New Roman"/>
          <w:sz w:val="18"/>
          <w:szCs w:val="18"/>
          <w:b w:val="1"/>
          <w:bCs w:val="1"/>
          <w:color w:val="auto"/>
        </w:rPr>
      </w:pPr>
    </w:p>
    <w:p>
      <w:pPr>
        <w:ind w:left="420" w:hanging="412"/>
        <w:spacing w:after="0"/>
        <w:tabs>
          <w:tab w:leader="none" w:pos="42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PRIVILEGES OF STOCK OWNERSHIP; RESTRICTIONS ON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010000"/>
        </w:rPr>
        <w:t xml:space="preserve">15.1. </w:t>
      </w:r>
      <w:r>
        <w:rPr>
          <w:rFonts w:ascii="Times New Roman" w:cs="Times New Roman" w:eastAsia="Times New Roman" w:hAnsi="Times New Roman"/>
          <w:sz w:val="18"/>
          <w:szCs w:val="18"/>
          <w:u w:val="single" w:color="auto"/>
          <w:color w:val="000000"/>
        </w:rPr>
        <w:t>Voting and Dividends</w:t>
      </w:r>
      <w:r>
        <w:rPr>
          <w:rFonts w:ascii="Times New Roman" w:cs="Times New Roman" w:eastAsia="Times New Roman" w:hAnsi="Times New Roman"/>
          <w:sz w:val="18"/>
          <w:szCs w:val="18"/>
          <w:color w:val="000000"/>
        </w:rPr>
        <w:t>. No Participant will have any of the rights of a stockholder with respect to any Shares until the Shares are issued to</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the Participant, except for any Dividend Equivalent Rights permitted by an applicable Award Agreement. Any Dividend Equivalent Rights will be subject to the same vesting or performance conditions as the underlying Award. In addition, the Committee may provide that any Dividend Equivalent Rights permitted by an applicable Award Agreement will be deemed to have been reinvested in additional Shares or otherwise reinvested. After Shares are issued to the Participant, the Participant will be a stockholder and have all the rights of a stockholder with respect to such Shares, including the right to vote and receive all dividends or other distributions made or paid with respect to such Shares;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if such Shares are Restricted Stock, then any new, additional or different securities, or cash dividends, the Participant may become entitled to receive with respect to such Shares by virtue of a stock dividend, cash dividend, stock split or any other change in the corporate or capital structure of the Company will be subject to the same restrictions as the Restricted Stock;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further</w:t>
      </w:r>
      <w:r>
        <w:rPr>
          <w:rFonts w:ascii="Times New Roman" w:cs="Times New Roman" w:eastAsia="Times New Roman" w:hAnsi="Times New Roman"/>
          <w:sz w:val="18"/>
          <w:szCs w:val="18"/>
          <w:color w:val="000000"/>
        </w:rPr>
        <w:t xml:space="preserve">, that the Participant will have no right to such stock dividends, cash dividends or stock distributions with respect to Unvested Shares, and any such dividends or stock distributions will be accrued and paid only at such time, if any, as such Unvested Shares become vested Shares. The Committee, in its discretion, may provide in the Award Agreement evidencing any Award that the Participant will be entitled to Dividend Equivalent Rights with respect to the payment of cash dividends on Shares underlying an Award during the period beginning on the date the Award is granted and ending, with respect to each Share subject to the Award, on the earlier of the date on which the Award is exercised or settled or the date on which it is forfeited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that no Dividend Equivalent Right will be paid with respect to the Unvested Shares, and such dividends or stock distributions will be accrued and paid only at such time, if any, as such Unvested Shares become vested Shares. Such Dividend Equivalent Rights, if any, will be credited to the Participant in the form of additional whole Shares as of the date of payment of such cash dividends on Shares.</w:t>
      </w:r>
    </w:p>
    <w:p>
      <w:pPr>
        <w:sectPr>
          <w:pgSz w:w="11900" w:h="16838" w:orient="portrait"/>
          <w:cols w:equalWidth="0" w:num="1">
            <w:col w:w="11240"/>
          </w:cols>
          <w:pgMar w:left="320" w:top="1066" w:right="339" w:bottom="1440" w:gutter="0" w:footer="0" w:header="0"/>
        </w:sectPr>
      </w:pPr>
    </w:p>
    <w:bookmarkStart w:id="13" w:name="page14"/>
    <w:bookmarkEnd w:id="13"/>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010000"/>
        </w:rPr>
        <w:t xml:space="preserve">15.2. </w:t>
      </w:r>
      <w:r>
        <w:rPr>
          <w:rFonts w:ascii="Times New Roman" w:cs="Times New Roman" w:eastAsia="Times New Roman" w:hAnsi="Times New Roman"/>
          <w:sz w:val="18"/>
          <w:szCs w:val="18"/>
          <w:u w:val="single" w:color="auto"/>
          <w:color w:val="000000"/>
        </w:rPr>
        <w:t>Restrictions on Shares</w:t>
      </w:r>
      <w:r>
        <w:rPr>
          <w:rFonts w:ascii="Times New Roman" w:cs="Times New Roman" w:eastAsia="Times New Roman" w:hAnsi="Times New Roman"/>
          <w:sz w:val="18"/>
          <w:szCs w:val="18"/>
          <w:color w:val="000000"/>
        </w:rPr>
        <w:t>. At the discretion of the Committee, the Company may reserve to itself and/or its assignee(s) a right to repurchase (a</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Right of Repurchase</w:t>
      </w:r>
      <w:r>
        <w:rPr>
          <w:rFonts w:ascii="Times New Roman" w:cs="Times New Roman" w:eastAsia="Times New Roman" w:hAnsi="Times New Roman"/>
          <w:sz w:val="18"/>
          <w:szCs w:val="18"/>
          <w:color w:val="000000"/>
        </w:rPr>
        <w:t>”) a portion of any or all Unvested Shares held by a Participant following such Participant’s termination of Service at any time within ninety (90) days (or such longer or shorter time determined by the Committee) after the later of the date Participant’s Service terminates and the date the Participant purchases Shares under this Plan, for cash and/or cancellation of purchase money indebtedness, at the Participant’s Purchase Price or Exercise Price, as the case may be.</w:t>
      </w:r>
    </w:p>
    <w:p>
      <w:pPr>
        <w:spacing w:after="0" w:line="179" w:lineRule="exact"/>
        <w:rPr>
          <w:sz w:val="20"/>
          <w:szCs w:val="20"/>
          <w:color w:val="auto"/>
        </w:rPr>
      </w:pPr>
    </w:p>
    <w:p>
      <w:pPr>
        <w:jc w:val="both"/>
        <w:ind w:firstLine="8"/>
        <w:spacing w:after="0" w:line="262" w:lineRule="auto"/>
        <w:tabs>
          <w:tab w:leader="none" w:pos="445"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CERTIFICATES</w:t>
      </w:r>
      <w:r>
        <w:rPr>
          <w:rFonts w:ascii="Times New Roman" w:cs="Times New Roman" w:eastAsia="Times New Roman" w:hAnsi="Times New Roman"/>
          <w:sz w:val="18"/>
          <w:szCs w:val="18"/>
          <w:color w:val="auto"/>
        </w:rPr>
        <w:t>. All Shares or other securities whether or not certificated, delivered under this Plan will be subject to such stock transfer orders,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legends, and other restrictions as the Committee may deem necessary or advisable, including restrictions under any applicable U.S. federal, state, or foreign securities law, or any rules, regulations, and other requirements of the SEC or any stock exchange or automated quotation system upon which the Shares may be listed or quoted, and any non-U.S. exchange controls or securities law restrictions to which the Shares are subject.</w:t>
      </w:r>
    </w:p>
    <w:p>
      <w:pPr>
        <w:spacing w:after="0" w:line="176" w:lineRule="exact"/>
        <w:rPr>
          <w:rFonts w:ascii="Times New Roman" w:cs="Times New Roman" w:eastAsia="Times New Roman" w:hAnsi="Times New Roman"/>
          <w:sz w:val="18"/>
          <w:szCs w:val="18"/>
          <w:b w:val="1"/>
          <w:bCs w:val="1"/>
          <w:color w:val="auto"/>
        </w:rPr>
      </w:pPr>
    </w:p>
    <w:p>
      <w:pPr>
        <w:jc w:val="both"/>
        <w:ind w:firstLine="8"/>
        <w:spacing w:after="0" w:line="254" w:lineRule="auto"/>
        <w:tabs>
          <w:tab w:leader="none" w:pos="432"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ESCROW; PLEDGE OF SHARES</w:t>
      </w:r>
      <w:r>
        <w:rPr>
          <w:rFonts w:ascii="Times New Roman" w:cs="Times New Roman" w:eastAsia="Times New Roman" w:hAnsi="Times New Roman"/>
          <w:sz w:val="18"/>
          <w:szCs w:val="18"/>
          <w:color w:val="auto"/>
        </w:rPr>
        <w:t>. To enforce any restrictions on a Participant’s Shares, the Committee may require the Participant to deposit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certificates representing Shares, together with stock powers or other instruments of transfer approved by the Committee, appropriately endorsed in blank, with the Company or an agent designated by the Company to hold in escrow until such restrictions have lapsed or terminated, and the Committee may cause a legend or legends referencing such restrictions to be placed on the certificates. Any Participant who is permitted to execute a promissory note as partial or full consideration for the purchase of Shares under this Plan will be required to pledge and deposit with the Company all or part of the Shares so purchased as collateral to secure the payment of the Participant’s obligation to the Company under the promissory note, provided, however, that the Committee may require or accept other or additional forms of collateral to secure the payment of such obligation and, in any event, the Company will have full recourse against the Participant under the promissory note notwithstanding any pledge of the Participant’s Shares or other collateral. In connection with any pledge of the Shares, the Participant will be required to execute and deliver a written pledge agreement in such form as the Committee will from time to time approve. The Shares purchased with the promissory note may be released from the pledge on a pro rata basis as the promissory note is paid.</w:t>
      </w:r>
    </w:p>
    <w:p>
      <w:pPr>
        <w:spacing w:after="0" w:line="185" w:lineRule="exact"/>
        <w:rPr>
          <w:rFonts w:ascii="Times New Roman" w:cs="Times New Roman" w:eastAsia="Times New Roman" w:hAnsi="Times New Roman"/>
          <w:sz w:val="18"/>
          <w:szCs w:val="18"/>
          <w:b w:val="1"/>
          <w:bCs w:val="1"/>
          <w:color w:val="auto"/>
        </w:rPr>
      </w:pPr>
    </w:p>
    <w:p>
      <w:pPr>
        <w:ind w:firstLine="8"/>
        <w:spacing w:after="0" w:line="286" w:lineRule="auto"/>
        <w:tabs>
          <w:tab w:leader="none" w:pos="405"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REPRICING; EXCHANGE AND BUYOUT OF AWARDS</w:t>
      </w:r>
      <w:r>
        <w:rPr>
          <w:rFonts w:ascii="Times New Roman" w:cs="Times New Roman" w:eastAsia="Times New Roman" w:hAnsi="Times New Roman"/>
          <w:sz w:val="18"/>
          <w:szCs w:val="18"/>
          <w:color w:val="auto"/>
        </w:rPr>
        <w:t>. The repricing of Options or SARs, including pursuant to an Exchange Program, is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permitted without prior stockholder approval.</w:t>
      </w:r>
    </w:p>
    <w:p>
      <w:pPr>
        <w:spacing w:after="0" w:line="154" w:lineRule="exact"/>
        <w:rPr>
          <w:rFonts w:ascii="Times New Roman" w:cs="Times New Roman" w:eastAsia="Times New Roman" w:hAnsi="Times New Roman"/>
          <w:sz w:val="18"/>
          <w:szCs w:val="18"/>
          <w:b w:val="1"/>
          <w:bCs w:val="1"/>
          <w:color w:val="auto"/>
        </w:rPr>
      </w:pPr>
    </w:p>
    <w:p>
      <w:pPr>
        <w:jc w:val="both"/>
        <w:ind w:firstLine="8"/>
        <w:spacing w:after="0" w:line="254" w:lineRule="auto"/>
        <w:tabs>
          <w:tab w:leader="none" w:pos="405"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SECURITIES LAW AND OTHER REGULATORY COMPLIANCE</w:t>
      </w:r>
      <w:r>
        <w:rPr>
          <w:rFonts w:ascii="Times New Roman" w:cs="Times New Roman" w:eastAsia="Times New Roman" w:hAnsi="Times New Roman"/>
          <w:sz w:val="18"/>
          <w:szCs w:val="18"/>
          <w:color w:val="auto"/>
        </w:rPr>
        <w:t>. An Award will not be effective unless such Award is in compliance with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U.S. and foreign federal and state securities and exchange control and other laws, rules, and regulations of any governmental body, and the requirements of any stock exchange or automated quotation system upon which the Shares may then be listed or quoted, as they are in effect on the date of grant of the Award and also on the date of exercise or other issuance. Notwithstanding any other provision in this Plan, the Company will have no obligation to issue or deliver certificates for Shares under this Plan prior to: (a) obtaining any approvals from governmental agencies that the Company determines are necessary or advisable and/or (b) completion of any registration or other qualification of such Shares under any state, federal, or foreign law or ruling of any governmental body that the Company determines to be necessary or advisable. The Company will be under no obligation to register the Shares with the SEC or to effect compliance with the registration, qualification, or listing requirements of any foreign or state securities laws, exchange control laws, stock exchange, or automated quotation system, and the Company will have no liability for any inability or failure to do so.</w:t>
      </w:r>
    </w:p>
    <w:p>
      <w:pPr>
        <w:spacing w:after="0" w:line="188" w:lineRule="exact"/>
        <w:rPr>
          <w:rFonts w:ascii="Times New Roman" w:cs="Times New Roman" w:eastAsia="Times New Roman" w:hAnsi="Times New Roman"/>
          <w:sz w:val="18"/>
          <w:szCs w:val="18"/>
          <w:b w:val="1"/>
          <w:bCs w:val="1"/>
          <w:color w:val="auto"/>
        </w:rPr>
      </w:pPr>
    </w:p>
    <w:p>
      <w:pPr>
        <w:jc w:val="both"/>
        <w:ind w:firstLine="8"/>
        <w:spacing w:after="0" w:line="268" w:lineRule="auto"/>
        <w:tabs>
          <w:tab w:leader="none" w:pos="405"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OBLIGATION TO EMPLOY</w:t>
      </w:r>
      <w:r>
        <w:rPr>
          <w:rFonts w:ascii="Times New Roman" w:cs="Times New Roman" w:eastAsia="Times New Roman" w:hAnsi="Times New Roman"/>
          <w:sz w:val="18"/>
          <w:szCs w:val="18"/>
          <w:color w:val="auto"/>
        </w:rPr>
        <w:t>. Nothing in this Plan or any Award granted under this Plan will confer or be deemed to confer on any Participant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right to continue in the employ of, or to continue any other relationship with, the Company or any Parent, Subsidiary, or Affiliate or limit in any way the right of the Company or any Parent, Subsidiary, or Affiliate to terminate Participant’s employment or other relationship at any time.</w:t>
      </w:r>
    </w:p>
    <w:p>
      <w:pPr>
        <w:spacing w:after="0" w:line="170" w:lineRule="exact"/>
        <w:rPr>
          <w:rFonts w:ascii="Times New Roman" w:cs="Times New Roman" w:eastAsia="Times New Roman" w:hAnsi="Times New Roman"/>
          <w:sz w:val="18"/>
          <w:szCs w:val="18"/>
          <w:b w:val="1"/>
          <w:bCs w:val="1"/>
          <w:color w:val="auto"/>
        </w:rPr>
      </w:pPr>
    </w:p>
    <w:p>
      <w:pPr>
        <w:ind w:left="420" w:hanging="412"/>
        <w:spacing w:after="0"/>
        <w:tabs>
          <w:tab w:leader="none" w:pos="42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CORPORATE TRANSACTIONS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010000"/>
        </w:rPr>
        <w:t xml:space="preserve">21.1. </w:t>
      </w:r>
      <w:r>
        <w:rPr>
          <w:rFonts w:ascii="Times New Roman" w:cs="Times New Roman" w:eastAsia="Times New Roman" w:hAnsi="Times New Roman"/>
          <w:sz w:val="18"/>
          <w:szCs w:val="18"/>
          <w:u w:val="single" w:color="auto"/>
          <w:color w:val="000000"/>
        </w:rPr>
        <w:t>Treatment of Awards in the event of Corporate Transaction</w:t>
      </w:r>
      <w:r>
        <w:rPr>
          <w:rFonts w:ascii="Times New Roman" w:cs="Times New Roman" w:eastAsia="Times New Roman" w:hAnsi="Times New Roman"/>
          <w:sz w:val="18"/>
          <w:szCs w:val="18"/>
          <w:color w:val="000000"/>
        </w:rPr>
        <w:t>. In the event of a Corporate Transaction any or all outstanding Awards shall be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subject to the definitive agreement related thereto, and may be (a) continued, assumed or replaced by the successor corporation, which assumption or replacement shall be binding on all Participants, provided that the Exercise Price and the number and nature of shares issuable upon exercise of any Option or SAR, or any Award that is subject to Section 409A of the Code, will be adjusted appropriately pursuant to Section 424(a) of the Code and/or Section 409A of the Code, as applicable, (b) substituted by the successor corporation for equivalent awards or substantially similar consideration as was provided to stockholders (after taking into account the existing provisions of the Awards), provided that the Exercise Price and the number and nature of shares issuable upon exercise of any Option or SAR, or any Award that is subject to Section 409A of the Code, will be adjusted appropriately pursuant to Section 424(a) of the Code and/or Section 409A of the Code, as applicable, (c) replaced with substantially similar shares or other property subject to repurchase restrictions no less favorable to</w:t>
      </w:r>
    </w:p>
    <w:p>
      <w:pPr>
        <w:sectPr>
          <w:pgSz w:w="11900" w:h="16838" w:orient="portrait"/>
          <w:cols w:equalWidth="0" w:num="1">
            <w:col w:w="11240"/>
          </w:cols>
          <w:pgMar w:left="320" w:top="1062" w:right="339" w:bottom="1440" w:gutter="0" w:footer="0" w:header="0"/>
        </w:sectPr>
      </w:pPr>
    </w:p>
    <w:bookmarkStart w:id="14" w:name="page15"/>
    <w:bookmarkEnd w:id="14"/>
    <w:p>
      <w:pPr>
        <w:jc w:val="both"/>
        <w:spacing w:after="0" w:line="256" w:lineRule="auto"/>
        <w:rPr>
          <w:sz w:val="20"/>
          <w:szCs w:val="20"/>
          <w:color w:val="auto"/>
        </w:rPr>
      </w:pPr>
      <w:r>
        <w:rPr>
          <w:rFonts w:ascii="Times New Roman" w:cs="Times New Roman" w:eastAsia="Times New Roman" w:hAnsi="Times New Roman"/>
          <w:sz w:val="18"/>
          <w:szCs w:val="18"/>
          <w:color w:val="auto"/>
        </w:rPr>
        <w:t>the Participant, (d) immediately vested (and exercisable, as applicable) and settled (as applicable), followed by the cancellation of such Awards upon or immediately prior to the effectiveness of such transaction or (e) settled for their intrinsic value (whether or not vested or exercisable) in cash or cash equivalents or equity (including cash or equity subject to deferred vesting and delivery consistent with vesting restrictions applicable to such Awards or the underlying Shares) followed by the cancellation of such Awards and, for the avoidance of doubt, if as of the date of the occurrence of the Corporate Transaction, the Committee determines in good faith that no amount would have been attained upon the exercise of such Award or realization of the Participant’s rights, then such Award may be terminated by the Company without payment, in each case without the Participant’s consent.</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the event such successor or acquiring corporation (if any) refuses to continue, assume, convert, replace or substitute Awards or such Awards are not settled for their intrinsic value, as provided above, pursuant to a Corporate Transaction, then notwithstanding any other provision in this Plan to the contrary, such Awards shall have their vesting accelerate as to all Shares subject to such Award (and any applicable right of repurchase fully lapse) immediately prior to the Corporate Transaction and then such Awards will terminate. For purposes of determining the foregoing acceleration, Performance Awards shall be deemed earned and vested at the greater of (a) 100% of target level performance and (b) actual performance through the date of the Corporate Transaction.</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an Award vests in lieu of continuation, assumption, conversion, replacement or substitution in connection with a Corporate Transaction, as provided above, the Committee will notify the Participant in writing or electronically that such Award will be exercisable for a period of time determined by the Committee in its sole discretion, and such Award will terminate upon the expiration of such period without consideration.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acceleration of payment of an amount that is subject to Section 409A of the Code will be delayed, if necessary, until the earliest time that such payment would be permissible under Section 409A without triggering any additional taxes applicable under Section 409A.</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Board shall have full power and authority to assign the Company’s right to repurchase, right to re-acquire and/or forfeiture rights to such successor or acquiring corporation. Awards need not be treated similarly in a Corporate Transaction and treatment may vary from Award to Award and/or from Participant to Participant.</w:t>
      </w:r>
    </w:p>
    <w:p>
      <w:pPr>
        <w:spacing w:after="0" w:line="17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010000"/>
        </w:rPr>
        <w:t xml:space="preserve">21.2. </w:t>
      </w:r>
      <w:r>
        <w:rPr>
          <w:rFonts w:ascii="Times New Roman" w:cs="Times New Roman" w:eastAsia="Times New Roman" w:hAnsi="Times New Roman"/>
          <w:sz w:val="18"/>
          <w:szCs w:val="18"/>
          <w:u w:val="single" w:color="auto"/>
          <w:color w:val="000000"/>
        </w:rPr>
        <w:t>Assumption of Awards by the Company</w:t>
      </w:r>
      <w:r>
        <w:rPr>
          <w:rFonts w:ascii="Times New Roman" w:cs="Times New Roman" w:eastAsia="Times New Roman" w:hAnsi="Times New Roman"/>
          <w:sz w:val="18"/>
          <w:szCs w:val="18"/>
          <w:color w:val="000000"/>
        </w:rPr>
        <w:t>. The Company, from time to time, also may substitute or assume outstanding awards granted by</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another company, whether in connection with an acquisition of such other company or otherwise, by either: (a) granting an Award under this Plan in substitution of such other company’s award, or (b) assuming such award as if it had been granted under this Plan if the terms of such assumed award could be applied to an Award granted under this Plan. Such substitution or assumption will be permissible if the holder of the substituted or assumed award would have been eligible to be granted an Award under this Plan if the other company had applied the rules of this Plan to such grant. In the event the Company assumes an award granted by another company, the terms and conditions of such award will remain unchanged (</w:t>
      </w:r>
      <w:r>
        <w:rPr>
          <w:rFonts w:ascii="Times New Roman" w:cs="Times New Roman" w:eastAsia="Times New Roman" w:hAnsi="Times New Roman"/>
          <w:sz w:val="18"/>
          <w:szCs w:val="18"/>
          <w:u w:val="single" w:color="auto"/>
          <w:color w:val="000000"/>
        </w:rPr>
        <w:t>except</w:t>
      </w:r>
      <w:r>
        <w:rPr>
          <w:rFonts w:ascii="Times New Roman" w:cs="Times New Roman" w:eastAsia="Times New Roman" w:hAnsi="Times New Roman"/>
          <w:sz w:val="18"/>
          <w:szCs w:val="18"/>
          <w:color w:val="000000"/>
        </w:rPr>
        <w:t xml:space="preserve"> that the Purchase Price or the Exercise Price, as the case may be, and the number and nature of Shares issuable upon exercise or settlement of any such Award will be adjusted appropriately pursuant to Section 424(a) of the Code). In the event the Company elects to grant a new Option in substitution rather than assuming an existing option, such new Option may be granted with a similarly adjusted Exercise Price. Substitute Awards will not reduce the number of Shares authorized for grant under this Plan or authorized for grant to a Participant in a calendar year.</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010000"/>
        </w:rPr>
        <w:t xml:space="preserve">21.3. </w:t>
      </w:r>
      <w:r>
        <w:rPr>
          <w:rFonts w:ascii="Times New Roman" w:cs="Times New Roman" w:eastAsia="Times New Roman" w:hAnsi="Times New Roman"/>
          <w:sz w:val="18"/>
          <w:szCs w:val="18"/>
          <w:u w:val="single" w:color="auto"/>
          <w:color w:val="000000"/>
        </w:rPr>
        <w:t>Non-Employee Directors’ Awards</w:t>
      </w:r>
      <w:r>
        <w:rPr>
          <w:rFonts w:ascii="Times New Roman" w:cs="Times New Roman" w:eastAsia="Times New Roman" w:hAnsi="Times New Roman"/>
          <w:sz w:val="18"/>
          <w:szCs w:val="18"/>
          <w:color w:val="000000"/>
        </w:rPr>
        <w:t>. Notwithstanding any provision to the contrary herein, in the event of a Corporate Transaction, the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vesting of all Awards granted to Non-Employee Directors will accelerate and such Awards will become exercisable (as applicable) in full prior to the consummation of such event at such times and on such conditions as the Committee determines.</w:t>
      </w:r>
    </w:p>
    <w:p>
      <w:pPr>
        <w:spacing w:after="0" w:line="171" w:lineRule="exact"/>
        <w:rPr>
          <w:sz w:val="20"/>
          <w:szCs w:val="20"/>
          <w:color w:val="auto"/>
        </w:rPr>
      </w:pPr>
    </w:p>
    <w:p>
      <w:pPr>
        <w:ind w:firstLine="8"/>
        <w:spacing w:after="0" w:line="286" w:lineRule="auto"/>
        <w:tabs>
          <w:tab w:leader="none" w:pos="445"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ADOPTION AND STOCKHOLDER APPROVAL</w:t>
      </w:r>
      <w:r>
        <w:rPr>
          <w:rFonts w:ascii="Times New Roman" w:cs="Times New Roman" w:eastAsia="Times New Roman" w:hAnsi="Times New Roman"/>
          <w:sz w:val="18"/>
          <w:szCs w:val="18"/>
          <w:color w:val="auto"/>
        </w:rPr>
        <w:t>. This Plan will be submitted for the approval of the Company’s stockholders, consistent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laws, within twelve (12) months before or after the date this Plan is adopted by the Board.</w:t>
      </w:r>
    </w:p>
    <w:p>
      <w:pPr>
        <w:spacing w:after="0" w:line="154" w:lineRule="exact"/>
        <w:rPr>
          <w:rFonts w:ascii="Times New Roman" w:cs="Times New Roman" w:eastAsia="Times New Roman" w:hAnsi="Times New Roman"/>
          <w:sz w:val="18"/>
          <w:szCs w:val="18"/>
          <w:b w:val="1"/>
          <w:bCs w:val="1"/>
          <w:color w:val="auto"/>
        </w:rPr>
      </w:pPr>
    </w:p>
    <w:p>
      <w:pPr>
        <w:jc w:val="both"/>
        <w:ind w:firstLine="8"/>
        <w:spacing w:after="0" w:line="262" w:lineRule="auto"/>
        <w:tabs>
          <w:tab w:leader="none" w:pos="405"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 OF PLAN/GOVERNING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earlier terminated as provided herein, this Plan will become effective on the Effective Date and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terminate ten (10) years from the date this Plan is adopted by the Board. After this Plan is terminated or expires, no Awards may be granted but Awards previously granted shall remain outstanding in accordance with their applicable terms and conditions and this Plan’s terms and conditions. This Plan and all Awards granted hereunder will be governed by and construed in accordance with the laws of the State of Delaware (excluding its conflict of laws rules).</w:t>
      </w:r>
    </w:p>
    <w:p>
      <w:pPr>
        <w:sectPr>
          <w:pgSz w:w="11900" w:h="16838" w:orient="portrait"/>
          <w:cols w:equalWidth="0" w:num="1">
            <w:col w:w="11240"/>
          </w:cols>
          <w:pgMar w:left="320" w:top="1066" w:right="339" w:bottom="1440" w:gutter="0" w:footer="0" w:header="0"/>
        </w:sectPr>
      </w:pPr>
    </w:p>
    <w:bookmarkStart w:id="15" w:name="page16"/>
    <w:bookmarkEnd w:id="15"/>
    <w:p>
      <w:pPr>
        <w:jc w:val="both"/>
        <w:ind w:firstLine="8"/>
        <w:spacing w:after="0" w:line="256" w:lineRule="auto"/>
        <w:tabs>
          <w:tab w:leader="none" w:pos="472"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AMENDMENT OR TERMINATION OF PLAN</w:t>
      </w:r>
      <w:r>
        <w:rPr>
          <w:rFonts w:ascii="Times New Roman" w:cs="Times New Roman" w:eastAsia="Times New Roman" w:hAnsi="Times New Roman"/>
          <w:sz w:val="18"/>
          <w:szCs w:val="18"/>
          <w:color w:val="auto"/>
        </w:rPr>
        <w:t>. The Board may at any time terminate or amend this Plan in any respect, including,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limitation, amendment of any form of Award Agreement or instrument to be executed pursuant to this Plan, provided, however, that the Board will not, without the approval of the stockholders of the Company, amend this Plan in any manner that requires such stockholder approval, provided further that a Participant’s Award will be governed by the version of this Plan then in effect at the time such Award was granted. No termination or amendment of this Plan will affect any then-outstanding Award unless expressly provided by the Committee. In any event, no termination or amendment of this Plan or any outstanding Award may adversely affect any then outstanding Award without the consent of the Participant, unless such termination or amendment is necessary to comply with applicable law, regulation, or rule.</w:t>
      </w:r>
    </w:p>
    <w:p>
      <w:pPr>
        <w:spacing w:after="0" w:line="182" w:lineRule="exact"/>
        <w:rPr>
          <w:rFonts w:ascii="Times New Roman" w:cs="Times New Roman" w:eastAsia="Times New Roman" w:hAnsi="Times New Roman"/>
          <w:sz w:val="18"/>
          <w:szCs w:val="18"/>
          <w:b w:val="1"/>
          <w:bCs w:val="1"/>
          <w:color w:val="auto"/>
        </w:rPr>
      </w:pPr>
    </w:p>
    <w:p>
      <w:pPr>
        <w:jc w:val="both"/>
        <w:ind w:firstLine="8"/>
        <w:spacing w:after="0" w:line="262" w:lineRule="auto"/>
        <w:tabs>
          <w:tab w:leader="none" w:pos="486"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NONEXCLUSIVITY OF THIS PLAN</w:t>
      </w:r>
      <w:r>
        <w:rPr>
          <w:rFonts w:ascii="Times New Roman" w:cs="Times New Roman" w:eastAsia="Times New Roman" w:hAnsi="Times New Roman"/>
          <w:sz w:val="18"/>
          <w:szCs w:val="18"/>
          <w:color w:val="auto"/>
        </w:rPr>
        <w:t>. Neither the adoption of this Plan by the Board, the submission of this Plan to the stockholders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for approval, nor any provision of this Plan will be construed as creating any limitations on the power of the Board to adopt such additional compensation arrangements as it may deem desirable, including, without limitation, the granting of stock awards and bonuses otherwise than under this Plan, and such arrangements may be either generally applicable or applicable only in specific cases.</w:t>
      </w:r>
    </w:p>
    <w:p>
      <w:pPr>
        <w:spacing w:after="0" w:line="176" w:lineRule="exact"/>
        <w:rPr>
          <w:rFonts w:ascii="Times New Roman" w:cs="Times New Roman" w:eastAsia="Times New Roman" w:hAnsi="Times New Roman"/>
          <w:sz w:val="18"/>
          <w:szCs w:val="18"/>
          <w:b w:val="1"/>
          <w:bCs w:val="1"/>
          <w:color w:val="auto"/>
        </w:rPr>
      </w:pPr>
    </w:p>
    <w:p>
      <w:pPr>
        <w:jc w:val="both"/>
        <w:ind w:firstLine="8"/>
        <w:spacing w:after="0" w:line="268" w:lineRule="auto"/>
        <w:tabs>
          <w:tab w:leader="none" w:pos="432"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INSIDER TRADING POLICY</w:t>
      </w:r>
      <w:r>
        <w:rPr>
          <w:rFonts w:ascii="Times New Roman" w:cs="Times New Roman" w:eastAsia="Times New Roman" w:hAnsi="Times New Roman"/>
          <w:sz w:val="18"/>
          <w:szCs w:val="18"/>
          <w:color w:val="auto"/>
        </w:rPr>
        <w:t>. Each Participant who receives an Award will comply with any policy adopted by the Company from time to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covering transactions in the Company’s securities by Employees, officers, and/or Directors of the Company, as well as with any applicable insider trading or market abuse laws to which the Participant may be subject.</w:t>
      </w:r>
    </w:p>
    <w:p>
      <w:pPr>
        <w:spacing w:after="0" w:line="170" w:lineRule="exact"/>
        <w:rPr>
          <w:rFonts w:ascii="Times New Roman" w:cs="Times New Roman" w:eastAsia="Times New Roman" w:hAnsi="Times New Roman"/>
          <w:sz w:val="18"/>
          <w:szCs w:val="18"/>
          <w:b w:val="1"/>
          <w:bCs w:val="1"/>
          <w:color w:val="auto"/>
        </w:rPr>
      </w:pPr>
    </w:p>
    <w:p>
      <w:pPr>
        <w:jc w:val="both"/>
        <w:ind w:firstLine="8"/>
        <w:spacing w:after="0" w:line="259" w:lineRule="auto"/>
        <w:tabs>
          <w:tab w:leader="none" w:pos="418"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ALL AWARDS SUBJECT TO COMPANY CLAWBACK OR RECOUPMENT POLICY</w:t>
      </w:r>
      <w:r>
        <w:rPr>
          <w:rFonts w:ascii="Times New Roman" w:cs="Times New Roman" w:eastAsia="Times New Roman" w:hAnsi="Times New Roman"/>
          <w:sz w:val="18"/>
          <w:szCs w:val="18"/>
          <w:color w:val="auto"/>
        </w:rPr>
        <w:t>. All Awards, subject to applicable law, will be subject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clawback or recoupment pursuant to any compensation clawback or recoupment policy adopted by the Board or required by law during the term of Participant’s employment or other service with the Company that is applicable to officers, Employees, Directors or other service providers of the Company, and in addition to any other remedies available under such policy and applicable law, may require the cancellation of outstanding Awards and the recoupment of any gains realized with respect to Awards.</w:t>
      </w:r>
    </w:p>
    <w:p>
      <w:pPr>
        <w:spacing w:after="0" w:line="179" w:lineRule="exact"/>
        <w:rPr>
          <w:rFonts w:ascii="Times New Roman" w:cs="Times New Roman" w:eastAsia="Times New Roman" w:hAnsi="Times New Roman"/>
          <w:sz w:val="18"/>
          <w:szCs w:val="18"/>
          <w:b w:val="1"/>
          <w:bCs w:val="1"/>
          <w:color w:val="auto"/>
        </w:rPr>
      </w:pPr>
    </w:p>
    <w:p>
      <w:pPr>
        <w:ind w:left="420" w:hanging="412"/>
        <w:spacing w:after="0"/>
        <w:tabs>
          <w:tab w:leader="none" w:pos="42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 As used in this Plan, and except as elsewhere defined herein, the following terms will have the following meanings:</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010000"/>
        </w:rPr>
        <w:t xml:space="preserve">28.1.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Affiliate</w:t>
      </w:r>
      <w:r>
        <w:rPr>
          <w:rFonts w:ascii="Times New Roman" w:cs="Times New Roman" w:eastAsia="Times New Roman" w:hAnsi="Times New Roman"/>
          <w:sz w:val="18"/>
          <w:szCs w:val="18"/>
          <w:color w:val="000000"/>
        </w:rPr>
        <w:t>” means (a) any entity that, directly or indirectly, is controlled by, controls, or is under common control with, the Company, and</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(b) any entity in which the Company has a significant equity interest, in either case as determined by the Committee, whether now or hereafter existing.</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010000"/>
        </w:rPr>
        <w:t xml:space="preserve">28.2.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Award</w:t>
      </w:r>
      <w:r>
        <w:rPr>
          <w:rFonts w:ascii="Times New Roman" w:cs="Times New Roman" w:eastAsia="Times New Roman" w:hAnsi="Times New Roman"/>
          <w:sz w:val="18"/>
          <w:szCs w:val="18"/>
          <w:color w:val="000000"/>
        </w:rPr>
        <w:t>” means any award under this Plan, including any Option, Restricted Stock Award, Stock Bonus, Stock Appreciation Right,</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Restricted Stock Unit or Performance Award.</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010000"/>
        </w:rPr>
        <w:t xml:space="preserve">28.3.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Award Agreement</w:t>
      </w:r>
      <w:r>
        <w:rPr>
          <w:rFonts w:ascii="Times New Roman" w:cs="Times New Roman" w:eastAsia="Times New Roman" w:hAnsi="Times New Roman"/>
          <w:sz w:val="18"/>
          <w:szCs w:val="18"/>
          <w:color w:val="000000"/>
        </w:rPr>
        <w:t>” means, with respect to each Award, the written or electronic agreement between the Company and the Participant</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setting forth the terms and conditions of the Award, and country-specific appendix thereto for grants to non-U.S. Participants, which will be in substantially a form (which need not be the same for each Participant) that the Committee (or in the case of Award Agreements that are not used for Insiders, the Committee’s delegate(s)) has from time to time approved, and will comply with and be subject to the terms and conditions of this Plan.</w:t>
      </w:r>
    </w:p>
    <w:p>
      <w:pPr>
        <w:spacing w:after="0" w:line="176"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010000"/>
        </w:rPr>
        <w:t>28.4.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Board</w:t>
      </w:r>
      <w:r>
        <w:rPr>
          <w:rFonts w:ascii="Times New Roman" w:cs="Times New Roman" w:eastAsia="Times New Roman" w:hAnsi="Times New Roman"/>
          <w:sz w:val="17"/>
          <w:szCs w:val="17"/>
          <w:color w:val="auto"/>
        </w:rPr>
        <w:t>” means the Board of Directors of the Company.</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010000"/>
        </w:rPr>
        <w:t xml:space="preserve">28.5.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Cause</w:t>
      </w:r>
      <w:r>
        <w:rPr>
          <w:rFonts w:ascii="Times New Roman" w:cs="Times New Roman" w:eastAsia="Times New Roman" w:hAnsi="Times New Roman"/>
          <w:sz w:val="18"/>
          <w:szCs w:val="18"/>
          <w:color w:val="000000"/>
        </w:rPr>
        <w:t>” means a determination by the Company (and in the case of Participant who is subject to Section 16 of the Exchange Act, the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Committee) that the Participant has committed an act or acts constituting any of the following: (a) willful failure substantially to perform his or her duties and responsibilities to the Company or deliberate violation of a Company policy (including the Company’s code of conduct); (b) commission of any act of fraud, embezzlement, dishonesty or any other willful misconduct that has caused or is reasonably expected to result in material injury to the Company; (c) unauthorized use or disclosure of any proprietary information or trade secrets of the Company or any other party to whom the Participant owes an obligation of nondisclosure as a result of his or her relationship with the Company; (d) misappropriation of a business opportunity of the Company; (e) while providing service to the Company, the provision of material aid to a competitor of the Company; (f) willful breach of any of his or her obligations under any written agreement or covenant with the Company; or (g) failure to cooperate with an internal investigation or an investigation by regulatory or law enforcement authorities after being instructed by the Company to cooperate. The determination as to whether Cause for a Participant’s termination exists will be made in good faith by the Company and will be final and binding on the Participant. This definition does not in any way limit the Company’s or any Parent’s or Subsidiary’s or Affiliate’s ability to terminate a Participant’s Service at any time. Notwithstanding the foregoing, the foregoing definition of “Cause” may, in part or in whole, be modified</w:t>
      </w:r>
    </w:p>
    <w:p>
      <w:pPr>
        <w:sectPr>
          <w:pgSz w:w="11900" w:h="16838" w:orient="portrait"/>
          <w:cols w:equalWidth="0" w:num="1">
            <w:col w:w="11240"/>
          </w:cols>
          <w:pgMar w:left="320" w:top="1062" w:right="339" w:bottom="1440" w:gutter="0" w:footer="0" w:header="0"/>
        </w:sectPr>
      </w:pPr>
    </w:p>
    <w:bookmarkStart w:id="16" w:name="page17"/>
    <w:bookmarkEnd w:id="16"/>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or replaced in each individual employment agreement, Award Agreement, or other applicable agreement with any Participant provided that such document specifically supersedes this definition.</w:t>
      </w:r>
    </w:p>
    <w:p>
      <w:pPr>
        <w:spacing w:after="0" w:line="15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010000"/>
        </w:rPr>
        <w:t>28.6.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Code</w:t>
      </w:r>
      <w:r>
        <w:rPr>
          <w:rFonts w:ascii="Times New Roman" w:cs="Times New Roman" w:eastAsia="Times New Roman" w:hAnsi="Times New Roman"/>
          <w:sz w:val="17"/>
          <w:szCs w:val="17"/>
          <w:color w:val="auto"/>
        </w:rPr>
        <w:t>” means the United States Internal Revenue Code of 1986, as amended, and the regulations promulgated thereunder.</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010000"/>
        </w:rPr>
        <w:t xml:space="preserve">28.7.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Committee</w:t>
      </w:r>
      <w:r>
        <w:rPr>
          <w:rFonts w:ascii="Times New Roman" w:cs="Times New Roman" w:eastAsia="Times New Roman" w:hAnsi="Times New Roman"/>
          <w:sz w:val="18"/>
          <w:szCs w:val="18"/>
          <w:color w:val="000000"/>
        </w:rPr>
        <w:t>” means the Compensation Committee of the Board or those persons to whom administration of this Plan, or part of this Plan,</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has been delegated as permitted by law.</w:t>
      </w:r>
    </w:p>
    <w:p>
      <w:pPr>
        <w:spacing w:after="0" w:line="15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010000"/>
        </w:rPr>
        <w:t>28.8.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Common Stock</w:t>
      </w:r>
      <w:r>
        <w:rPr>
          <w:rFonts w:ascii="Times New Roman" w:cs="Times New Roman" w:eastAsia="Times New Roman" w:hAnsi="Times New Roman"/>
          <w:sz w:val="17"/>
          <w:szCs w:val="17"/>
          <w:color w:val="auto"/>
        </w:rPr>
        <w:t>” means the common stock of the Company.</w:t>
      </w:r>
    </w:p>
    <w:p>
      <w:pPr>
        <w:spacing w:after="0" w:line="22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010000"/>
        </w:rPr>
        <w:t>28.9.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means Veracyte, Inc., a Delaware corporation, or any successor corporation.</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010000"/>
        </w:rPr>
        <w:t xml:space="preserve">28.10.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Consultant</w:t>
      </w:r>
      <w:r>
        <w:rPr>
          <w:rFonts w:ascii="Times New Roman" w:cs="Times New Roman" w:eastAsia="Times New Roman" w:hAnsi="Times New Roman"/>
          <w:sz w:val="18"/>
          <w:szCs w:val="18"/>
          <w:color w:val="000000"/>
        </w:rPr>
        <w:t>” means any natural person, including an advisor or independent contractor, engaged by the Company or a Parent, Subsidiary,</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or Affiliate to render services to such entity.</w:t>
      </w:r>
    </w:p>
    <w:p>
      <w:pPr>
        <w:spacing w:after="0" w:line="15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010000"/>
        </w:rPr>
        <w:t xml:space="preserve">28.11.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Corporate Transaction</w:t>
      </w:r>
      <w:r>
        <w:rPr>
          <w:rFonts w:ascii="Times New Roman" w:cs="Times New Roman" w:eastAsia="Times New Roman" w:hAnsi="Times New Roman"/>
          <w:sz w:val="18"/>
          <w:szCs w:val="18"/>
          <w:color w:val="000000"/>
        </w:rPr>
        <w:t>” means the occurrence of any of the following events: (i) any “person” (as such term is used in Sections 13(d)</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and 14(d) of the Exchange Act) becomes the “beneficial owner” (as defined in Rule 13d-3 of the Exchange Act), directly or indirectly, of securities of the Company representing more than fifty percent (50%) of the total voting power represented by the Company’s then-outstanding voting securities; (ii) the consummation of the sale or disposition by the Company of all or substantially all of the Company’s assets; (iii) 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 or (iv) a change in the effective control of the Company that occurs on the date that a majority of members of the Board is replaced during any twelve (12) month period by members of the Board whose appointment or election is not endorsed by a majority of the members of the Board prior to the date of the appointment or election. For purposes of this definition, if any Person is considered to be in effective control of the Company, the acquisition of additional control of the Company by the same Person will not be considered a Corporate Transaction. For purposes of this definition, Persons will be considered to be acting as a group if they are owners of a corporation that enters into a merger, consolidation, purchase or acquisition of stock, or similar business transaction with the Company. Notwithstanding the foregoing, to the extent that any amount constituting deferred compensation (as defined in Section 409A of the Code) would become payable under this Plan by reason of a Corporate Transaction, such amount will become payable only if the event constituting a Corporate Transaction would also qualify as a change in ownership or effective control of the Company or a change in the ownership of a substantial portion of the assets of the Company, each as defined within the meaning of Code Section 409A, as it has been and may be amended from time to time, and any proposed or final Treasury Regulations and IRS guidance that has been promulgated or may be promulgated thereunder from time to time.</w:t>
      </w:r>
    </w:p>
    <w:p>
      <w:pPr>
        <w:spacing w:after="0" w:line="22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the foregoing, a transaction shall not constitute a Corporate Transaction if its sole purpose is to change the state of the Company’s incorporation or to create a holding company that will be owned in substantially the same proportions by the persons who held the Company’s securities immediately before such transaction, and a Corporate Transaction shall not be deemed to occur if the Company files a registration statement with the United States Securities and Exchange Commission for the initial or secondary public offering of securities or debt of the Company to the public.</w:t>
      </w:r>
    </w:p>
    <w:p>
      <w:pPr>
        <w:spacing w:after="0" w:line="176"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010000"/>
        </w:rPr>
        <w:t>28.12.</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means a member of the Board.</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010000"/>
        </w:rPr>
        <w:t xml:space="preserve">28.13.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Disability</w:t>
      </w:r>
      <w:r>
        <w:rPr>
          <w:rFonts w:ascii="Times New Roman" w:cs="Times New Roman" w:eastAsia="Times New Roman" w:hAnsi="Times New Roman"/>
          <w:sz w:val="18"/>
          <w:szCs w:val="18"/>
          <w:color w:val="000000"/>
        </w:rPr>
        <w:t>” means in the case of ISOs, total and permanent disability as defined in Section 22(e)(3) of the Code and in the case of other</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Awards, that the Participant is unable to engage in any substantial gainful activity by reason of any medically determinable physical or mental impairment that can be expected to result in death or can be expected to last for a continuous period of not less than twelve (12) months.</w:t>
      </w:r>
    </w:p>
    <w:p>
      <w:pPr>
        <w:spacing w:after="0" w:line="171"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010000"/>
        </w:rPr>
        <w:t xml:space="preserve">28.14. </w:t>
      </w:r>
      <w:r>
        <w:rPr>
          <w:rFonts w:ascii="Times New Roman" w:cs="Times New Roman" w:eastAsia="Times New Roman" w:hAnsi="Times New Roman"/>
          <w:sz w:val="18"/>
          <w:szCs w:val="18"/>
          <w:b w:val="1"/>
          <w:bCs w:val="1"/>
          <w:i w:val="1"/>
          <w:iCs w:val="1"/>
          <w:color w:val="000000"/>
        </w:rPr>
        <w:t>Dividend Equivalent Right</w:t>
      </w:r>
      <w:r>
        <w:rPr>
          <w:rFonts w:ascii="Times New Roman" w:cs="Times New Roman" w:eastAsia="Times New Roman" w:hAnsi="Times New Roman"/>
          <w:sz w:val="18"/>
          <w:szCs w:val="18"/>
          <w:color w:val="000000"/>
        </w:rPr>
        <w:t>” means the right of a Participant, granted at the discretion of the Committee or as otherwise provided by the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Plan, to receive a credit for the account of such Participant in an amount equal to the cash, stock or other property dividends in amounts equivalent to cash, stock or other property dividends for each Share represented by an Award held by such Participant.</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010000"/>
        </w:rPr>
        <w:t xml:space="preserve">28.15.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Effective Date</w:t>
      </w:r>
      <w:r>
        <w:rPr>
          <w:rFonts w:ascii="Times New Roman" w:cs="Times New Roman" w:eastAsia="Times New Roman" w:hAnsi="Times New Roman"/>
          <w:sz w:val="18"/>
          <w:szCs w:val="18"/>
          <w:color w:val="000000"/>
        </w:rPr>
        <w:t>” means the date this Plan is approved by the stockholders of the Company (which shall be within twelve (12) months of</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the approval of this Plan by the Board).</w:t>
      </w:r>
    </w:p>
    <w:p>
      <w:pPr>
        <w:sectPr>
          <w:pgSz w:w="11900" w:h="16838" w:orient="portrait"/>
          <w:cols w:equalWidth="0" w:num="1">
            <w:col w:w="11240"/>
          </w:cols>
          <w:pgMar w:left="320" w:top="1066" w:right="339" w:bottom="1440" w:gutter="0" w:footer="0" w:header="0"/>
        </w:sectPr>
      </w:pPr>
    </w:p>
    <w:bookmarkStart w:id="17" w:name="page18"/>
    <w:bookmarkEnd w:id="17"/>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010000"/>
        </w:rPr>
        <w:t xml:space="preserve">28.16.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Employee</w:t>
      </w:r>
      <w:r>
        <w:rPr>
          <w:rFonts w:ascii="Times New Roman" w:cs="Times New Roman" w:eastAsia="Times New Roman" w:hAnsi="Times New Roman"/>
          <w:sz w:val="18"/>
          <w:szCs w:val="18"/>
          <w:color w:val="000000"/>
        </w:rPr>
        <w:t>” means any person, including officers and Directors, providing services as an employee to the Company or any Parent,</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Subsidiary, or Affiliate. Neither service as a Director nor payment of a director’s fee by the Company will be sufficient to constitute “employment” by the Company.</w:t>
      </w:r>
    </w:p>
    <w:p>
      <w:pPr>
        <w:spacing w:after="0" w:line="171"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010000"/>
        </w:rPr>
        <w:t>28.17.</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United States Securities Exchange Act of 1934, as amended.</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010000"/>
        </w:rPr>
        <w:t xml:space="preserve">28.18.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Exchange Program</w:t>
      </w:r>
      <w:r>
        <w:rPr>
          <w:rFonts w:ascii="Times New Roman" w:cs="Times New Roman" w:eastAsia="Times New Roman" w:hAnsi="Times New Roman"/>
          <w:sz w:val="18"/>
          <w:szCs w:val="18"/>
          <w:color w:val="000000"/>
        </w:rPr>
        <w:t>” means a program approved by the Company’s stockholders pursuant to which (i) outstanding Awards are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surrendered, cancelled, or exchanged for cash, the same type of Award, or a different Award (or combination thereof) or (ii) the exercise price of an outstanding Award is reduced.</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010000"/>
        </w:rPr>
        <w:t xml:space="preserve">28.19.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Exercise Price</w:t>
      </w:r>
      <w:r>
        <w:rPr>
          <w:rFonts w:ascii="Times New Roman" w:cs="Times New Roman" w:eastAsia="Times New Roman" w:hAnsi="Times New Roman"/>
          <w:sz w:val="18"/>
          <w:szCs w:val="18"/>
          <w:color w:val="000000"/>
        </w:rPr>
        <w:t>” means, with respect to an Option, the price at which a holder may purchase the Shares issuable upon exercise of an</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Option and with respect to a SAR, the price at which the SAR is granted to the holder thereof.</w:t>
      </w:r>
    </w:p>
    <w:p>
      <w:pPr>
        <w:spacing w:after="0" w:line="155"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010000"/>
        </w:rPr>
        <w:t>28.20.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Fair Market Value</w:t>
      </w:r>
      <w:r>
        <w:rPr>
          <w:rFonts w:ascii="Times New Roman" w:cs="Times New Roman" w:eastAsia="Times New Roman" w:hAnsi="Times New Roman"/>
          <w:sz w:val="17"/>
          <w:szCs w:val="17"/>
          <w:color w:val="auto"/>
        </w:rPr>
        <w:t>” means, as of any date, the value of a Share, determined as follows:</w:t>
      </w:r>
    </w:p>
    <w:p>
      <w:pPr>
        <w:spacing w:after="0" w:line="229" w:lineRule="exact"/>
        <w:rPr>
          <w:sz w:val="20"/>
          <w:szCs w:val="20"/>
          <w:color w:val="auto"/>
        </w:rPr>
      </w:pPr>
    </w:p>
    <w:p>
      <w:pPr>
        <w:jc w:val="both"/>
        <w:ind w:firstLine="1304"/>
        <w:spacing w:after="0" w:line="261" w:lineRule="auto"/>
        <w:tabs>
          <w:tab w:leader="none" w:pos="1729" w:val="left"/>
        </w:tabs>
        <w:numPr>
          <w:ilvl w:val="0"/>
          <w:numId w:val="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such Common Stock was traded over-the-counter on the date in question, then the Fair Market Value shall be equal to the last transaction price quoted for such date by the OTC Bulletin Board or, if not so quoted, shall be equal to the mean between the last reported representative bid and asked prices quoted for such date by the principal automated inter-dealer quotation system on which the Common Stock is quoted or, if the Common Stock is not quoted on any such system, by the OTC Link Quote system;</w:t>
      </w:r>
    </w:p>
    <w:p>
      <w:pPr>
        <w:spacing w:after="0" w:line="179" w:lineRule="exact"/>
        <w:rPr>
          <w:rFonts w:ascii="Times New Roman" w:cs="Times New Roman" w:eastAsia="Times New Roman" w:hAnsi="Times New Roman"/>
          <w:sz w:val="18"/>
          <w:szCs w:val="18"/>
          <w:color w:val="010000"/>
        </w:rPr>
      </w:pPr>
    </w:p>
    <w:p>
      <w:pPr>
        <w:jc w:val="both"/>
        <w:ind w:firstLine="1304"/>
        <w:spacing w:after="0" w:line="266" w:lineRule="auto"/>
        <w:tabs>
          <w:tab w:leader="none" w:pos="1780" w:val="left"/>
        </w:tabs>
        <w:numPr>
          <w:ilvl w:val="0"/>
          <w:numId w:val="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if such Common Stock is publicly traded and is then listed on a national securities exchange, its closing price on the date of determination on the principal national securities exchange on which the Common Stock is listed or admitted to trading as reported in </w:t>
      </w:r>
      <w:r>
        <w:rPr>
          <w:rFonts w:ascii="Times New Roman" w:cs="Times New Roman" w:eastAsia="Times New Roman" w:hAnsi="Times New Roman"/>
          <w:sz w:val="18"/>
          <w:szCs w:val="18"/>
          <w:i w:val="1"/>
          <w:iCs w:val="1"/>
          <w:color w:val="auto"/>
        </w:rPr>
        <w:t>The Wall Street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Journal </w:t>
      </w:r>
      <w:r>
        <w:rPr>
          <w:rFonts w:ascii="Times New Roman" w:cs="Times New Roman" w:eastAsia="Times New Roman" w:hAnsi="Times New Roman"/>
          <w:sz w:val="18"/>
          <w:szCs w:val="18"/>
          <w:color w:val="auto"/>
        </w:rPr>
        <w:t>or such other source as the Committee determines;</w:t>
      </w:r>
    </w:p>
    <w:p>
      <w:pPr>
        <w:spacing w:after="0" w:line="175" w:lineRule="exact"/>
        <w:rPr>
          <w:rFonts w:ascii="Times New Roman" w:cs="Times New Roman" w:eastAsia="Times New Roman" w:hAnsi="Times New Roman"/>
          <w:sz w:val="18"/>
          <w:szCs w:val="18"/>
          <w:color w:val="010000"/>
        </w:rPr>
      </w:pPr>
    </w:p>
    <w:p>
      <w:pPr>
        <w:jc w:val="both"/>
        <w:ind w:firstLine="1304"/>
        <w:spacing w:after="0" w:line="312" w:lineRule="auto"/>
        <w:tabs>
          <w:tab w:leader="none" w:pos="1689" w:val="left"/>
        </w:tabs>
        <w:numPr>
          <w:ilvl w:val="0"/>
          <w:numId w:val="27"/>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 xml:space="preserve">if such Common Stock is publicly traded but is neither listed nor admitted to trading on a national securities exchange, the average of the closing bid and asked prices on the date of determination as reported in </w:t>
      </w:r>
      <w:r>
        <w:rPr>
          <w:rFonts w:ascii="Times New Roman" w:cs="Times New Roman" w:eastAsia="Times New Roman" w:hAnsi="Times New Roman"/>
          <w:sz w:val="17"/>
          <w:szCs w:val="17"/>
          <w:i w:val="1"/>
          <w:iCs w:val="1"/>
          <w:color w:val="auto"/>
        </w:rPr>
        <w:t>The Wall Street Journal</w:t>
      </w:r>
      <w:r>
        <w:rPr>
          <w:rFonts w:ascii="Times New Roman" w:cs="Times New Roman" w:eastAsia="Times New Roman" w:hAnsi="Times New Roman"/>
          <w:sz w:val="17"/>
          <w:szCs w:val="17"/>
          <w:color w:val="auto"/>
        </w:rPr>
        <w:t xml:space="preserve"> or such other source as the Committee determines; or</w:t>
      </w:r>
    </w:p>
    <w:p>
      <w:pPr>
        <w:spacing w:after="0" w:line="139" w:lineRule="exact"/>
        <w:rPr>
          <w:rFonts w:ascii="Times New Roman" w:cs="Times New Roman" w:eastAsia="Times New Roman" w:hAnsi="Times New Roman"/>
          <w:sz w:val="17"/>
          <w:szCs w:val="17"/>
          <w:color w:val="010000"/>
        </w:rPr>
      </w:pPr>
    </w:p>
    <w:p>
      <w:pPr>
        <w:ind w:left="1700" w:hanging="396"/>
        <w:spacing w:after="0"/>
        <w:tabs>
          <w:tab w:leader="none" w:pos="1700" w:val="left"/>
        </w:tabs>
        <w:numPr>
          <w:ilvl w:val="0"/>
          <w:numId w:val="2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by the Board or the Committee in good faith.</w:t>
      </w:r>
    </w:p>
    <w:p>
      <w:pPr>
        <w:spacing w:after="0" w:line="22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010000"/>
        </w:rPr>
        <w:t xml:space="preserve">28.21.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Insider</w:t>
      </w:r>
      <w:r>
        <w:rPr>
          <w:rFonts w:ascii="Times New Roman" w:cs="Times New Roman" w:eastAsia="Times New Roman" w:hAnsi="Times New Roman"/>
          <w:sz w:val="18"/>
          <w:szCs w:val="18"/>
          <w:color w:val="000000"/>
        </w:rPr>
        <w:t>” means an officer or Director of the Company or any other person whose transactions in the Company’s Common Stock are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subject to Section 16 of the Exchange Act.</w:t>
      </w:r>
    </w:p>
    <w:p>
      <w:pPr>
        <w:spacing w:after="0" w:line="155"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010000"/>
        </w:rPr>
        <w:t>28.22.</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IRS</w:t>
      </w:r>
      <w:r>
        <w:rPr>
          <w:rFonts w:ascii="Times New Roman" w:cs="Times New Roman" w:eastAsia="Times New Roman" w:hAnsi="Times New Roman"/>
          <w:sz w:val="18"/>
          <w:szCs w:val="18"/>
          <w:color w:val="auto"/>
        </w:rPr>
        <w:t>” means the United States Internal Revenue Service.</w:t>
      </w:r>
    </w:p>
    <w:p>
      <w:pPr>
        <w:spacing w:after="0" w:line="225"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010000"/>
        </w:rPr>
        <w:t>28.23.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Non-Employee Director</w:t>
      </w:r>
      <w:r>
        <w:rPr>
          <w:rFonts w:ascii="Times New Roman" w:cs="Times New Roman" w:eastAsia="Times New Roman" w:hAnsi="Times New Roman"/>
          <w:sz w:val="17"/>
          <w:szCs w:val="17"/>
          <w:color w:val="auto"/>
        </w:rPr>
        <w:t>” means a Director who is not an Employee of the Company or any Parent, Subsidiary, or Affiliate.</w:t>
      </w:r>
    </w:p>
    <w:p>
      <w:pPr>
        <w:spacing w:after="0" w:line="225"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010000"/>
        </w:rPr>
        <w:t>28.24.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Option</w:t>
      </w:r>
      <w:r>
        <w:rPr>
          <w:rFonts w:ascii="Times New Roman" w:cs="Times New Roman" w:eastAsia="Times New Roman" w:hAnsi="Times New Roman"/>
          <w:sz w:val="17"/>
          <w:szCs w:val="17"/>
          <w:color w:val="auto"/>
        </w:rPr>
        <w:t xml:space="preserve">” means an Award as defined in </w:t>
      </w:r>
      <w:r>
        <w:rPr>
          <w:rFonts w:ascii="Times New Roman" w:cs="Times New Roman" w:eastAsia="Times New Roman" w:hAnsi="Times New Roman"/>
          <w:sz w:val="17"/>
          <w:szCs w:val="17"/>
          <w:u w:val="single" w:color="auto"/>
          <w:color w:val="auto"/>
        </w:rPr>
        <w:t>Section 5</w:t>
      </w:r>
      <w:r>
        <w:rPr>
          <w:rFonts w:ascii="Times New Roman" w:cs="Times New Roman" w:eastAsia="Times New Roman" w:hAnsi="Times New Roman"/>
          <w:sz w:val="17"/>
          <w:szCs w:val="17"/>
          <w:color w:val="auto"/>
        </w:rPr>
        <w:t xml:space="preserve"> and granted under this Plan.</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010000"/>
        </w:rPr>
        <w:t xml:space="preserve">28.25.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Parent</w:t>
      </w:r>
      <w:r>
        <w:rPr>
          <w:rFonts w:ascii="Times New Roman" w:cs="Times New Roman" w:eastAsia="Times New Roman" w:hAnsi="Times New Roman"/>
          <w:sz w:val="18"/>
          <w:szCs w:val="18"/>
          <w:color w:val="000000"/>
        </w:rPr>
        <w:t>” means any corporation (other than the Company) in an unbroken chain of corporations ending with the Company if each of such</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corporations other than the Company owns stock possessing fifty percent (50%) or more of the total combined voting power of all classes of stock in one of the other corporations in such chain.</w:t>
      </w:r>
    </w:p>
    <w:p>
      <w:pPr>
        <w:spacing w:after="0" w:line="171"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010000"/>
        </w:rPr>
        <w:t>28.26.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Participant</w:t>
      </w:r>
      <w:r>
        <w:rPr>
          <w:rFonts w:ascii="Times New Roman" w:cs="Times New Roman" w:eastAsia="Times New Roman" w:hAnsi="Times New Roman"/>
          <w:sz w:val="17"/>
          <w:szCs w:val="17"/>
          <w:color w:val="auto"/>
        </w:rPr>
        <w:t>” means a person who holds an Award under this Plan.</w:t>
      </w:r>
    </w:p>
    <w:p>
      <w:pPr>
        <w:spacing w:after="0" w:line="225"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010000"/>
        </w:rPr>
        <w:t>28.27.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Performance Award</w:t>
      </w:r>
      <w:r>
        <w:rPr>
          <w:rFonts w:ascii="Times New Roman" w:cs="Times New Roman" w:eastAsia="Times New Roman" w:hAnsi="Times New Roman"/>
          <w:sz w:val="17"/>
          <w:szCs w:val="17"/>
          <w:color w:val="auto"/>
        </w:rPr>
        <w:t xml:space="preserve">” means an Award as defined in </w:t>
      </w:r>
      <w:r>
        <w:rPr>
          <w:rFonts w:ascii="Times New Roman" w:cs="Times New Roman" w:eastAsia="Times New Roman" w:hAnsi="Times New Roman"/>
          <w:sz w:val="17"/>
          <w:szCs w:val="17"/>
          <w:u w:val="single" w:color="auto"/>
          <w:color w:val="auto"/>
        </w:rPr>
        <w:t>Section 10</w:t>
      </w:r>
      <w:r>
        <w:rPr>
          <w:rFonts w:ascii="Times New Roman" w:cs="Times New Roman" w:eastAsia="Times New Roman" w:hAnsi="Times New Roman"/>
          <w:sz w:val="17"/>
          <w:szCs w:val="17"/>
          <w:color w:val="auto"/>
        </w:rPr>
        <w:t xml:space="preserve"> and granted under this Plan.</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010000"/>
        </w:rPr>
        <w:t xml:space="preserve">28.28.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Performance Factors</w:t>
      </w:r>
      <w:r>
        <w:rPr>
          <w:rFonts w:ascii="Times New Roman" w:cs="Times New Roman" w:eastAsia="Times New Roman" w:hAnsi="Times New Roman"/>
          <w:sz w:val="18"/>
          <w:szCs w:val="18"/>
          <w:color w:val="000000"/>
        </w:rPr>
        <w:t>” means any of the factors selected by the Committee and specified in an Award Agreement, from among the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following measures, either individually, alternatively or in any combination, applied to the Company as a whole or any business unit or Subsidiary, either individually, alternatively, or in any combination, on a GAAP or non-GAAP basis, and measured, to the extent applicable on an absolute basis or relative to a pre-established target, to determine whether the performance goals established by the Committee with respect to applicable Awards have been satisfied:</w:t>
      </w:r>
    </w:p>
    <w:p>
      <w:pPr>
        <w:spacing w:after="0" w:line="180" w:lineRule="exact"/>
        <w:rPr>
          <w:sz w:val="20"/>
          <w:szCs w:val="20"/>
          <w:color w:val="auto"/>
        </w:rPr>
      </w:pPr>
    </w:p>
    <w:p>
      <w:pPr>
        <w:ind w:left="1680" w:hanging="376"/>
        <w:spacing w:after="0"/>
        <w:tabs>
          <w:tab w:leader="none" w:pos="1680" w:val="left"/>
        </w:tabs>
        <w:numPr>
          <w:ilvl w:val="0"/>
          <w:numId w:val="2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profit before tax;</w:t>
      </w:r>
    </w:p>
    <w:p>
      <w:pPr>
        <w:spacing w:after="0" w:line="225" w:lineRule="exact"/>
        <w:rPr>
          <w:rFonts w:ascii="Times New Roman" w:cs="Times New Roman" w:eastAsia="Times New Roman" w:hAnsi="Times New Roman"/>
          <w:sz w:val="18"/>
          <w:szCs w:val="18"/>
          <w:color w:val="010000"/>
        </w:rPr>
      </w:pPr>
    </w:p>
    <w:p>
      <w:pPr>
        <w:ind w:left="1700" w:hanging="396"/>
        <w:spacing w:after="0"/>
        <w:tabs>
          <w:tab w:leader="none" w:pos="1700" w:val="left"/>
        </w:tabs>
        <w:numPr>
          <w:ilvl w:val="0"/>
          <w:numId w:val="2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billings;</w:t>
      </w:r>
    </w:p>
    <w:p>
      <w:pPr>
        <w:sectPr>
          <w:pgSz w:w="11900" w:h="16838" w:orient="portrait"/>
          <w:cols w:equalWidth="0" w:num="1">
            <w:col w:w="11240"/>
          </w:cols>
          <w:pgMar w:left="320" w:top="1062" w:right="339" w:bottom="1440" w:gutter="0" w:footer="0" w:header="0"/>
        </w:sectPr>
      </w:pPr>
    </w:p>
    <w:bookmarkStart w:id="18" w:name="page19"/>
    <w:bookmarkEnd w:id="18"/>
    <w:p>
      <w:pPr>
        <w:ind w:left="560" w:hanging="376"/>
        <w:spacing w:after="0"/>
        <w:tabs>
          <w:tab w:leader="none" w:pos="560" w:val="left"/>
        </w:tabs>
        <w:numPr>
          <w:ilvl w:val="0"/>
          <w:numId w:val="2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revenue;</w:t>
      </w:r>
    </w:p>
    <w:p>
      <w:pPr>
        <w:spacing w:after="0" w:line="225" w:lineRule="exact"/>
        <w:rPr>
          <w:rFonts w:ascii="Times New Roman" w:cs="Times New Roman" w:eastAsia="Times New Roman" w:hAnsi="Times New Roman"/>
          <w:sz w:val="18"/>
          <w:szCs w:val="18"/>
          <w:color w:val="010000"/>
        </w:rPr>
      </w:pPr>
    </w:p>
    <w:p>
      <w:pPr>
        <w:ind w:left="580" w:hanging="396"/>
        <w:spacing w:after="0"/>
        <w:tabs>
          <w:tab w:leader="none" w:pos="580" w:val="left"/>
        </w:tabs>
        <w:numPr>
          <w:ilvl w:val="0"/>
          <w:numId w:val="2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net revenue or return on operating revenue;</w:t>
      </w:r>
    </w:p>
    <w:p>
      <w:pPr>
        <w:spacing w:after="0" w:line="225" w:lineRule="exact"/>
        <w:rPr>
          <w:rFonts w:ascii="Times New Roman" w:cs="Times New Roman" w:eastAsia="Times New Roman" w:hAnsi="Times New Roman"/>
          <w:sz w:val="18"/>
          <w:szCs w:val="18"/>
          <w:color w:val="010000"/>
        </w:rPr>
      </w:pPr>
    </w:p>
    <w:p>
      <w:pPr>
        <w:ind w:left="-1120" w:firstLine="1304"/>
        <w:spacing w:after="0" w:line="282" w:lineRule="auto"/>
        <w:tabs>
          <w:tab w:leader="none" w:pos="650" w:val="left"/>
        </w:tabs>
        <w:numPr>
          <w:ilvl w:val="0"/>
          <w:numId w:val="2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earnings (which may include earnings before interest and taxes, earnings before taxes, net earnings, stock-based compensation expenses, depreciation, and amortization);</w:t>
      </w:r>
    </w:p>
    <w:p>
      <w:pPr>
        <w:spacing w:after="0" w:line="161" w:lineRule="exact"/>
        <w:rPr>
          <w:rFonts w:ascii="Times New Roman" w:cs="Times New Roman" w:eastAsia="Times New Roman" w:hAnsi="Times New Roman"/>
          <w:sz w:val="18"/>
          <w:szCs w:val="18"/>
          <w:color w:val="010000"/>
        </w:rPr>
      </w:pPr>
    </w:p>
    <w:p>
      <w:pPr>
        <w:ind w:left="540" w:hanging="356"/>
        <w:spacing w:after="0"/>
        <w:tabs>
          <w:tab w:leader="none" w:pos="540" w:val="left"/>
        </w:tabs>
        <w:numPr>
          <w:ilvl w:val="0"/>
          <w:numId w:val="2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operating income;</w:t>
      </w:r>
    </w:p>
    <w:p>
      <w:pPr>
        <w:spacing w:after="0" w:line="225" w:lineRule="exact"/>
        <w:rPr>
          <w:rFonts w:ascii="Times New Roman" w:cs="Times New Roman" w:eastAsia="Times New Roman" w:hAnsi="Times New Roman"/>
          <w:sz w:val="18"/>
          <w:szCs w:val="18"/>
          <w:color w:val="010000"/>
        </w:rPr>
      </w:pPr>
    </w:p>
    <w:p>
      <w:pPr>
        <w:ind w:left="580" w:hanging="396"/>
        <w:spacing w:after="0"/>
        <w:tabs>
          <w:tab w:leader="none" w:pos="580" w:val="left"/>
        </w:tabs>
        <w:numPr>
          <w:ilvl w:val="0"/>
          <w:numId w:val="2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operating margin;</w:t>
      </w:r>
    </w:p>
    <w:p>
      <w:pPr>
        <w:spacing w:after="0" w:line="225" w:lineRule="exact"/>
        <w:rPr>
          <w:rFonts w:ascii="Times New Roman" w:cs="Times New Roman" w:eastAsia="Times New Roman" w:hAnsi="Times New Roman"/>
          <w:sz w:val="18"/>
          <w:szCs w:val="18"/>
          <w:color w:val="010000"/>
        </w:rPr>
      </w:pPr>
    </w:p>
    <w:p>
      <w:pPr>
        <w:ind w:left="580" w:hanging="396"/>
        <w:spacing w:after="0"/>
        <w:tabs>
          <w:tab w:leader="none" w:pos="580" w:val="left"/>
        </w:tabs>
        <w:numPr>
          <w:ilvl w:val="0"/>
          <w:numId w:val="2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operating profit;</w:t>
      </w:r>
    </w:p>
    <w:p>
      <w:pPr>
        <w:spacing w:after="0" w:line="225" w:lineRule="exact"/>
        <w:rPr>
          <w:rFonts w:ascii="Times New Roman" w:cs="Times New Roman" w:eastAsia="Times New Roman" w:hAnsi="Times New Roman"/>
          <w:sz w:val="18"/>
          <w:szCs w:val="18"/>
          <w:color w:val="010000"/>
        </w:rPr>
      </w:pPr>
    </w:p>
    <w:p>
      <w:pPr>
        <w:ind w:left="540" w:hanging="356"/>
        <w:spacing w:after="0"/>
        <w:tabs>
          <w:tab w:leader="none" w:pos="540" w:val="left"/>
        </w:tabs>
        <w:numPr>
          <w:ilvl w:val="0"/>
          <w:numId w:val="2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controllable operating profit or net operating profit;</w:t>
      </w:r>
    </w:p>
    <w:p>
      <w:pPr>
        <w:spacing w:after="0" w:line="225" w:lineRule="exact"/>
        <w:rPr>
          <w:rFonts w:ascii="Times New Roman" w:cs="Times New Roman" w:eastAsia="Times New Roman" w:hAnsi="Times New Roman"/>
          <w:sz w:val="18"/>
          <w:szCs w:val="18"/>
          <w:color w:val="010000"/>
        </w:rPr>
      </w:pPr>
    </w:p>
    <w:p>
      <w:pPr>
        <w:ind w:left="540" w:hanging="356"/>
        <w:spacing w:after="0"/>
        <w:tabs>
          <w:tab w:leader="none" w:pos="540" w:val="left"/>
        </w:tabs>
        <w:numPr>
          <w:ilvl w:val="0"/>
          <w:numId w:val="2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net profit;</w:t>
      </w:r>
    </w:p>
    <w:p>
      <w:pPr>
        <w:spacing w:after="0" w:line="225" w:lineRule="exact"/>
        <w:rPr>
          <w:rFonts w:ascii="Times New Roman" w:cs="Times New Roman" w:eastAsia="Times New Roman" w:hAnsi="Times New Roman"/>
          <w:sz w:val="18"/>
          <w:szCs w:val="18"/>
          <w:color w:val="010000"/>
        </w:rPr>
      </w:pPr>
    </w:p>
    <w:p>
      <w:pPr>
        <w:ind w:left="580" w:hanging="396"/>
        <w:spacing w:after="0"/>
        <w:tabs>
          <w:tab w:leader="none" w:pos="580" w:val="left"/>
        </w:tabs>
        <w:numPr>
          <w:ilvl w:val="0"/>
          <w:numId w:val="2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gross margin;</w:t>
      </w:r>
    </w:p>
    <w:p>
      <w:pPr>
        <w:spacing w:after="0" w:line="225" w:lineRule="exact"/>
        <w:rPr>
          <w:rFonts w:ascii="Times New Roman" w:cs="Times New Roman" w:eastAsia="Times New Roman" w:hAnsi="Times New Roman"/>
          <w:sz w:val="18"/>
          <w:szCs w:val="18"/>
          <w:color w:val="010000"/>
        </w:rPr>
      </w:pPr>
    </w:p>
    <w:p>
      <w:pPr>
        <w:ind w:left="540" w:hanging="356"/>
        <w:spacing w:after="0"/>
        <w:tabs>
          <w:tab w:leader="none" w:pos="540" w:val="left"/>
        </w:tabs>
        <w:numPr>
          <w:ilvl w:val="0"/>
          <w:numId w:val="2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cost, operating expenses or operating expenses as a percentage of revenue;</w:t>
      </w:r>
    </w:p>
    <w:p>
      <w:pPr>
        <w:spacing w:after="0" w:line="225" w:lineRule="exact"/>
        <w:rPr>
          <w:rFonts w:ascii="Times New Roman" w:cs="Times New Roman" w:eastAsia="Times New Roman" w:hAnsi="Times New Roman"/>
          <w:sz w:val="18"/>
          <w:szCs w:val="18"/>
          <w:color w:val="010000"/>
        </w:rPr>
      </w:pPr>
    </w:p>
    <w:p>
      <w:pPr>
        <w:ind w:left="660" w:hanging="476"/>
        <w:spacing w:after="0"/>
        <w:tabs>
          <w:tab w:leader="none" w:pos="660" w:val="left"/>
        </w:tabs>
        <w:numPr>
          <w:ilvl w:val="0"/>
          <w:numId w:val="2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net income;</w:t>
      </w:r>
    </w:p>
    <w:p>
      <w:pPr>
        <w:spacing w:after="0" w:line="225" w:lineRule="exact"/>
        <w:rPr>
          <w:rFonts w:ascii="Times New Roman" w:cs="Times New Roman" w:eastAsia="Times New Roman" w:hAnsi="Times New Roman"/>
          <w:sz w:val="18"/>
          <w:szCs w:val="18"/>
          <w:color w:val="010000"/>
        </w:rPr>
      </w:pPr>
    </w:p>
    <w:p>
      <w:pPr>
        <w:ind w:left="580" w:hanging="396"/>
        <w:spacing w:after="0"/>
        <w:tabs>
          <w:tab w:leader="none" w:pos="580" w:val="left"/>
        </w:tabs>
        <w:numPr>
          <w:ilvl w:val="0"/>
          <w:numId w:val="2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earning per share;</w:t>
      </w:r>
    </w:p>
    <w:p>
      <w:pPr>
        <w:spacing w:after="0" w:line="225" w:lineRule="exact"/>
        <w:rPr>
          <w:rFonts w:ascii="Times New Roman" w:cs="Times New Roman" w:eastAsia="Times New Roman" w:hAnsi="Times New Roman"/>
          <w:sz w:val="18"/>
          <w:szCs w:val="18"/>
          <w:color w:val="010000"/>
        </w:rPr>
      </w:pPr>
    </w:p>
    <w:p>
      <w:pPr>
        <w:ind w:left="580" w:hanging="396"/>
        <w:spacing w:after="0"/>
        <w:tabs>
          <w:tab w:leader="none" w:pos="580" w:val="left"/>
        </w:tabs>
        <w:numPr>
          <w:ilvl w:val="0"/>
          <w:numId w:val="2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total stockholder return or relative total stockholder return;</w:t>
      </w:r>
    </w:p>
    <w:p>
      <w:pPr>
        <w:spacing w:after="0" w:line="225" w:lineRule="exact"/>
        <w:rPr>
          <w:rFonts w:ascii="Times New Roman" w:cs="Times New Roman" w:eastAsia="Times New Roman" w:hAnsi="Times New Roman"/>
          <w:sz w:val="18"/>
          <w:szCs w:val="18"/>
          <w:color w:val="010000"/>
        </w:rPr>
      </w:pPr>
    </w:p>
    <w:p>
      <w:pPr>
        <w:ind w:left="580" w:hanging="396"/>
        <w:spacing w:after="0"/>
        <w:tabs>
          <w:tab w:leader="none" w:pos="580" w:val="left"/>
        </w:tabs>
        <w:numPr>
          <w:ilvl w:val="0"/>
          <w:numId w:val="2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market share or market segment share;</w:t>
      </w:r>
    </w:p>
    <w:p>
      <w:pPr>
        <w:spacing w:after="0" w:line="225" w:lineRule="exact"/>
        <w:rPr>
          <w:rFonts w:ascii="Times New Roman" w:cs="Times New Roman" w:eastAsia="Times New Roman" w:hAnsi="Times New Roman"/>
          <w:sz w:val="18"/>
          <w:szCs w:val="18"/>
          <w:color w:val="010000"/>
        </w:rPr>
      </w:pPr>
    </w:p>
    <w:p>
      <w:pPr>
        <w:ind w:left="580" w:hanging="396"/>
        <w:spacing w:after="0"/>
        <w:tabs>
          <w:tab w:leader="none" w:pos="580" w:val="left"/>
        </w:tabs>
        <w:numPr>
          <w:ilvl w:val="0"/>
          <w:numId w:val="2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return on assets or net assets;</w:t>
      </w:r>
    </w:p>
    <w:p>
      <w:pPr>
        <w:spacing w:after="0" w:line="225" w:lineRule="exact"/>
        <w:rPr>
          <w:rFonts w:ascii="Times New Roman" w:cs="Times New Roman" w:eastAsia="Times New Roman" w:hAnsi="Times New Roman"/>
          <w:sz w:val="18"/>
          <w:szCs w:val="18"/>
          <w:color w:val="010000"/>
        </w:rPr>
      </w:pPr>
    </w:p>
    <w:p>
      <w:pPr>
        <w:ind w:left="540" w:hanging="356"/>
        <w:spacing w:after="0"/>
        <w:tabs>
          <w:tab w:leader="none" w:pos="540" w:val="left"/>
        </w:tabs>
        <w:numPr>
          <w:ilvl w:val="0"/>
          <w:numId w:val="2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Company’s stock price;</w:t>
      </w:r>
    </w:p>
    <w:p>
      <w:pPr>
        <w:spacing w:after="0" w:line="225" w:lineRule="exact"/>
        <w:rPr>
          <w:rFonts w:ascii="Times New Roman" w:cs="Times New Roman" w:eastAsia="Times New Roman" w:hAnsi="Times New Roman"/>
          <w:sz w:val="18"/>
          <w:szCs w:val="18"/>
          <w:color w:val="010000"/>
        </w:rPr>
      </w:pPr>
    </w:p>
    <w:p>
      <w:pPr>
        <w:ind w:left="560" w:hanging="376"/>
        <w:spacing w:after="0"/>
        <w:tabs>
          <w:tab w:leader="none" w:pos="560" w:val="left"/>
        </w:tabs>
        <w:numPr>
          <w:ilvl w:val="0"/>
          <w:numId w:val="2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growth in stockholder value relative to a pre-determined index;</w:t>
      </w:r>
    </w:p>
    <w:p>
      <w:pPr>
        <w:spacing w:after="0" w:line="225" w:lineRule="exact"/>
        <w:rPr>
          <w:rFonts w:ascii="Times New Roman" w:cs="Times New Roman" w:eastAsia="Times New Roman" w:hAnsi="Times New Roman"/>
          <w:sz w:val="18"/>
          <w:szCs w:val="18"/>
          <w:color w:val="010000"/>
        </w:rPr>
      </w:pPr>
    </w:p>
    <w:p>
      <w:pPr>
        <w:ind w:left="540" w:hanging="356"/>
        <w:spacing w:after="0"/>
        <w:tabs>
          <w:tab w:leader="none" w:pos="540" w:val="left"/>
        </w:tabs>
        <w:numPr>
          <w:ilvl w:val="0"/>
          <w:numId w:val="2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return on equity;</w:t>
      </w:r>
    </w:p>
    <w:p>
      <w:pPr>
        <w:spacing w:after="0" w:line="225" w:lineRule="exact"/>
        <w:rPr>
          <w:rFonts w:ascii="Times New Roman" w:cs="Times New Roman" w:eastAsia="Times New Roman" w:hAnsi="Times New Roman"/>
          <w:sz w:val="18"/>
          <w:szCs w:val="18"/>
          <w:color w:val="010000"/>
        </w:rPr>
      </w:pPr>
    </w:p>
    <w:p>
      <w:pPr>
        <w:ind w:left="580" w:hanging="396"/>
        <w:spacing w:after="0"/>
        <w:tabs>
          <w:tab w:leader="none" w:pos="580" w:val="left"/>
        </w:tabs>
        <w:numPr>
          <w:ilvl w:val="0"/>
          <w:numId w:val="2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return on capital or on invested capital;</w:t>
      </w:r>
    </w:p>
    <w:p>
      <w:pPr>
        <w:spacing w:after="0" w:line="225" w:lineRule="exact"/>
        <w:rPr>
          <w:rFonts w:ascii="Times New Roman" w:cs="Times New Roman" w:eastAsia="Times New Roman" w:hAnsi="Times New Roman"/>
          <w:sz w:val="18"/>
          <w:szCs w:val="18"/>
          <w:color w:val="010000"/>
        </w:rPr>
      </w:pPr>
    </w:p>
    <w:p>
      <w:pPr>
        <w:ind w:left="580" w:hanging="396"/>
        <w:spacing w:after="0"/>
        <w:tabs>
          <w:tab w:leader="none" w:pos="580" w:val="left"/>
        </w:tabs>
        <w:numPr>
          <w:ilvl w:val="0"/>
          <w:numId w:val="2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cash flow (including free cash flow or operating cash flows) or cash flow margins;</w:t>
      </w:r>
    </w:p>
    <w:p>
      <w:pPr>
        <w:spacing w:after="0" w:line="225" w:lineRule="exact"/>
        <w:rPr>
          <w:rFonts w:ascii="Times New Roman" w:cs="Times New Roman" w:eastAsia="Times New Roman" w:hAnsi="Times New Roman"/>
          <w:sz w:val="18"/>
          <w:szCs w:val="18"/>
          <w:color w:val="010000"/>
        </w:rPr>
      </w:pPr>
    </w:p>
    <w:p>
      <w:pPr>
        <w:ind w:left="620" w:hanging="436"/>
        <w:spacing w:after="0"/>
        <w:tabs>
          <w:tab w:leader="none" w:pos="620" w:val="left"/>
        </w:tabs>
        <w:numPr>
          <w:ilvl w:val="0"/>
          <w:numId w:val="2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cash conversion cycle;</w:t>
      </w:r>
    </w:p>
    <w:p>
      <w:pPr>
        <w:spacing w:after="0" w:line="225" w:lineRule="exact"/>
        <w:rPr>
          <w:rFonts w:ascii="Times New Roman" w:cs="Times New Roman" w:eastAsia="Times New Roman" w:hAnsi="Times New Roman"/>
          <w:sz w:val="18"/>
          <w:szCs w:val="18"/>
          <w:color w:val="010000"/>
        </w:rPr>
      </w:pPr>
    </w:p>
    <w:p>
      <w:pPr>
        <w:ind w:left="580" w:hanging="396"/>
        <w:spacing w:after="0"/>
        <w:tabs>
          <w:tab w:leader="none" w:pos="580" w:val="left"/>
        </w:tabs>
        <w:numPr>
          <w:ilvl w:val="0"/>
          <w:numId w:val="2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economic value added;</w:t>
      </w:r>
    </w:p>
    <w:p>
      <w:pPr>
        <w:spacing w:after="0" w:line="225" w:lineRule="exact"/>
        <w:rPr>
          <w:rFonts w:ascii="Times New Roman" w:cs="Times New Roman" w:eastAsia="Times New Roman" w:hAnsi="Times New Roman"/>
          <w:sz w:val="18"/>
          <w:szCs w:val="18"/>
          <w:color w:val="010000"/>
        </w:rPr>
      </w:pPr>
    </w:p>
    <w:p>
      <w:pPr>
        <w:ind w:left="580" w:hanging="396"/>
        <w:spacing w:after="0"/>
        <w:tabs>
          <w:tab w:leader="none" w:pos="580" w:val="left"/>
        </w:tabs>
        <w:numPr>
          <w:ilvl w:val="0"/>
          <w:numId w:val="2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individual confidential business objectives;</w:t>
      </w:r>
    </w:p>
    <w:p>
      <w:pPr>
        <w:spacing w:after="0" w:line="225" w:lineRule="exact"/>
        <w:rPr>
          <w:rFonts w:ascii="Times New Roman" w:cs="Times New Roman" w:eastAsia="Times New Roman" w:hAnsi="Times New Roman"/>
          <w:sz w:val="18"/>
          <w:szCs w:val="18"/>
          <w:color w:val="010000"/>
        </w:rPr>
      </w:pPr>
    </w:p>
    <w:p>
      <w:pPr>
        <w:ind w:left="560" w:hanging="376"/>
        <w:spacing w:after="0"/>
        <w:tabs>
          <w:tab w:leader="none" w:pos="560" w:val="left"/>
        </w:tabs>
        <w:numPr>
          <w:ilvl w:val="0"/>
          <w:numId w:val="2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contract awards or backlog;</w:t>
      </w:r>
    </w:p>
    <w:p>
      <w:pPr>
        <w:spacing w:after="0" w:line="225" w:lineRule="exact"/>
        <w:rPr>
          <w:sz w:val="20"/>
          <w:szCs w:val="20"/>
          <w:color w:val="auto"/>
        </w:rPr>
      </w:pPr>
    </w:p>
    <w:p>
      <w:pPr>
        <w:ind w:left="640" w:hanging="456"/>
        <w:spacing w:after="0"/>
        <w:tabs>
          <w:tab w:leader="none" w:pos="640" w:val="left"/>
        </w:tabs>
        <w:numPr>
          <w:ilvl w:val="0"/>
          <w:numId w:val="3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overhead or other expense reduction;</w:t>
      </w:r>
    </w:p>
    <w:p>
      <w:pPr>
        <w:spacing w:after="0" w:line="225" w:lineRule="exact"/>
        <w:rPr>
          <w:rFonts w:ascii="Times New Roman" w:cs="Times New Roman" w:eastAsia="Times New Roman" w:hAnsi="Times New Roman"/>
          <w:sz w:val="18"/>
          <w:szCs w:val="18"/>
          <w:color w:val="010000"/>
        </w:rPr>
      </w:pPr>
    </w:p>
    <w:p>
      <w:pPr>
        <w:ind w:left="660" w:hanging="476"/>
        <w:spacing w:after="0"/>
        <w:tabs>
          <w:tab w:leader="none" w:pos="660" w:val="left"/>
        </w:tabs>
        <w:numPr>
          <w:ilvl w:val="0"/>
          <w:numId w:val="3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credit rating;</w:t>
      </w:r>
    </w:p>
    <w:p>
      <w:pPr>
        <w:spacing w:after="0" w:line="225" w:lineRule="exact"/>
        <w:rPr>
          <w:rFonts w:ascii="Times New Roman" w:cs="Times New Roman" w:eastAsia="Times New Roman" w:hAnsi="Times New Roman"/>
          <w:sz w:val="18"/>
          <w:szCs w:val="18"/>
          <w:color w:val="010000"/>
        </w:rPr>
      </w:pPr>
    </w:p>
    <w:p>
      <w:pPr>
        <w:ind w:left="640" w:hanging="456"/>
        <w:spacing w:after="0"/>
        <w:tabs>
          <w:tab w:leader="none" w:pos="640" w:val="left"/>
        </w:tabs>
        <w:numPr>
          <w:ilvl w:val="0"/>
          <w:numId w:val="3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strategic plan development and implementation;</w:t>
      </w:r>
    </w:p>
    <w:p>
      <w:pPr>
        <w:spacing w:after="0" w:line="225" w:lineRule="exact"/>
        <w:rPr>
          <w:rFonts w:ascii="Times New Roman" w:cs="Times New Roman" w:eastAsia="Times New Roman" w:hAnsi="Times New Roman"/>
          <w:sz w:val="18"/>
          <w:szCs w:val="18"/>
          <w:color w:val="010000"/>
        </w:rPr>
      </w:pPr>
    </w:p>
    <w:p>
      <w:pPr>
        <w:ind w:left="660" w:hanging="476"/>
        <w:spacing w:after="0"/>
        <w:tabs>
          <w:tab w:leader="none" w:pos="660" w:val="left"/>
        </w:tabs>
        <w:numPr>
          <w:ilvl w:val="0"/>
          <w:numId w:val="3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succession plan development and implementation;</w:t>
      </w:r>
    </w:p>
    <w:p>
      <w:pPr>
        <w:spacing w:after="0" w:line="225" w:lineRule="exact"/>
        <w:rPr>
          <w:rFonts w:ascii="Times New Roman" w:cs="Times New Roman" w:eastAsia="Times New Roman" w:hAnsi="Times New Roman"/>
          <w:sz w:val="18"/>
          <w:szCs w:val="18"/>
          <w:color w:val="010000"/>
        </w:rPr>
      </w:pPr>
    </w:p>
    <w:p>
      <w:pPr>
        <w:ind w:left="640" w:hanging="456"/>
        <w:spacing w:after="0"/>
        <w:tabs>
          <w:tab w:leader="none" w:pos="640" w:val="left"/>
        </w:tabs>
        <w:numPr>
          <w:ilvl w:val="0"/>
          <w:numId w:val="3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010000"/>
        </w:rPr>
        <w:t>talent, retention, and culture</w:t>
      </w:r>
      <w:r>
        <w:rPr>
          <w:rFonts w:ascii="Times New Roman" w:cs="Times New Roman" w:eastAsia="Times New Roman" w:hAnsi="Times New Roman"/>
          <w:sz w:val="18"/>
          <w:szCs w:val="18"/>
          <w:color w:val="000000"/>
        </w:rPr>
        <w:t>;</w:t>
      </w:r>
    </w:p>
    <w:p>
      <w:pPr>
        <w:sectPr>
          <w:pgSz w:w="11900" w:h="16838" w:orient="portrait"/>
          <w:cols w:equalWidth="0" w:num="1">
            <w:col w:w="10120"/>
          </w:cols>
          <w:pgMar w:left="1440" w:top="1066" w:right="339" w:bottom="1440" w:gutter="0" w:footer="0" w:header="0"/>
        </w:sectPr>
      </w:pPr>
    </w:p>
    <w:bookmarkStart w:id="19" w:name="page20"/>
    <w:bookmarkEnd w:id="19"/>
    <w:p>
      <w:pPr>
        <w:ind w:left="1720" w:hanging="416"/>
        <w:spacing w:after="0"/>
        <w:tabs>
          <w:tab w:leader="none" w:pos="1720" w:val="left"/>
        </w:tabs>
        <w:numPr>
          <w:ilvl w:val="0"/>
          <w:numId w:val="3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customer indicators and/or satisfaction;</w:t>
      </w:r>
    </w:p>
    <w:p>
      <w:pPr>
        <w:spacing w:after="0" w:line="225" w:lineRule="exact"/>
        <w:rPr>
          <w:rFonts w:ascii="Times New Roman" w:cs="Times New Roman" w:eastAsia="Times New Roman" w:hAnsi="Times New Roman"/>
          <w:sz w:val="18"/>
          <w:szCs w:val="18"/>
          <w:color w:val="010000"/>
        </w:rPr>
      </w:pPr>
    </w:p>
    <w:p>
      <w:pPr>
        <w:ind w:left="1780" w:hanging="476"/>
        <w:spacing w:after="0"/>
        <w:tabs>
          <w:tab w:leader="none" w:pos="1780" w:val="left"/>
        </w:tabs>
        <w:numPr>
          <w:ilvl w:val="0"/>
          <w:numId w:val="3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new product invention or innovation;</w:t>
      </w:r>
    </w:p>
    <w:p>
      <w:pPr>
        <w:spacing w:after="0" w:line="225" w:lineRule="exact"/>
        <w:rPr>
          <w:rFonts w:ascii="Times New Roman" w:cs="Times New Roman" w:eastAsia="Times New Roman" w:hAnsi="Times New Roman"/>
          <w:sz w:val="18"/>
          <w:szCs w:val="18"/>
          <w:color w:val="010000"/>
        </w:rPr>
      </w:pPr>
    </w:p>
    <w:p>
      <w:pPr>
        <w:ind w:firstLine="1304"/>
        <w:spacing w:after="0" w:line="282" w:lineRule="auto"/>
        <w:tabs>
          <w:tab w:leader="none" w:pos="1830" w:val="left"/>
        </w:tabs>
        <w:numPr>
          <w:ilvl w:val="0"/>
          <w:numId w:val="3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achievement of target levels of discovery and/or development of products and services, including but not limited to research or regulatory achievements; attainment of research and development milestones;</w:t>
      </w:r>
    </w:p>
    <w:p>
      <w:pPr>
        <w:spacing w:after="0" w:line="161" w:lineRule="exact"/>
        <w:rPr>
          <w:rFonts w:ascii="Times New Roman" w:cs="Times New Roman" w:eastAsia="Times New Roman" w:hAnsi="Times New Roman"/>
          <w:sz w:val="18"/>
          <w:szCs w:val="18"/>
          <w:color w:val="010000"/>
        </w:rPr>
      </w:pPr>
    </w:p>
    <w:p>
      <w:pPr>
        <w:ind w:left="1700" w:hanging="396"/>
        <w:spacing w:after="0"/>
        <w:tabs>
          <w:tab w:leader="none" w:pos="1700" w:val="left"/>
        </w:tabs>
        <w:numPr>
          <w:ilvl w:val="0"/>
          <w:numId w:val="3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third party coverage and/or reimbursement objectives;</w:t>
      </w:r>
    </w:p>
    <w:p>
      <w:pPr>
        <w:spacing w:after="0" w:line="225" w:lineRule="exact"/>
        <w:rPr>
          <w:rFonts w:ascii="Times New Roman" w:cs="Times New Roman" w:eastAsia="Times New Roman" w:hAnsi="Times New Roman"/>
          <w:sz w:val="18"/>
          <w:szCs w:val="18"/>
          <w:color w:val="010000"/>
        </w:rPr>
      </w:pPr>
    </w:p>
    <w:p>
      <w:pPr>
        <w:ind w:left="1700" w:hanging="396"/>
        <w:spacing w:after="0"/>
        <w:tabs>
          <w:tab w:leader="none" w:pos="1700" w:val="left"/>
        </w:tabs>
        <w:numPr>
          <w:ilvl w:val="0"/>
          <w:numId w:val="3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test volume metrics;</w:t>
      </w:r>
    </w:p>
    <w:p>
      <w:pPr>
        <w:spacing w:after="0" w:line="225" w:lineRule="exact"/>
        <w:rPr>
          <w:rFonts w:ascii="Times New Roman" w:cs="Times New Roman" w:eastAsia="Times New Roman" w:hAnsi="Times New Roman"/>
          <w:sz w:val="18"/>
          <w:szCs w:val="18"/>
          <w:color w:val="010000"/>
        </w:rPr>
      </w:pPr>
    </w:p>
    <w:p>
      <w:pPr>
        <w:ind w:left="1780" w:hanging="476"/>
        <w:spacing w:after="0"/>
        <w:tabs>
          <w:tab w:leader="none" w:pos="1780" w:val="left"/>
        </w:tabs>
        <w:numPr>
          <w:ilvl w:val="0"/>
          <w:numId w:val="3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improvements in productivity;</w:t>
      </w:r>
    </w:p>
    <w:p>
      <w:pPr>
        <w:spacing w:after="0" w:line="225" w:lineRule="exact"/>
        <w:rPr>
          <w:rFonts w:ascii="Times New Roman" w:cs="Times New Roman" w:eastAsia="Times New Roman" w:hAnsi="Times New Roman"/>
          <w:sz w:val="18"/>
          <w:szCs w:val="18"/>
          <w:color w:val="010000"/>
        </w:rPr>
      </w:pPr>
    </w:p>
    <w:p>
      <w:pPr>
        <w:ind w:left="1700" w:hanging="396"/>
        <w:spacing w:after="0"/>
        <w:tabs>
          <w:tab w:leader="none" w:pos="1700" w:val="left"/>
        </w:tabs>
        <w:numPr>
          <w:ilvl w:val="0"/>
          <w:numId w:val="3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bookings;</w:t>
      </w:r>
    </w:p>
    <w:p>
      <w:pPr>
        <w:spacing w:after="0" w:line="225" w:lineRule="exact"/>
        <w:rPr>
          <w:rFonts w:ascii="Times New Roman" w:cs="Times New Roman" w:eastAsia="Times New Roman" w:hAnsi="Times New Roman"/>
          <w:sz w:val="18"/>
          <w:szCs w:val="18"/>
          <w:color w:val="010000"/>
        </w:rPr>
      </w:pPr>
    </w:p>
    <w:p>
      <w:pPr>
        <w:ind w:left="1880" w:hanging="576"/>
        <w:spacing w:after="0"/>
        <w:tabs>
          <w:tab w:leader="none" w:pos="1880" w:val="left"/>
        </w:tabs>
        <w:numPr>
          <w:ilvl w:val="0"/>
          <w:numId w:val="3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attainment of objective operating goals and employee metrics;</w:t>
      </w:r>
    </w:p>
    <w:p>
      <w:pPr>
        <w:spacing w:after="0" w:line="225" w:lineRule="exact"/>
        <w:rPr>
          <w:rFonts w:ascii="Times New Roman" w:cs="Times New Roman" w:eastAsia="Times New Roman" w:hAnsi="Times New Roman"/>
          <w:sz w:val="18"/>
          <w:szCs w:val="18"/>
          <w:color w:val="010000"/>
        </w:rPr>
      </w:pPr>
    </w:p>
    <w:p>
      <w:pPr>
        <w:ind w:left="1780" w:hanging="476"/>
        <w:spacing w:after="0"/>
        <w:tabs>
          <w:tab w:leader="none" w:pos="1780" w:val="left"/>
        </w:tabs>
        <w:numPr>
          <w:ilvl w:val="0"/>
          <w:numId w:val="3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sales;</w:t>
      </w:r>
    </w:p>
    <w:p>
      <w:pPr>
        <w:spacing w:after="0" w:line="225" w:lineRule="exact"/>
        <w:rPr>
          <w:rFonts w:ascii="Times New Roman" w:cs="Times New Roman" w:eastAsia="Times New Roman" w:hAnsi="Times New Roman"/>
          <w:sz w:val="18"/>
          <w:szCs w:val="18"/>
          <w:color w:val="010000"/>
        </w:rPr>
      </w:pPr>
    </w:p>
    <w:p>
      <w:pPr>
        <w:ind w:left="1780" w:hanging="476"/>
        <w:spacing w:after="0"/>
        <w:tabs>
          <w:tab w:leader="none" w:pos="1780" w:val="left"/>
        </w:tabs>
        <w:numPr>
          <w:ilvl w:val="0"/>
          <w:numId w:val="3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expenses;</w:t>
      </w:r>
    </w:p>
    <w:p>
      <w:pPr>
        <w:spacing w:after="0" w:line="225" w:lineRule="exact"/>
        <w:rPr>
          <w:rFonts w:ascii="Times New Roman" w:cs="Times New Roman" w:eastAsia="Times New Roman" w:hAnsi="Times New Roman"/>
          <w:sz w:val="18"/>
          <w:szCs w:val="18"/>
          <w:color w:val="010000"/>
        </w:rPr>
      </w:pPr>
    </w:p>
    <w:p>
      <w:pPr>
        <w:ind w:left="1780" w:hanging="476"/>
        <w:spacing w:after="0"/>
        <w:tabs>
          <w:tab w:leader="none" w:pos="1780" w:val="left"/>
        </w:tabs>
        <w:numPr>
          <w:ilvl w:val="0"/>
          <w:numId w:val="3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balance of cash, cash equivalents, and marketable securities;</w:t>
      </w:r>
    </w:p>
    <w:p>
      <w:pPr>
        <w:spacing w:after="0" w:line="225" w:lineRule="exact"/>
        <w:rPr>
          <w:rFonts w:ascii="Times New Roman" w:cs="Times New Roman" w:eastAsia="Times New Roman" w:hAnsi="Times New Roman"/>
          <w:sz w:val="18"/>
          <w:szCs w:val="18"/>
          <w:color w:val="010000"/>
        </w:rPr>
      </w:pPr>
    </w:p>
    <w:p>
      <w:pPr>
        <w:ind w:left="1780" w:hanging="476"/>
        <w:spacing w:after="0"/>
        <w:tabs>
          <w:tab w:leader="none" w:pos="1780" w:val="left"/>
        </w:tabs>
        <w:numPr>
          <w:ilvl w:val="0"/>
          <w:numId w:val="3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completion of an identified special project;</w:t>
      </w:r>
    </w:p>
    <w:p>
      <w:pPr>
        <w:spacing w:after="0" w:line="225" w:lineRule="exact"/>
        <w:rPr>
          <w:rFonts w:ascii="Times New Roman" w:cs="Times New Roman" w:eastAsia="Times New Roman" w:hAnsi="Times New Roman"/>
          <w:sz w:val="18"/>
          <w:szCs w:val="18"/>
          <w:color w:val="010000"/>
        </w:rPr>
      </w:pPr>
    </w:p>
    <w:p>
      <w:pPr>
        <w:ind w:left="1720" w:hanging="416"/>
        <w:spacing w:after="0"/>
        <w:tabs>
          <w:tab w:leader="none" w:pos="1720" w:val="left"/>
        </w:tabs>
        <w:numPr>
          <w:ilvl w:val="0"/>
          <w:numId w:val="3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completion of a joint venture or other corporate transaction;</w:t>
      </w:r>
    </w:p>
    <w:p>
      <w:pPr>
        <w:spacing w:after="0" w:line="225" w:lineRule="exact"/>
        <w:rPr>
          <w:rFonts w:ascii="Times New Roman" w:cs="Times New Roman" w:eastAsia="Times New Roman" w:hAnsi="Times New Roman"/>
          <w:sz w:val="18"/>
          <w:szCs w:val="18"/>
          <w:color w:val="010000"/>
        </w:rPr>
      </w:pPr>
    </w:p>
    <w:p>
      <w:pPr>
        <w:ind w:left="1740" w:hanging="436"/>
        <w:spacing w:after="0"/>
        <w:tabs>
          <w:tab w:leader="none" w:pos="1740" w:val="left"/>
        </w:tabs>
        <w:numPr>
          <w:ilvl w:val="0"/>
          <w:numId w:val="3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employee satisfaction and/or retention;</w:t>
      </w:r>
    </w:p>
    <w:p>
      <w:pPr>
        <w:spacing w:after="0" w:line="225" w:lineRule="exact"/>
        <w:rPr>
          <w:rFonts w:ascii="Times New Roman" w:cs="Times New Roman" w:eastAsia="Times New Roman" w:hAnsi="Times New Roman"/>
          <w:sz w:val="18"/>
          <w:szCs w:val="18"/>
          <w:color w:val="010000"/>
        </w:rPr>
      </w:pPr>
    </w:p>
    <w:p>
      <w:pPr>
        <w:ind w:left="1700" w:hanging="396"/>
        <w:spacing w:after="0"/>
        <w:tabs>
          <w:tab w:leader="none" w:pos="1700" w:val="left"/>
        </w:tabs>
        <w:numPr>
          <w:ilvl w:val="0"/>
          <w:numId w:val="3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research and development expenses;</w:t>
      </w:r>
    </w:p>
    <w:p>
      <w:pPr>
        <w:spacing w:after="0" w:line="225" w:lineRule="exact"/>
        <w:rPr>
          <w:rFonts w:ascii="Times New Roman" w:cs="Times New Roman" w:eastAsia="Times New Roman" w:hAnsi="Times New Roman"/>
          <w:sz w:val="18"/>
          <w:szCs w:val="18"/>
          <w:color w:val="010000"/>
        </w:rPr>
      </w:pPr>
    </w:p>
    <w:p>
      <w:pPr>
        <w:ind w:left="1780" w:hanging="476"/>
        <w:spacing w:after="0"/>
        <w:tabs>
          <w:tab w:leader="none" w:pos="1780" w:val="left"/>
        </w:tabs>
        <w:numPr>
          <w:ilvl w:val="0"/>
          <w:numId w:val="3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working capital targets and changes in working capital;</w:t>
      </w:r>
    </w:p>
    <w:p>
      <w:pPr>
        <w:spacing w:after="0" w:line="225" w:lineRule="exact"/>
        <w:rPr>
          <w:rFonts w:ascii="Times New Roman" w:cs="Times New Roman" w:eastAsia="Times New Roman" w:hAnsi="Times New Roman"/>
          <w:sz w:val="18"/>
          <w:szCs w:val="18"/>
          <w:color w:val="010000"/>
        </w:rPr>
      </w:pPr>
    </w:p>
    <w:p>
      <w:pPr>
        <w:ind w:left="1780" w:hanging="476"/>
        <w:spacing w:after="0"/>
        <w:tabs>
          <w:tab w:leader="none" w:pos="1780" w:val="left"/>
        </w:tabs>
        <w:numPr>
          <w:ilvl w:val="0"/>
          <w:numId w:val="3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net new annual contract value;</w:t>
      </w:r>
    </w:p>
    <w:p>
      <w:pPr>
        <w:spacing w:after="0" w:line="225" w:lineRule="exact"/>
        <w:rPr>
          <w:rFonts w:ascii="Times New Roman" w:cs="Times New Roman" w:eastAsia="Times New Roman" w:hAnsi="Times New Roman"/>
          <w:sz w:val="18"/>
          <w:szCs w:val="18"/>
          <w:color w:val="010000"/>
        </w:rPr>
      </w:pPr>
    </w:p>
    <w:p>
      <w:pPr>
        <w:ind w:left="1860" w:hanging="556"/>
        <w:spacing w:after="0"/>
        <w:tabs>
          <w:tab w:leader="none" w:pos="1860" w:val="left"/>
        </w:tabs>
        <w:numPr>
          <w:ilvl w:val="0"/>
          <w:numId w:val="3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net expansion rate; and</w:t>
      </w:r>
    </w:p>
    <w:p>
      <w:pPr>
        <w:spacing w:after="0" w:line="225" w:lineRule="exact"/>
        <w:rPr>
          <w:rFonts w:ascii="Times New Roman" w:cs="Times New Roman" w:eastAsia="Times New Roman" w:hAnsi="Times New Roman"/>
          <w:sz w:val="18"/>
          <w:szCs w:val="18"/>
          <w:color w:val="010000"/>
        </w:rPr>
      </w:pPr>
    </w:p>
    <w:p>
      <w:pPr>
        <w:ind w:left="1780" w:hanging="476"/>
        <w:spacing w:after="0"/>
        <w:tabs>
          <w:tab w:leader="none" w:pos="1780" w:val="left"/>
        </w:tabs>
        <w:numPr>
          <w:ilvl w:val="0"/>
          <w:numId w:val="3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other metric that is capable of measurement as determined by the Committee.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Committee may provide for one or more equitable adjustments to the Performance Factors to preserve the Committee’s original intent regarding the Performance Factors at the time of the initial award grant, such as but not limited to, adjustments in recognition of unusual or non-recurring items such as acquisition related activities or changes in applicable accounting rules. It is within the sole discretion of the Committee to make or not make any such equitable adjustments.</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010000"/>
        </w:rPr>
        <w:t xml:space="preserve">28.29.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Performance Period</w:t>
      </w:r>
      <w:r>
        <w:rPr>
          <w:rFonts w:ascii="Times New Roman" w:cs="Times New Roman" w:eastAsia="Times New Roman" w:hAnsi="Times New Roman"/>
          <w:sz w:val="18"/>
          <w:szCs w:val="18"/>
          <w:color w:val="000000"/>
        </w:rPr>
        <w:t>” means one or more periods of time, which may be of varying and overlapping durations, as the Committee may</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select, over which the attainment of one or more Performance Factors will be measured for the purpose of determining a Participant’s right to, and the payment of, a Performance Award.</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010000"/>
        </w:rPr>
        <w:t xml:space="preserve">28.30.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Permitted Transferee</w:t>
      </w:r>
      <w:r>
        <w:rPr>
          <w:rFonts w:ascii="Times New Roman" w:cs="Times New Roman" w:eastAsia="Times New Roman" w:hAnsi="Times New Roman"/>
          <w:sz w:val="18"/>
          <w:szCs w:val="18"/>
          <w:color w:val="000000"/>
        </w:rPr>
        <w:t>” means any child, stepchild, grandchild, parent, stepparent, grandparent, spouse, former spouse, sibling, niece,</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nephew, mother-in-law, father-in-law, son-in-law, daughter-in-law, brother-in-law, or sister-in-law (including adoptive relationships) of the Employee, any person sharing the Employee’s household (other than a tenant or employee), a trust in which these persons (or the Employee) have more than 50% of the beneficial interest, a foundation in which these persons (or the Employee) control the management of assets, and any other entity in which these persons (or the Employee) own more than 50% of the voting interests.</w:t>
      </w:r>
    </w:p>
    <w:p>
      <w:pPr>
        <w:spacing w:after="0" w:line="179"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010000"/>
        </w:rPr>
        <w:t>28.31.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Plan</w:t>
      </w:r>
      <w:r>
        <w:rPr>
          <w:rFonts w:ascii="Times New Roman" w:cs="Times New Roman" w:eastAsia="Times New Roman" w:hAnsi="Times New Roman"/>
          <w:sz w:val="17"/>
          <w:szCs w:val="17"/>
          <w:color w:val="auto"/>
        </w:rPr>
        <w:t>” means this Veracyte, Inc. 2023 Equity Incentive Plan, as amended.</w:t>
      </w:r>
    </w:p>
    <w:p>
      <w:pPr>
        <w:spacing w:after="0" w:line="225"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010000"/>
        </w:rPr>
        <w:t>28.32.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Prior Plan</w:t>
      </w:r>
      <w:r>
        <w:rPr>
          <w:rFonts w:ascii="Times New Roman" w:cs="Times New Roman" w:eastAsia="Times New Roman" w:hAnsi="Times New Roman"/>
          <w:sz w:val="17"/>
          <w:szCs w:val="17"/>
          <w:color w:val="auto"/>
        </w:rPr>
        <w:t>” means the Veracyte, Inc. 2013 Stock Incentive Plan.</w:t>
      </w:r>
    </w:p>
    <w:p>
      <w:pPr>
        <w:sectPr>
          <w:pgSz w:w="11900" w:h="16838" w:orient="portrait"/>
          <w:cols w:equalWidth="0" w:num="1">
            <w:col w:w="11240"/>
          </w:cols>
          <w:pgMar w:left="320" w:top="1066" w:right="339" w:bottom="1440" w:gutter="0" w:footer="0" w:header="0"/>
        </w:sectPr>
      </w:pPr>
    </w:p>
    <w:bookmarkStart w:id="20" w:name="page21"/>
    <w:bookmarkEnd w:id="20"/>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010000"/>
        </w:rPr>
        <w:t>28.33.</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 Price</w:t>
      </w:r>
      <w:r>
        <w:rPr>
          <w:rFonts w:ascii="Times New Roman" w:cs="Times New Roman" w:eastAsia="Times New Roman" w:hAnsi="Times New Roman"/>
          <w:sz w:val="18"/>
          <w:szCs w:val="18"/>
          <w:color w:val="auto"/>
        </w:rPr>
        <w:t>” means the price to be paid for Shares acquired under this Plan, other than Shares acquired upon exercise of an Option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SAR.</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010000"/>
        </w:rPr>
        <w:t xml:space="preserve">28.34.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Restricted Stock Award</w:t>
      </w:r>
      <w:r>
        <w:rPr>
          <w:rFonts w:ascii="Times New Roman" w:cs="Times New Roman" w:eastAsia="Times New Roman" w:hAnsi="Times New Roman"/>
          <w:sz w:val="18"/>
          <w:szCs w:val="18"/>
          <w:color w:val="000000"/>
        </w:rPr>
        <w:t>” means an Award as defined in</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u w:val="single" w:color="auto"/>
          <w:color w:val="000000"/>
        </w:rPr>
        <w:t>Section 6</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and granted under this Plan, or issued pursuant to the early exercise of</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an Option.</w:t>
      </w:r>
    </w:p>
    <w:p>
      <w:pPr>
        <w:spacing w:after="0" w:line="155"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010000"/>
        </w:rPr>
        <w:t>28.35.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Restricted Stock Unit</w:t>
      </w:r>
      <w:r>
        <w:rPr>
          <w:rFonts w:ascii="Times New Roman" w:cs="Times New Roman" w:eastAsia="Times New Roman" w:hAnsi="Times New Roman"/>
          <w:sz w:val="17"/>
          <w:szCs w:val="17"/>
          <w:color w:val="auto"/>
        </w:rPr>
        <w:t xml:space="preserve">” means an Award as defined in </w:t>
      </w:r>
      <w:r>
        <w:rPr>
          <w:rFonts w:ascii="Times New Roman" w:cs="Times New Roman" w:eastAsia="Times New Roman" w:hAnsi="Times New Roman"/>
          <w:sz w:val="17"/>
          <w:szCs w:val="17"/>
          <w:u w:val="single" w:color="auto"/>
          <w:color w:val="auto"/>
        </w:rPr>
        <w:t>Section 9</w:t>
      </w:r>
      <w:r>
        <w:rPr>
          <w:rFonts w:ascii="Times New Roman" w:cs="Times New Roman" w:eastAsia="Times New Roman" w:hAnsi="Times New Roman"/>
          <w:sz w:val="17"/>
          <w:szCs w:val="17"/>
          <w:color w:val="auto"/>
        </w:rPr>
        <w:t xml:space="preserve"> and granted under this Plan.</w:t>
      </w:r>
    </w:p>
    <w:p>
      <w:pPr>
        <w:spacing w:after="0" w:line="225"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010000"/>
        </w:rPr>
        <w:t>28.36.</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010000"/>
        </w:rPr>
        <w:t>28.37.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Securities Act</w:t>
      </w:r>
      <w:r>
        <w:rPr>
          <w:rFonts w:ascii="Times New Roman" w:cs="Times New Roman" w:eastAsia="Times New Roman" w:hAnsi="Times New Roman"/>
          <w:sz w:val="17"/>
          <w:szCs w:val="17"/>
          <w:color w:val="auto"/>
        </w:rPr>
        <w:t>” means the United States Securities Act of 1933, as amended.</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010000"/>
        </w:rPr>
        <w:t xml:space="preserve">28.38.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Service</w:t>
      </w:r>
      <w:r>
        <w:rPr>
          <w:rFonts w:ascii="Times New Roman" w:cs="Times New Roman" w:eastAsia="Times New Roman" w:hAnsi="Times New Roman"/>
          <w:sz w:val="18"/>
          <w:szCs w:val="18"/>
          <w:color w:val="000000"/>
        </w:rPr>
        <w:t>” will mean service as an Employee, Consultant, Director, or Non-Employee Director, subject to such further limitations as may</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 xml:space="preserve">be set forth in this Plan or the applicable Award Agreement. Service does not terminate when a Participant goes on a bona fide leave of absence that (a) was approved by the Company in writing or (b) is taken pursuant to a formal policy adopted from time to time by the Company and provided to Participants in writing, if the terms of such leave, as applicable, provide for continued Service crediting, or when continued Service crediting is required by applicable law. However, for purposes of determining whether an Option qualifies to be treated for tax purposes as an ISO, an Employee’s employment will be treated as terminating three months after such Employee commenced leave, unless such Employee’s right to return to active work is guaranteed by law or by a contract. In the case of any Employee on an approved leave of absence, or a reduction in hours worked (for illustrative purposes only, a change in schedule from that of full-time to part-time), the Committee may make such provisions respecting suspension or modification of vesting of the Award while on leave, or during such change in working hours, as it may deem appropriate, except that in no event may an Award be exercised after the expiration of the term set forth in the applicable Award Agreement. A Participant will have terminated Service as of the date such Participant ceases to provide Service (regardless of whether the termination is in breach of local employment laws or is later found to be invalid) and Service will not be extended by any notice period or garden leave mandated by local law, </w:t>
      </w:r>
      <w:r>
        <w:rPr>
          <w:rFonts w:ascii="Times New Roman" w:cs="Times New Roman" w:eastAsia="Times New Roman" w:hAnsi="Times New Roman"/>
          <w:sz w:val="18"/>
          <w:szCs w:val="18"/>
          <w:u w:val="single" w:color="auto"/>
          <w:color w:val="000000"/>
        </w:rPr>
        <w:t>provided, however</w:t>
      </w:r>
      <w:r>
        <w:rPr>
          <w:rFonts w:ascii="Times New Roman" w:cs="Times New Roman" w:eastAsia="Times New Roman" w:hAnsi="Times New Roman"/>
          <w:sz w:val="18"/>
          <w:szCs w:val="18"/>
          <w:color w:val="000000"/>
        </w:rPr>
        <w:t>, that a change in status from and amongst Employee, Consultant, Director or Non-Employee Director will not terminate the Participant’s Service, unless determined by the Committee, in its discretion. The Committee will have sole discretion to determine whether a Participant has ceased to provide Service and the effective date on which the Participant ceased to provide Service.</w:t>
      </w:r>
    </w:p>
    <w:p>
      <w:pPr>
        <w:spacing w:after="0" w:line="185"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010000"/>
        </w:rPr>
        <w:t>28.39.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Shares</w:t>
      </w:r>
      <w:r>
        <w:rPr>
          <w:rFonts w:ascii="Times New Roman" w:cs="Times New Roman" w:eastAsia="Times New Roman" w:hAnsi="Times New Roman"/>
          <w:sz w:val="17"/>
          <w:szCs w:val="17"/>
          <w:color w:val="auto"/>
        </w:rPr>
        <w:t>” means shares of the Common Stock and the common stock of any successor entity of the Company.</w:t>
      </w:r>
    </w:p>
    <w:p>
      <w:pPr>
        <w:spacing w:after="0" w:line="225"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010000"/>
        </w:rPr>
        <w:t>28.40.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Stock Appreciation Right</w:t>
      </w:r>
      <w:r>
        <w:rPr>
          <w:rFonts w:ascii="Times New Roman" w:cs="Times New Roman" w:eastAsia="Times New Roman" w:hAnsi="Times New Roman"/>
          <w:sz w:val="17"/>
          <w:szCs w:val="17"/>
          <w:color w:val="auto"/>
        </w:rPr>
        <w:t xml:space="preserve">” means an Award defined in </w:t>
      </w:r>
      <w:r>
        <w:rPr>
          <w:rFonts w:ascii="Times New Roman" w:cs="Times New Roman" w:eastAsia="Times New Roman" w:hAnsi="Times New Roman"/>
          <w:sz w:val="17"/>
          <w:szCs w:val="17"/>
          <w:u w:val="single" w:color="auto"/>
          <w:color w:val="auto"/>
        </w:rPr>
        <w:t>Section 8</w:t>
      </w:r>
      <w:r>
        <w:rPr>
          <w:rFonts w:ascii="Times New Roman" w:cs="Times New Roman" w:eastAsia="Times New Roman" w:hAnsi="Times New Roman"/>
          <w:sz w:val="17"/>
          <w:szCs w:val="17"/>
          <w:color w:val="auto"/>
        </w:rPr>
        <w:t xml:space="preserve"> and granted under this Plan.</w:t>
      </w:r>
    </w:p>
    <w:p>
      <w:pPr>
        <w:spacing w:after="0" w:line="225"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010000"/>
        </w:rPr>
        <w:t>28.41.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Stock Bonus</w:t>
      </w:r>
      <w:r>
        <w:rPr>
          <w:rFonts w:ascii="Times New Roman" w:cs="Times New Roman" w:eastAsia="Times New Roman" w:hAnsi="Times New Roman"/>
          <w:sz w:val="17"/>
          <w:szCs w:val="17"/>
          <w:color w:val="auto"/>
        </w:rPr>
        <w:t xml:space="preserve">” means an Award defined in </w:t>
      </w:r>
      <w:r>
        <w:rPr>
          <w:rFonts w:ascii="Times New Roman" w:cs="Times New Roman" w:eastAsia="Times New Roman" w:hAnsi="Times New Roman"/>
          <w:sz w:val="17"/>
          <w:szCs w:val="17"/>
          <w:u w:val="single" w:color="auto"/>
          <w:color w:val="auto"/>
        </w:rPr>
        <w:t>Section 7</w:t>
      </w:r>
      <w:r>
        <w:rPr>
          <w:rFonts w:ascii="Times New Roman" w:cs="Times New Roman" w:eastAsia="Times New Roman" w:hAnsi="Times New Roman"/>
          <w:sz w:val="17"/>
          <w:szCs w:val="17"/>
          <w:color w:val="auto"/>
        </w:rPr>
        <w:t xml:space="preserve"> and granted under this Plan.</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010000"/>
        </w:rPr>
        <w:t xml:space="preserve">28.42.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Subsidiary</w:t>
      </w:r>
      <w:r>
        <w:rPr>
          <w:rFonts w:ascii="Times New Roman" w:cs="Times New Roman" w:eastAsia="Times New Roman" w:hAnsi="Times New Roman"/>
          <w:sz w:val="18"/>
          <w:szCs w:val="18"/>
          <w:color w:val="000000"/>
        </w:rPr>
        <w:t>” means any corporation (other than the Company) in an unbroken chain of corporations beginning with the Company if each</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of the corporations other than the last corporation in the unbroken chain owns stock possessing fifty percent (50%) or more of the total combined voting power of all classes of stock in one of the other corporations in such chain.</w:t>
      </w:r>
    </w:p>
    <w:p>
      <w:pPr>
        <w:spacing w:after="0" w:line="171"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b w:val="1"/>
          <w:bCs w:val="1"/>
          <w:color w:val="010000"/>
        </w:rPr>
        <w:t>28.43.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Treasury Regulations</w:t>
      </w:r>
      <w:r>
        <w:rPr>
          <w:rFonts w:ascii="Times New Roman" w:cs="Times New Roman" w:eastAsia="Times New Roman" w:hAnsi="Times New Roman"/>
          <w:sz w:val="17"/>
          <w:szCs w:val="17"/>
          <w:color w:val="auto"/>
        </w:rPr>
        <w:t>” means regulations promulgated by the United States Treasury Department.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010000"/>
        </w:rPr>
        <w:t xml:space="preserve">28.44.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i w:val="1"/>
          <w:iCs w:val="1"/>
          <w:color w:val="000000"/>
        </w:rPr>
        <w:t>Unvested Shares</w:t>
      </w:r>
      <w:r>
        <w:rPr>
          <w:rFonts w:ascii="Times New Roman" w:cs="Times New Roman" w:eastAsia="Times New Roman" w:hAnsi="Times New Roman"/>
          <w:sz w:val="18"/>
          <w:szCs w:val="18"/>
          <w:color w:val="000000"/>
        </w:rPr>
        <w:t>” means Shares that have not yet vested or are subject to a right of repurchase in favor of the Company (or any</w:t>
      </w:r>
      <w:r>
        <w:rPr>
          <w:rFonts w:ascii="Times New Roman" w:cs="Times New Roman" w:eastAsia="Times New Roman" w:hAnsi="Times New Roman"/>
          <w:sz w:val="18"/>
          <w:szCs w:val="18"/>
          <w:b w:val="1"/>
          <w:bCs w:val="1"/>
          <w:color w:val="010000"/>
        </w:rPr>
        <w:t xml:space="preserve"> </w:t>
      </w:r>
      <w:r>
        <w:rPr>
          <w:rFonts w:ascii="Times New Roman" w:cs="Times New Roman" w:eastAsia="Times New Roman" w:hAnsi="Times New Roman"/>
          <w:sz w:val="18"/>
          <w:szCs w:val="18"/>
          <w:color w:val="000000"/>
        </w:rPr>
        <w:t>successor thereto).</w:t>
      </w:r>
    </w:p>
    <w:sectPr>
      <w:pgSz w:w="11900" w:h="16838" w:orient="portrait"/>
      <w:cols w:equalWidth="0" w:num="1">
        <w:col w:w="11240"/>
      </w:cols>
      <w:pgMar w:left="320" w:top="106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1."/>
      <w:numFmt w:val="decimal"/>
      <w:start w:val="1"/>
    </w:lvl>
  </w:abstractNum>
  <w:abstractNum w:abstractNumId="2">
    <w:nsid w:val="25E45D32"/>
    <w:multiLevelType w:val="hybridMultilevel"/>
    <w:lvl w:ilvl="0">
      <w:lvlJc w:val="left"/>
      <w:lvlText w:val="%1."/>
      <w:numFmt w:val="decimal"/>
      <w:start w:val="4"/>
    </w:lvl>
  </w:abstractNum>
  <w:abstractNum w:abstractNumId="3">
    <w:nsid w:val="519B500D"/>
    <w:multiLevelType w:val="hybridMultilevel"/>
    <w:lvl w:ilvl="0">
      <w:lvlJc w:val="left"/>
      <w:lvlText w:val="%1."/>
      <w:numFmt w:val="decimal"/>
      <w:start w:val="5"/>
    </w:lvl>
  </w:abstractNum>
  <w:abstractNum w:abstractNumId="4">
    <w:nsid w:val="431BD7B7"/>
    <w:multiLevelType w:val="hybridMultilevel"/>
    <w:lvl w:ilvl="0">
      <w:lvlJc w:val="left"/>
      <w:lvlText w:val="*"/>
      <w:numFmt w:val="bullet"/>
      <w:start w:val="1"/>
    </w:lvl>
    <w:lvl w:ilvl="1">
      <w:lvlJc w:val="left"/>
      <w:lvlText w:val="%2"/>
      <w:numFmt w:val="decimal"/>
      <w:start w:val="104"/>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1."/>
      <w:numFmt w:val="decimal"/>
      <w:start w:val="3"/>
    </w:lvl>
  </w:abstractNum>
  <w:abstractNum w:abstractNumId="7">
    <w:nsid w:val="257130A3"/>
    <w:multiLevelType w:val="hybridMultilevel"/>
    <w:lvl w:ilvl="0">
      <w:lvlJc w:val="left"/>
      <w:lvlText w:val="(%1)"/>
      <w:numFmt w:val="lowerLetter"/>
      <w:start w:val="1"/>
    </w:lvl>
  </w:abstractNum>
  <w:abstractNum w:abstractNumId="8">
    <w:nsid w:val="62BBD95A"/>
    <w:multiLevelType w:val="hybridMultilevel"/>
    <w:lvl w:ilvl="0">
      <w:lvlJc w:val="left"/>
      <w:lvlText w:val="(%1)"/>
      <w:numFmt w:val="lowerLetter"/>
      <w:start w:val="18"/>
    </w:lvl>
  </w:abstractNum>
  <w:abstractNum w:abstractNumId="9">
    <w:nsid w:val="436C6125"/>
    <w:multiLevelType w:val="hybridMultilevel"/>
    <w:lvl w:ilvl="0">
      <w:lvlJc w:val="left"/>
      <w:lvlText w:val="%1."/>
      <w:numFmt w:val="decimal"/>
      <w:start w:val="5"/>
    </w:lvl>
  </w:abstractNum>
  <w:abstractNum w:abstractNumId="10">
    <w:nsid w:val="628C895D"/>
    <w:multiLevelType w:val="hybridMultilevel"/>
    <w:lvl w:ilvl="0">
      <w:lvlJc w:val="left"/>
      <w:lvlText w:val="(%1)"/>
      <w:numFmt w:val="lowerLetter"/>
      <w:start w:val="1"/>
    </w:lvl>
  </w:abstractNum>
  <w:abstractNum w:abstractNumId="11">
    <w:nsid w:val="333AB105"/>
    <w:multiLevelType w:val="hybridMultilevel"/>
    <w:lvl w:ilvl="0">
      <w:lvlJc w:val="left"/>
      <w:lvlText w:val="(%1)"/>
      <w:numFmt w:val="lowerLetter"/>
      <w:start w:val="4"/>
    </w:lvl>
  </w:abstractNum>
  <w:abstractNum w:abstractNumId="12">
    <w:nsid w:val="721DA317"/>
    <w:multiLevelType w:val="hybridMultilevel"/>
    <w:lvl w:ilvl="0">
      <w:lvlJc w:val="left"/>
      <w:lvlText w:val="%1."/>
      <w:numFmt w:val="decimal"/>
      <w:start w:val="6"/>
    </w:lvl>
  </w:abstractNum>
  <w:abstractNum w:abstractNumId="13">
    <w:nsid w:val="2443A858"/>
    <w:multiLevelType w:val="hybridMultilevel"/>
    <w:lvl w:ilvl="0">
      <w:lvlJc w:val="left"/>
      <w:lvlText w:val="%1."/>
      <w:numFmt w:val="decimal"/>
      <w:start w:val="7"/>
    </w:lvl>
  </w:abstractNum>
  <w:abstractNum w:abstractNumId="14">
    <w:nsid w:val="2D1D5AE9"/>
    <w:multiLevelType w:val="hybridMultilevel"/>
    <w:lvl w:ilvl="0">
      <w:lvlJc w:val="left"/>
      <w:lvlText w:val="%1."/>
      <w:numFmt w:val="decimal"/>
      <w:start w:val="8"/>
    </w:lvl>
  </w:abstractNum>
  <w:abstractNum w:abstractNumId="15">
    <w:nsid w:val="6763845E"/>
    <w:multiLevelType w:val="hybridMultilevel"/>
    <w:lvl w:ilvl="0">
      <w:lvlJc w:val="left"/>
      <w:lvlText w:val="%1."/>
      <w:numFmt w:val="decimal"/>
      <w:start w:val="9"/>
    </w:lvl>
  </w:abstractNum>
  <w:abstractNum w:abstractNumId="16">
    <w:nsid w:val="75A2A8D4"/>
    <w:multiLevelType w:val="hybridMultilevel"/>
    <w:lvl w:ilvl="0">
      <w:lvlJc w:val="left"/>
      <w:lvlText w:val="%1."/>
      <w:numFmt w:val="decimal"/>
      <w:start w:val="10"/>
    </w:lvl>
  </w:abstractNum>
  <w:abstractNum w:abstractNumId="17">
    <w:nsid w:val="8EDBDAB"/>
    <w:multiLevelType w:val="hybridMultilevel"/>
    <w:lvl w:ilvl="0">
      <w:lvlJc w:val="left"/>
      <w:lvlText w:val="(%1)"/>
      <w:numFmt w:val="lowerLetter"/>
      <w:start w:val="1"/>
    </w:lvl>
  </w:abstractNum>
  <w:abstractNum w:abstractNumId="18">
    <w:nsid w:val="79838CB2"/>
    <w:multiLevelType w:val="hybridMultilevel"/>
    <w:lvl w:ilvl="0">
      <w:lvlJc w:val="left"/>
      <w:lvlText w:val="(%1)"/>
      <w:numFmt w:val="lowerRoman"/>
      <w:start w:val="3"/>
    </w:lvl>
  </w:abstractNum>
  <w:abstractNum w:abstractNumId="19">
    <w:nsid w:val="4353D0CD"/>
    <w:multiLevelType w:val="hybridMultilevel"/>
    <w:lvl w:ilvl="0">
      <w:lvlJc w:val="left"/>
      <w:lvlText w:val="%1."/>
      <w:numFmt w:val="decimal"/>
      <w:start w:val="11"/>
    </w:lvl>
    <w:lvl w:ilvl="1">
      <w:lvlJc w:val="left"/>
      <w:lvlText w:val="(%2)"/>
      <w:numFmt w:val="lowerLetter"/>
      <w:start w:val="1"/>
    </w:lvl>
  </w:abstractNum>
  <w:abstractNum w:abstractNumId="20">
    <w:nsid w:val="B03E0C6"/>
    <w:multiLevelType w:val="hybridMultilevel"/>
    <w:lvl w:ilvl="0">
      <w:lvlJc w:val="left"/>
      <w:lvlText w:val="%1."/>
      <w:numFmt w:val="decimal"/>
      <w:start w:val="12"/>
    </w:lvl>
  </w:abstractNum>
  <w:abstractNum w:abstractNumId="21">
    <w:nsid w:val="189A769B"/>
    <w:multiLevelType w:val="hybridMultilevel"/>
    <w:lvl w:ilvl="0">
      <w:lvlJc w:val="left"/>
      <w:lvlText w:val="%1."/>
      <w:numFmt w:val="decimal"/>
      <w:start w:val="13"/>
    </w:lvl>
  </w:abstractNum>
  <w:abstractNum w:abstractNumId="22">
    <w:nsid w:val="54E49EB4"/>
    <w:multiLevelType w:val="hybridMultilevel"/>
    <w:lvl w:ilvl="0">
      <w:lvlJc w:val="left"/>
      <w:lvlText w:val="%1."/>
      <w:numFmt w:val="decimal"/>
      <w:start w:val="14"/>
    </w:lvl>
  </w:abstractNum>
  <w:abstractNum w:abstractNumId="23">
    <w:nsid w:val="71F32454"/>
    <w:multiLevelType w:val="hybridMultilevel"/>
    <w:lvl w:ilvl="0">
      <w:lvlJc w:val="left"/>
      <w:lvlText w:val="%1."/>
      <w:numFmt w:val="decimal"/>
      <w:start w:val="16"/>
    </w:lvl>
  </w:abstractNum>
  <w:abstractNum w:abstractNumId="24">
    <w:nsid w:val="2CA88611"/>
    <w:multiLevelType w:val="hybridMultilevel"/>
    <w:lvl w:ilvl="0">
      <w:lvlJc w:val="left"/>
      <w:lvlText w:val="%1."/>
      <w:numFmt w:val="decimal"/>
      <w:start w:val="22"/>
    </w:lvl>
  </w:abstractNum>
  <w:abstractNum w:abstractNumId="25">
    <w:nsid w:val="836C40E"/>
    <w:multiLevelType w:val="hybridMultilevel"/>
    <w:lvl w:ilvl="0">
      <w:lvlJc w:val="left"/>
      <w:lvlText w:val="%1."/>
      <w:numFmt w:val="decimal"/>
      <w:start w:val="24"/>
    </w:lvl>
  </w:abstractNum>
  <w:abstractNum w:abstractNumId="26">
    <w:nsid w:val="2901D82"/>
    <w:multiLevelType w:val="hybridMultilevel"/>
    <w:lvl w:ilvl="0">
      <w:lvlJc w:val="left"/>
      <w:lvlText w:val="(%1)"/>
      <w:numFmt w:val="lowerLetter"/>
      <w:start w:val="1"/>
    </w:lvl>
  </w:abstractNum>
  <w:abstractNum w:abstractNumId="27">
    <w:nsid w:val="3A95F874"/>
    <w:multiLevelType w:val="hybridMultilevel"/>
    <w:lvl w:ilvl="0">
      <w:lvlJc w:val="left"/>
      <w:lvlText w:val="(%1)"/>
      <w:numFmt w:val="lowerLetter"/>
      <w:start w:val="1"/>
    </w:lvl>
  </w:abstractNum>
  <w:abstractNum w:abstractNumId="28">
    <w:nsid w:val="8138641"/>
    <w:multiLevelType w:val="hybridMultilevel"/>
    <w:lvl w:ilvl="0">
      <w:lvlJc w:val="left"/>
      <w:lvlText w:val="(%1)"/>
      <w:numFmt w:val="lowerLetter"/>
      <w:start w:val="3"/>
    </w:lvl>
  </w:abstractNum>
  <w:abstractNum w:abstractNumId="29">
    <w:nsid w:val="1E7FF521"/>
    <w:multiLevelType w:val="hybridMultilevel"/>
    <w:lvl w:ilvl="0">
      <w:lvlJc w:val="left"/>
      <w:lvlText w:val="(%1)"/>
      <w:numFmt w:val="lowerLetter"/>
      <w:start w:val="27"/>
    </w:lvl>
  </w:abstractNum>
  <w:abstractNum w:abstractNumId="30">
    <w:nsid w:val="7C3DBD3D"/>
    <w:multiLevelType w:val="hybridMultilevel"/>
    <w:lvl w:ilvl="0">
      <w:lvlJc w:val="left"/>
      <w:lvlText w:val="(%1)"/>
      <w:numFmt w:val="lowerLetter"/>
      <w:start w:val="3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3" Type="http://schemas.openxmlformats.org/officeDocument/2006/relationships/hyperlink" Target="https://www.sec.gov/Archives/edgar/data/1384101/000138410125000051/vcyt-2025042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2025-06-18T15:52:10Z</dcterms:created>
  <dcterms:modified xsi:type="dcterms:W3CDTF">2025-06-18T15:52:10Z</dcterms:modified>
</cp:coreProperties>
</file>