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25, 2015</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tcPr>
          <w:p>
            <w:pPr>
              <w:jc w:val="center"/>
              <w:ind w:left="1550"/>
              <w:spacing w:after="0"/>
              <w:rPr>
                <w:sz w:val="20"/>
                <w:szCs w:val="20"/>
                <w:color w:val="auto"/>
              </w:rPr>
            </w:pPr>
            <w:r>
              <w:rPr>
                <w:rFonts w:ascii="Arial" w:cs="Arial" w:eastAsia="Arial" w:hAnsi="Arial"/>
                <w:sz w:val="18"/>
                <w:szCs w:val="18"/>
                <w:b w:val="1"/>
                <w:bCs w:val="1"/>
                <w:color w:val="auto"/>
                <w:w w:val="90"/>
              </w:rPr>
              <w:t>001-36156</w:t>
            </w:r>
          </w:p>
        </w:tc>
        <w:tc>
          <w:tcPr>
            <w:tcW w:w="326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4180" w:type="dxa"/>
            <w:vAlign w:val="bottom"/>
          </w:tcPr>
          <w:p>
            <w:pPr>
              <w:jc w:val="center"/>
              <w:ind w:left="1550"/>
              <w:spacing w:after="0"/>
              <w:rPr>
                <w:sz w:val="20"/>
                <w:szCs w:val="20"/>
                <w:color w:val="auto"/>
              </w:rPr>
            </w:pPr>
            <w:r>
              <w:rPr>
                <w:rFonts w:ascii="Arial" w:cs="Arial" w:eastAsia="Arial" w:hAnsi="Arial"/>
                <w:sz w:val="18"/>
                <w:szCs w:val="18"/>
                <w:color w:val="auto"/>
                <w:w w:val="93"/>
              </w:rPr>
              <w:t>(Commission</w:t>
            </w:r>
          </w:p>
        </w:tc>
        <w:tc>
          <w:tcPr>
            <w:tcW w:w="3260" w:type="dxa"/>
            <w:vAlign w:val="bottom"/>
          </w:tcPr>
          <w:p>
            <w:pPr>
              <w:jc w:val="center"/>
              <w:ind w:left="1830"/>
              <w:spacing w:after="0"/>
              <w:rPr>
                <w:sz w:val="20"/>
                <w:szCs w:val="20"/>
                <w:color w:val="auto"/>
              </w:rPr>
            </w:pPr>
            <w:r>
              <w:rPr>
                <w:rFonts w:ascii="Arial" w:cs="Arial" w:eastAsia="Arial" w:hAnsi="Arial"/>
                <w:sz w:val="18"/>
                <w:szCs w:val="18"/>
                <w:color w:val="auto"/>
                <w:w w:val="93"/>
              </w:rPr>
              <w:t>(IRS Employer</w:t>
            </w:r>
          </w:p>
        </w:tc>
      </w:tr>
      <w:tr>
        <w:trPr>
          <w:trHeight w:val="230"/>
        </w:trPr>
        <w:tc>
          <w:tcPr>
            <w:tcW w:w="192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4180" w:type="dxa"/>
            <w:vAlign w:val="bottom"/>
          </w:tcPr>
          <w:p>
            <w:pPr>
              <w:jc w:val="center"/>
              <w:ind w:left="1550"/>
              <w:spacing w:after="0"/>
              <w:rPr>
                <w:sz w:val="20"/>
                <w:szCs w:val="20"/>
                <w:color w:val="auto"/>
              </w:rPr>
            </w:pPr>
            <w:r>
              <w:rPr>
                <w:rFonts w:ascii="Arial" w:cs="Arial" w:eastAsia="Arial" w:hAnsi="Arial"/>
                <w:sz w:val="18"/>
                <w:szCs w:val="18"/>
                <w:color w:val="auto"/>
                <w:w w:val="94"/>
              </w:rPr>
              <w:t>File Number)</w:t>
            </w:r>
          </w:p>
        </w:tc>
        <w:tc>
          <w:tcPr>
            <w:tcW w:w="3260" w:type="dxa"/>
            <w:vAlign w:val="bottom"/>
          </w:tcPr>
          <w:p>
            <w:pPr>
              <w:jc w:val="center"/>
              <w:ind w:left="18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20" w:type="dxa"/>
            <w:vAlign w:val="bottom"/>
          </w:tcPr>
          <w:p>
            <w:pPr>
              <w:spacing w:after="0"/>
              <w:rPr>
                <w:sz w:val="24"/>
                <w:szCs w:val="24"/>
                <w:color w:val="auto"/>
              </w:rPr>
            </w:pPr>
          </w:p>
        </w:tc>
        <w:tc>
          <w:tcPr>
            <w:tcW w:w="7440" w:type="dxa"/>
            <w:vAlign w:val="bottom"/>
            <w:gridSpan w:val="2"/>
          </w:tcPr>
          <w:p>
            <w:pPr>
              <w:jc w:val="center"/>
              <w:ind w:right="1550"/>
              <w:spacing w:after="0"/>
              <w:rPr>
                <w:sz w:val="20"/>
                <w:szCs w:val="20"/>
                <w:color w:val="auto"/>
              </w:rPr>
            </w:pPr>
            <w:r>
              <w:rPr>
                <w:rFonts w:ascii="Arial" w:cs="Arial" w:eastAsia="Arial" w:hAnsi="Arial"/>
                <w:sz w:val="18"/>
                <w:szCs w:val="18"/>
                <w:b w:val="1"/>
                <w:bCs w:val="1"/>
                <w:color w:val="auto"/>
                <w:w w:val="90"/>
              </w:rPr>
              <w:t>7000 Shoreline Court, Suite 250, South San Francisco, California  94080</w:t>
            </w:r>
          </w:p>
        </w:tc>
      </w:tr>
      <w:tr>
        <w:trPr>
          <w:trHeight w:val="230"/>
        </w:trPr>
        <w:tc>
          <w:tcPr>
            <w:tcW w:w="1920" w:type="dxa"/>
            <w:vAlign w:val="bottom"/>
          </w:tcPr>
          <w:p>
            <w:pPr>
              <w:spacing w:after="0"/>
              <w:rPr>
                <w:sz w:val="20"/>
                <w:szCs w:val="20"/>
                <w:color w:val="auto"/>
              </w:rPr>
            </w:pPr>
          </w:p>
        </w:tc>
        <w:tc>
          <w:tcPr>
            <w:tcW w:w="4180" w:type="dxa"/>
            <w:vAlign w:val="bottom"/>
          </w:tcPr>
          <w:p>
            <w:pPr>
              <w:ind w:left="40"/>
              <w:spacing w:after="0"/>
              <w:rPr>
                <w:sz w:val="20"/>
                <w:szCs w:val="20"/>
                <w:color w:val="auto"/>
              </w:rPr>
            </w:pPr>
            <w:r>
              <w:rPr>
                <w:rFonts w:ascii="Arial" w:cs="Arial" w:eastAsia="Arial" w:hAnsi="Arial"/>
                <w:sz w:val="18"/>
                <w:szCs w:val="18"/>
                <w:color w:val="auto"/>
              </w:rPr>
              <w:t>(Address of principal executive offices)</w:t>
            </w:r>
          </w:p>
        </w:tc>
        <w:tc>
          <w:tcPr>
            <w:tcW w:w="3260" w:type="dxa"/>
            <w:vAlign w:val="bottom"/>
          </w:tcPr>
          <w:p>
            <w:pPr>
              <w:ind w:left="78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left="60"/>
        <w:spacing w:after="0"/>
        <w:rPr>
          <w:sz w:val="20"/>
          <w:szCs w:val="20"/>
          <w:color w:val="auto"/>
        </w:rPr>
      </w:pPr>
      <w:r>
        <w:rPr>
          <w:rFonts w:ascii="Arial" w:cs="Arial" w:eastAsia="Arial" w:hAnsi="Arial"/>
          <w:sz w:val="18"/>
          <w:szCs w:val="18"/>
          <w:color w:val="auto"/>
        </w:rPr>
        <w: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2015 Bonus Plan and Bonus Plan Targets</w:t>
      </w:r>
    </w:p>
    <w:p>
      <w:pPr>
        <w:spacing w:after="0" w:line="225"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On March 25, 2015, the independent members of the Board of Directors (the “Board”) of Veracyte, Inc. (the “Company”), on the recommendation of the Compensation Committee of the Board (the “Compensation Committee”), approved corporate goals for 2015 relating to a corporate bonus plan for the 2015 fiscal year. Under the plan, eligible executive officers and employees are eligible to receive annual incentive compensation if the Company achieves the corporate goals approved by the Board. Such bonuses may be paid in cash, fully vested stock options or restricted stock, or any combination thereof, at the discretion of the independent members of the Board. Actual awards under the plan could either exceed or be less than the targets established, as determined by the independent members of the Board in their discretion based on the recommendation of the Compensation Committee and based on corporate and individual performance.</w:t>
      </w:r>
    </w:p>
    <w:p>
      <w:pPr>
        <w:spacing w:after="0" w:line="189" w:lineRule="exact"/>
        <w:rPr>
          <w:sz w:val="24"/>
          <w:szCs w:val="24"/>
          <w:color w:val="auto"/>
        </w:rPr>
      </w:pPr>
    </w:p>
    <w:p>
      <w:pPr>
        <w:ind w:right="240"/>
        <w:spacing w:after="0" w:line="302" w:lineRule="auto"/>
        <w:rPr>
          <w:sz w:val="20"/>
          <w:szCs w:val="20"/>
          <w:color w:val="auto"/>
        </w:rPr>
      </w:pPr>
      <w:r>
        <w:rPr>
          <w:rFonts w:ascii="Arial" w:cs="Arial" w:eastAsia="Arial" w:hAnsi="Arial"/>
          <w:sz w:val="16"/>
          <w:szCs w:val="16"/>
          <w:color w:val="auto"/>
        </w:rPr>
        <w:t>Funding of the bonus pool for the plan is dependent upon achieving a minimum level of annual revenue, and achievement in excess of such minimum threshold can result in funding of the bonus pool up to a maximum level of 150%. The size of the bonus pool could be reduced to the extent that corporate performance goals are not achieved. These performance goals include commercial objectives, representing 60% of the overall objectives, financial objectives, representing 20% of the overall objectives, and product development objectives, representing 20% of the overall objectives.</w:t>
      </w:r>
    </w:p>
    <w:p>
      <w:pPr>
        <w:spacing w:after="0" w:line="15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On March 25, 2015, the independent members of the Board also approved, on the recommendation of the Compensation Committee, an increase in the bonus target under the 2015 corporate bonus plan for Shelly D. Guyer and Christopher M. Hall from 30% of base salary in 2014 to 40% of base salary in 2015.</w:t>
      </w:r>
    </w:p>
    <w:p>
      <w:pPr>
        <w:spacing w:after="0" w:line="12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As previously reported, on March 10, 2015, the independent members of the Board approved, on the recommendation of the Compensation Committee, a bonus target under the 2015 corporate bonus plan for Bonnie H. Anderson of 60% of her 2015 base salary.</w:t>
      </w:r>
    </w:p>
    <w:p>
      <w:pPr>
        <w:spacing w:after="0" w:line="17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60" w:firstLine="50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March 31, 2015</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80" w:type="dxa"/>
            <w:vAlign w:val="bottom"/>
          </w:tcPr>
          <w:p>
            <w:pPr>
              <w:ind w:left="57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80" w:type="dxa"/>
            <w:vAlign w:val="bottom"/>
          </w:tcPr>
          <w:p>
            <w:pPr>
              <w:ind w:left="57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8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2019-12-08T19:34:33Z</dcterms:created>
  <dcterms:modified xsi:type="dcterms:W3CDTF">2019-12-08T19:34:33Z</dcterms:modified>
</cp:coreProperties>
</file>