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10-Q/A</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2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96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233" w:right="379" w:bottom="24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320"/>
          </w:cols>
          <w:pgMar w:left="240" w:top="233" w:right="379" w:bottom="248" w:gutter="0" w:footer="0" w:header="0"/>
          <w:type w:val="continuous"/>
        </w:sectPr>
      </w:pP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250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80"/>
          </w:cols>
          <w:pgMar w:left="240" w:top="233" w:right="379" w:bottom="248" w:gutter="0" w:footer="0" w:header="0"/>
          <w:type w:val="continuous"/>
        </w:sectPr>
      </w:pP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8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20" w:firstLine="2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233" w:right="379" w:bottom="248"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320" w:space="720"/>
            <w:col w:w="3240"/>
          </w:cols>
          <w:pgMar w:left="240" w:top="233" w:right="379" w:bottom="248" w:gutter="0" w:footer="0" w:header="0"/>
          <w:type w:val="continuous"/>
        </w:sectPr>
      </w:pPr>
    </w:p>
    <w:p>
      <w:pPr>
        <w:spacing w:after="0" w:line="48" w:lineRule="exact"/>
        <w:rPr>
          <w:sz w:val="24"/>
          <w:szCs w:val="24"/>
          <w:color w:val="auto"/>
        </w:rPr>
      </w:pPr>
    </w:p>
    <w:p>
      <w:pPr>
        <w:jc w:val="center"/>
        <w:ind w:right="132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940" w:space="720"/>
            <w:col w:w="3620"/>
          </w:cols>
          <w:pgMar w:left="240" w:top="233" w:right="379" w:bottom="248" w:gutter="0" w:footer="0" w:header="0"/>
          <w:type w:val="continuous"/>
        </w:sectPr>
      </w:pPr>
    </w:p>
    <w:p>
      <w:pPr>
        <w:spacing w:after="0" w:line="34"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As of August 3, 2015, there were 27,664,118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233" w:right="379" w:bottom="248" w:gutter="0" w:footer="0" w:header="0"/>
          <w:type w:val="continuous"/>
        </w:sectPr>
      </w:pPr>
    </w:p>
    <w:bookmarkStart w:id="1" w:name="page2"/>
    <w:bookmarkEnd w:id="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Veracyte, Inc. (“we”, “our” or the “Company”) is filing this Amendment No. 1 to its Quarterly Report on Form 10-Q for the quarterly period ended June 30, 2015 filed with the Securities and Exchange Commission on August 13, 2015 (the “Original Filing”). This Amendment is being filed solely to revise the Company’s filing status on the cover page hereof, to revise the disclosure in Part I, Item 4. Controls and Procedures — (a) Evaluation of Disclosure Controls and Procedures, and to include new certifications of the Chief Executive Officer and Chief Financial Officer, respectively, pursuant to Section 302 of the Sarbanes-Oxley Act of 2002.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described above, this Amendment No. 1 does not otherwise amend or update any exhibit to or disclosure set forth in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78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rPr>
              <w:t>VERACYTE, INC.</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78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rPr>
              <w:t>INDEX</w:t>
            </w:r>
          </w:p>
        </w:tc>
        <w:tc>
          <w:tcPr>
            <w:tcW w:w="0" w:type="dxa"/>
            <w:vAlign w:val="bottom"/>
          </w:tcPr>
          <w:p>
            <w:pPr>
              <w:spacing w:after="0"/>
              <w:rPr>
                <w:sz w:val="1"/>
                <w:szCs w:val="1"/>
                <w:color w:val="auto"/>
              </w:rPr>
            </w:pPr>
          </w:p>
        </w:tc>
      </w:tr>
      <w:tr>
        <w:trPr>
          <w:trHeight w:val="342"/>
        </w:trPr>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300" w:type="dxa"/>
            <w:vAlign w:val="bottom"/>
            <w:gridSpan w:val="7"/>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380" w:type="dxa"/>
            <w:vAlign w:val="bottom"/>
            <w:vMerge w:val="restart"/>
          </w:tcPr>
          <w:p>
            <w:pPr>
              <w:spacing w:after="0"/>
              <w:rPr>
                <w:sz w:val="14"/>
                <w:szCs w:val="14"/>
                <w:color w:val="auto"/>
              </w:rPr>
            </w:pPr>
          </w:p>
        </w:tc>
        <w:tc>
          <w:tcPr>
            <w:tcW w:w="672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0000EE"/>
            </w:tcBorders>
            <w:gridSpan w:val="7"/>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67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Item 4. Controls and Procedures</w:t>
              </w:r>
            </w:hyperlink>
          </w:p>
        </w:tc>
        <w:tc>
          <w:tcPr>
            <w:tcW w:w="1160" w:type="dxa"/>
            <w:vAlign w:val="bottom"/>
            <w:gridSpan w:val="3"/>
          </w:tcPr>
          <w:p>
            <w:pPr>
              <w:spacing w:after="0"/>
              <w:rPr>
                <w:sz w:val="17"/>
                <w:szCs w:val="17"/>
                <w:color w:val="auto"/>
              </w:rPr>
            </w:pPr>
          </w:p>
        </w:tc>
        <w:tc>
          <w:tcPr>
            <w:tcW w:w="77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II. — OTHER INFORMATION</w:t>
              </w:r>
            </w:hyperlink>
          </w:p>
        </w:tc>
        <w:tc>
          <w:tcPr>
            <w:tcW w:w="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00" w:type="dxa"/>
            <w:vAlign w:val="bottom"/>
            <w:gridSpan w:val="7"/>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6. Exhibits</w:t>
              </w:r>
            </w:hyperlink>
          </w:p>
        </w:tc>
        <w:tc>
          <w:tcPr>
            <w:tcW w:w="77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SIGNATURES</w:t>
              </w:r>
            </w:hyperlink>
          </w:p>
        </w:tc>
        <w:tc>
          <w:tcPr>
            <w:tcW w:w="77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EXHIBIT INDEX</w:t>
              </w:r>
            </w:hyperlink>
          </w:p>
        </w:tc>
        <w:tc>
          <w:tcPr>
            <w:tcW w:w="77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80" w:type="dxa"/>
            <w:vAlign w:val="bottom"/>
            <w:gridSpan w:val="3"/>
          </w:tcPr>
          <w:p>
            <w:pPr>
              <w:jc w:val="center"/>
              <w:ind w:right="37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7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68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8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rPr>
              <w:t>PART I. — FINANCIAL INFORMATION</w:t>
            </w:r>
          </w:p>
        </w:tc>
        <w:tc>
          <w:tcPr>
            <w:tcW w:w="0" w:type="dxa"/>
            <w:vAlign w:val="bottom"/>
          </w:tcPr>
          <w:p>
            <w:pPr>
              <w:spacing w:after="0"/>
              <w:rPr>
                <w:sz w:val="1"/>
                <w:szCs w:val="1"/>
                <w:color w:val="auto"/>
              </w:rPr>
            </w:pPr>
          </w:p>
        </w:tc>
      </w:tr>
      <w:tr>
        <w:trPr>
          <w:trHeight w:val="432"/>
        </w:trPr>
        <w:tc>
          <w:tcPr>
            <w:tcW w:w="3680" w:type="dxa"/>
            <w:vAlign w:val="bottom"/>
            <w:gridSpan w:val="8"/>
          </w:tcPr>
          <w:p>
            <w:pPr>
              <w:spacing w:after="0"/>
              <w:rPr>
                <w:sz w:val="20"/>
                <w:szCs w:val="20"/>
                <w:color w:val="auto"/>
              </w:rPr>
            </w:pPr>
            <w:r>
              <w:rPr>
                <w:rFonts w:ascii="Arial" w:cs="Arial" w:eastAsia="Arial" w:hAnsi="Arial"/>
                <w:sz w:val="18"/>
                <w:szCs w:val="18"/>
                <w:b w:val="1"/>
                <w:bCs w:val="1"/>
                <w:color w:val="auto"/>
              </w:rPr>
              <w:t>Item 4.  Controls and Procedures</w:t>
            </w:r>
          </w:p>
        </w:tc>
        <w:tc>
          <w:tcPr>
            <w:tcW w:w="6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 After that evaluation, we subsequently determined that we were an accelerated filer as of December 31, 2014 and that, as a result, our Quarterly Report on Form 10-Q was filed late. Our Chief Executive Officer and Chief Financial Officer have re-evaluated the effectiveness of our disclosure controls and procedures as of the end of the period covered by this report. Based upon that re-evaluation, our Chief Executive Officer and Chief Financial Officer have concluded that our disclosure controls and procedures were not effective to provide reasonable assurance that our Quarterly Report on Form 10-Q would be filed within the period specified in the SEC rules and forms, in particular those relating to our filing status and related deadlines. We have made refinements to the process by which we assess our filing status and the related filing deadlines for our Forms 10-K and 10-Q, and communicate such status and filing deadlines to the persons responsible for preparation of such Forms. Our Chief Executive Officer and Chief Financial Officer have concluded that our disclosure controls and procedures were effective at the reasonable assurance level as of the date of this Quarterly Report on Form 10-Q/A.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June 30, 2015 that have materially affected, or are reasonably likely to materially affect, our internal control over financial reporting.</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ectPr>
          <w:pgSz w:w="11900" w:h="16838" w:orient="portrait"/>
          <w:cols w:equalWidth="0" w:num="1">
            <w:col w:w="11460"/>
          </w:cols>
          <w:pgMar w:left="240" w:top="517" w:right="199" w:bottom="0" w:gutter="0" w:footer="0" w:header="0"/>
        </w:sectPr>
      </w:pPr>
    </w:p>
    <w:bookmarkStart w:id="2" w:name="page3"/>
    <w:bookmarkEnd w:id="2"/>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Veracyte, Inc. Employee Stock Purchase Plan</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Office Building Lease By and Between American Fund US Investments L.P. and the Registrant dated April 29, 2015.</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compensating plan or arrangement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Filed (furnished, with respect to Exhibits 32.1 and 32.2) with the Original Filing.</w:t>
      </w:r>
    </w:p>
    <w:p>
      <w:pPr>
        <w:spacing w:after="0" w:line="225" w:lineRule="exact"/>
        <w:rPr>
          <w:sz w:val="20"/>
          <w:szCs w:val="20"/>
          <w:color w:val="auto"/>
        </w:rPr>
      </w:pPr>
    </w:p>
    <w:p>
      <w:pPr>
        <w:ind w:right="100" w:firstLine="8"/>
        <w:spacing w:after="0" w:line="259"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25,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2"/>
          </w:tcPr>
          <w:p>
            <w:pPr>
              <w:ind w:left="432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
          </w:tcPr>
          <w:p>
            <w:pPr>
              <w:ind w:left="4320"/>
              <w:spacing w:after="0"/>
              <w:rPr>
                <w:sz w:val="20"/>
                <w:szCs w:val="20"/>
                <w:color w:val="auto"/>
              </w:rPr>
            </w:pPr>
            <w:r>
              <w:rPr>
                <w:rFonts w:ascii="Arial" w:cs="Arial" w:eastAsia="Arial" w:hAnsi="Arial"/>
                <w:sz w:val="18"/>
                <w:szCs w:val="18"/>
                <w:color w:val="auto"/>
              </w:rPr>
              <w:t>By:   /s/ Shelly D. Guyer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gridSpan w:val="2"/>
          </w:tcPr>
          <w:p>
            <w:pPr>
              <w:ind w:left="4280"/>
              <w:spacing w:after="0"/>
              <w:rPr>
                <w:sz w:val="20"/>
                <w:szCs w:val="20"/>
                <w:color w:val="auto"/>
              </w:rPr>
            </w:pPr>
            <w:r>
              <w:rPr>
                <w:rFonts w:ascii="Arial" w:cs="Arial" w:eastAsia="Arial" w:hAnsi="Arial"/>
                <w:sz w:val="18"/>
                <w:szCs w:val="18"/>
                <w:color w:val="auto"/>
              </w:rPr>
              <w:t>3</w:t>
            </w: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9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Veracyte, Inc. Employee Stock Purchase Plan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Office Building Lease By and Between American Fund US Investments L.P. and the Registrant dated April 29, 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-2368550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compensating plan or arrangement.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Filed (furnished, with respect to Exhibits 32.1 and 32.2) with the Original Filing.</w:t>
      </w:r>
    </w:p>
    <w:p>
      <w:pPr>
        <w:spacing w:after="0" w:line="225" w:lineRule="exact"/>
        <w:rPr>
          <w:sz w:val="20"/>
          <w:szCs w:val="20"/>
          <w:color w:val="auto"/>
        </w:rPr>
      </w:pPr>
    </w:p>
    <w:p>
      <w:pPr>
        <w:ind w:right="100" w:firstLine="8"/>
        <w:spacing w:after="0" w:line="259"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ectPr>
          <w:pgSz w:w="11900" w:h="16876" w:orient="portrait"/>
          <w:cols w:equalWidth="0" w:num="1">
            <w:col w:w="11460"/>
          </w:cols>
          <w:pgMar w:left="240" w:top="121" w:right="199" w:bottom="0" w:gutter="0" w:footer="0" w:header="0"/>
        </w:sectPr>
      </w:pP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ectPr>
          <w:pgSz w:w="11900" w:h="16876" w:orient="portrait"/>
          <w:cols w:equalWidth="0" w:num="1">
            <w:col w:w="11460"/>
          </w:cols>
          <w:pgMar w:left="240" w:top="121" w:right="199" w:bottom="0" w:gutter="0" w:footer="0" w:header="0"/>
          <w:type w:val="continuous"/>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Amendment No. 1 Quarterly Report on Form 10-Q/A of Veracyte,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25, 2015</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Bonnie H. Anderson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559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Amendment No. 1 to Quarterly Report on Form 10-Q/A of Veracyte,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25, 2015</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Shelly D. Guyer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559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2019-12-29T14:21:04Z</dcterms:created>
  <dcterms:modified xsi:type="dcterms:W3CDTF">2019-12-29T14:21:04Z</dcterms:modified>
</cp:coreProperties>
</file>