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59690</wp:posOffset>
            </wp:positionH>
            <wp:positionV relativeFrom="page">
              <wp:posOffset>621030</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page">
              <wp:posOffset>59690</wp:posOffset>
            </wp:positionH>
            <wp:positionV relativeFrom="page">
              <wp:posOffset>711835</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FORM 8-K</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Pursuant to Section 13 or 15(d) of the Securities Exchange Act of 1934</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Report (Date of earliest event reported): February 21, 2019</w:t>
      </w: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VERACYTE,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120" w:type="dxa"/>
        <w:tblCellMar>
          <w:top w:w="0" w:type="dxa"/>
          <w:left w:w="0" w:type="dxa"/>
          <w:bottom w:w="0" w:type="dxa"/>
          <w:right w:w="0" w:type="dxa"/>
        </w:tblCellMar>
      </w:tblPr>
      <w:tr>
        <w:trPr>
          <w:trHeight w:val="247"/>
        </w:trPr>
        <w:tc>
          <w:tcPr>
            <w:tcW w:w="4620" w:type="dxa"/>
            <w:vAlign w:val="bottom"/>
          </w:tcPr>
          <w:p>
            <w:pPr>
              <w:jc w:val="center"/>
              <w:ind w:right="965"/>
              <w:spacing w:after="0"/>
              <w:rPr>
                <w:sz w:val="20"/>
                <w:szCs w:val="20"/>
                <w:color w:val="auto"/>
              </w:rPr>
            </w:pPr>
            <w:r>
              <w:rPr>
                <w:rFonts w:ascii="Arial" w:cs="Arial" w:eastAsia="Arial" w:hAnsi="Arial"/>
                <w:sz w:val="19"/>
                <w:szCs w:val="19"/>
                <w:b w:val="1"/>
                <w:bCs w:val="1"/>
                <w:color w:val="auto"/>
                <w:w w:val="98"/>
              </w:rPr>
              <w:t>DELAWARE</w:t>
            </w:r>
          </w:p>
        </w:tc>
        <w:tc>
          <w:tcPr>
            <w:tcW w:w="3160" w:type="dxa"/>
            <w:vAlign w:val="bottom"/>
          </w:tcPr>
          <w:p>
            <w:pPr>
              <w:jc w:val="right"/>
              <w:ind w:right="1445"/>
              <w:spacing w:after="0"/>
              <w:rPr>
                <w:sz w:val="20"/>
                <w:szCs w:val="20"/>
                <w:color w:val="auto"/>
              </w:rPr>
            </w:pPr>
            <w:r>
              <w:rPr>
                <w:rFonts w:ascii="Arial" w:cs="Arial" w:eastAsia="Arial" w:hAnsi="Arial"/>
                <w:sz w:val="19"/>
                <w:szCs w:val="19"/>
                <w:b w:val="1"/>
                <w:bCs w:val="1"/>
                <w:color w:val="auto"/>
              </w:rPr>
              <w:t>001-36156</w:t>
            </w:r>
          </w:p>
        </w:tc>
        <w:tc>
          <w:tcPr>
            <w:tcW w:w="3200" w:type="dxa"/>
            <w:vAlign w:val="bottom"/>
          </w:tcPr>
          <w:p>
            <w:pPr>
              <w:jc w:val="center"/>
              <w:ind w:left="865"/>
              <w:spacing w:after="0"/>
              <w:rPr>
                <w:sz w:val="20"/>
                <w:szCs w:val="20"/>
                <w:color w:val="auto"/>
              </w:rPr>
            </w:pPr>
            <w:r>
              <w:rPr>
                <w:rFonts w:ascii="Arial" w:cs="Arial" w:eastAsia="Arial" w:hAnsi="Arial"/>
                <w:sz w:val="19"/>
                <w:szCs w:val="19"/>
                <w:b w:val="1"/>
                <w:bCs w:val="1"/>
                <w:color w:val="auto"/>
                <w:w w:val="90"/>
              </w:rPr>
              <w:t>20-5455398</w:t>
            </w:r>
          </w:p>
        </w:tc>
      </w:tr>
      <w:tr>
        <w:trPr>
          <w:trHeight w:val="329"/>
        </w:trPr>
        <w:tc>
          <w:tcPr>
            <w:tcW w:w="4620" w:type="dxa"/>
            <w:vAlign w:val="bottom"/>
          </w:tcPr>
          <w:p>
            <w:pPr>
              <w:jc w:val="center"/>
              <w:ind w:right="965"/>
              <w:spacing w:after="0"/>
              <w:rPr>
                <w:sz w:val="20"/>
                <w:szCs w:val="20"/>
                <w:color w:val="auto"/>
              </w:rPr>
            </w:pPr>
            <w:r>
              <w:rPr>
                <w:rFonts w:ascii="Arial" w:cs="Arial" w:eastAsia="Arial" w:hAnsi="Arial"/>
                <w:sz w:val="19"/>
                <w:szCs w:val="19"/>
                <w:color w:val="auto"/>
                <w:w w:val="92"/>
              </w:rPr>
              <w:t>(State or other jurisdiction of</w:t>
            </w:r>
          </w:p>
        </w:tc>
        <w:tc>
          <w:tcPr>
            <w:tcW w:w="3160" w:type="dxa"/>
            <w:vAlign w:val="bottom"/>
          </w:tcPr>
          <w:p>
            <w:pPr>
              <w:jc w:val="center"/>
              <w:ind w:right="645"/>
              <w:spacing w:after="0"/>
              <w:rPr>
                <w:sz w:val="20"/>
                <w:szCs w:val="20"/>
                <w:color w:val="auto"/>
              </w:rPr>
            </w:pPr>
            <w:r>
              <w:rPr>
                <w:rFonts w:ascii="Arial" w:cs="Arial" w:eastAsia="Arial" w:hAnsi="Arial"/>
                <w:sz w:val="19"/>
                <w:szCs w:val="19"/>
                <w:color w:val="auto"/>
                <w:w w:val="92"/>
              </w:rPr>
              <w:t>Commission File Number</w:t>
            </w:r>
          </w:p>
        </w:tc>
        <w:tc>
          <w:tcPr>
            <w:tcW w:w="3200" w:type="dxa"/>
            <w:vAlign w:val="bottom"/>
          </w:tcPr>
          <w:p>
            <w:pPr>
              <w:jc w:val="center"/>
              <w:ind w:left="865"/>
              <w:spacing w:after="0"/>
              <w:rPr>
                <w:sz w:val="20"/>
                <w:szCs w:val="20"/>
                <w:color w:val="auto"/>
              </w:rPr>
            </w:pPr>
            <w:r>
              <w:rPr>
                <w:rFonts w:ascii="Arial" w:cs="Arial" w:eastAsia="Arial" w:hAnsi="Arial"/>
                <w:sz w:val="19"/>
                <w:szCs w:val="19"/>
                <w:color w:val="auto"/>
                <w:w w:val="95"/>
              </w:rPr>
              <w:t>(IRS Employer Identification</w:t>
            </w:r>
          </w:p>
        </w:tc>
      </w:tr>
      <w:tr>
        <w:trPr>
          <w:trHeight w:val="241"/>
        </w:trPr>
        <w:tc>
          <w:tcPr>
            <w:tcW w:w="4620" w:type="dxa"/>
            <w:vAlign w:val="bottom"/>
          </w:tcPr>
          <w:p>
            <w:pPr>
              <w:jc w:val="center"/>
              <w:ind w:right="965"/>
              <w:spacing w:after="0"/>
              <w:rPr>
                <w:sz w:val="20"/>
                <w:szCs w:val="20"/>
                <w:color w:val="auto"/>
              </w:rPr>
            </w:pPr>
            <w:r>
              <w:rPr>
                <w:rFonts w:ascii="Arial" w:cs="Arial" w:eastAsia="Arial" w:hAnsi="Arial"/>
                <w:sz w:val="19"/>
                <w:szCs w:val="19"/>
                <w:color w:val="auto"/>
                <w:w w:val="92"/>
              </w:rPr>
              <w:t>incorporation)</w:t>
            </w:r>
          </w:p>
        </w:tc>
        <w:tc>
          <w:tcPr>
            <w:tcW w:w="3160" w:type="dxa"/>
            <w:vAlign w:val="bottom"/>
          </w:tcPr>
          <w:p>
            <w:pPr>
              <w:spacing w:after="0"/>
              <w:rPr>
                <w:sz w:val="20"/>
                <w:szCs w:val="20"/>
                <w:color w:val="auto"/>
              </w:rPr>
            </w:pPr>
          </w:p>
        </w:tc>
        <w:tc>
          <w:tcPr>
            <w:tcW w:w="3200" w:type="dxa"/>
            <w:vAlign w:val="bottom"/>
          </w:tcPr>
          <w:p>
            <w:pPr>
              <w:jc w:val="center"/>
              <w:ind w:left="885"/>
              <w:spacing w:after="0"/>
              <w:rPr>
                <w:sz w:val="20"/>
                <w:szCs w:val="20"/>
                <w:color w:val="auto"/>
              </w:rPr>
            </w:pPr>
            <w:r>
              <w:rPr>
                <w:rFonts w:ascii="Arial" w:cs="Arial" w:eastAsia="Arial" w:hAnsi="Arial"/>
                <w:sz w:val="19"/>
                <w:szCs w:val="19"/>
                <w:color w:val="auto"/>
                <w:w w:val="94"/>
              </w:rPr>
              <w:t>No.)</w:t>
            </w:r>
          </w:p>
        </w:tc>
      </w:tr>
      <w:tr>
        <w:trPr>
          <w:trHeight w:val="851"/>
        </w:trPr>
        <w:tc>
          <w:tcPr>
            <w:tcW w:w="4620" w:type="dxa"/>
            <w:vAlign w:val="bottom"/>
          </w:tcPr>
          <w:p>
            <w:pPr>
              <w:jc w:val="center"/>
              <w:ind w:right="145"/>
              <w:spacing w:after="0"/>
              <w:rPr>
                <w:sz w:val="20"/>
                <w:szCs w:val="20"/>
                <w:color w:val="auto"/>
              </w:rPr>
            </w:pPr>
            <w:r>
              <w:rPr>
                <w:rFonts w:ascii="Arial" w:cs="Arial" w:eastAsia="Arial" w:hAnsi="Arial"/>
                <w:sz w:val="19"/>
                <w:szCs w:val="19"/>
                <w:b w:val="1"/>
                <w:bCs w:val="1"/>
                <w:color w:val="auto"/>
                <w:w w:val="89"/>
              </w:rPr>
              <w:t>6000 Shoreline Court, Suite 300, South San Francisco,</w:t>
            </w:r>
          </w:p>
        </w:tc>
        <w:tc>
          <w:tcPr>
            <w:tcW w:w="3160" w:type="dxa"/>
            <w:vAlign w:val="bottom"/>
          </w:tcPr>
          <w:p>
            <w:pPr>
              <w:spacing w:after="0"/>
              <w:rPr>
                <w:sz w:val="24"/>
                <w:szCs w:val="24"/>
                <w:color w:val="auto"/>
              </w:rPr>
            </w:pPr>
          </w:p>
        </w:tc>
        <w:tc>
          <w:tcPr>
            <w:tcW w:w="3200" w:type="dxa"/>
            <w:vAlign w:val="bottom"/>
          </w:tcPr>
          <w:p>
            <w:pPr>
              <w:jc w:val="right"/>
              <w:ind w:right="1225"/>
              <w:spacing w:after="0"/>
              <w:rPr>
                <w:sz w:val="20"/>
                <w:szCs w:val="20"/>
                <w:color w:val="auto"/>
              </w:rPr>
            </w:pPr>
            <w:r>
              <w:rPr>
                <w:rFonts w:ascii="Arial" w:cs="Arial" w:eastAsia="Arial" w:hAnsi="Arial"/>
                <w:sz w:val="19"/>
                <w:szCs w:val="19"/>
                <w:b w:val="1"/>
                <w:bCs w:val="1"/>
                <w:color w:val="auto"/>
              </w:rPr>
              <w:t>94080</w:t>
            </w:r>
          </w:p>
        </w:tc>
      </w:tr>
      <w:tr>
        <w:trPr>
          <w:trHeight w:val="247"/>
        </w:trPr>
        <w:tc>
          <w:tcPr>
            <w:tcW w:w="4620" w:type="dxa"/>
            <w:vAlign w:val="bottom"/>
          </w:tcPr>
          <w:p>
            <w:pPr>
              <w:jc w:val="center"/>
              <w:ind w:right="125"/>
              <w:spacing w:after="0"/>
              <w:rPr>
                <w:sz w:val="20"/>
                <w:szCs w:val="20"/>
                <w:color w:val="auto"/>
              </w:rPr>
            </w:pPr>
            <w:r>
              <w:rPr>
                <w:rFonts w:ascii="Arial" w:cs="Arial" w:eastAsia="Arial" w:hAnsi="Arial"/>
                <w:sz w:val="19"/>
                <w:szCs w:val="19"/>
                <w:b w:val="1"/>
                <w:bCs w:val="1"/>
                <w:color w:val="auto"/>
                <w:w w:val="95"/>
              </w:rPr>
              <w:t>California</w:t>
            </w:r>
          </w:p>
        </w:tc>
        <w:tc>
          <w:tcPr>
            <w:tcW w:w="316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314"/>
        </w:trPr>
        <w:tc>
          <w:tcPr>
            <w:tcW w:w="4620" w:type="dxa"/>
            <w:vAlign w:val="bottom"/>
          </w:tcPr>
          <w:p>
            <w:pPr>
              <w:jc w:val="center"/>
              <w:ind w:right="145"/>
              <w:spacing w:after="0"/>
              <w:rPr>
                <w:sz w:val="20"/>
                <w:szCs w:val="20"/>
                <w:color w:val="auto"/>
              </w:rPr>
            </w:pPr>
            <w:r>
              <w:rPr>
                <w:rFonts w:ascii="Arial" w:cs="Arial" w:eastAsia="Arial" w:hAnsi="Arial"/>
                <w:sz w:val="19"/>
                <w:szCs w:val="19"/>
                <w:color w:val="auto"/>
                <w:w w:val="92"/>
              </w:rPr>
              <w:t>(Address of principal executive offices)</w:t>
            </w:r>
          </w:p>
        </w:tc>
        <w:tc>
          <w:tcPr>
            <w:tcW w:w="316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9"/>
                <w:szCs w:val="19"/>
                <w:color w:val="auto"/>
                <w:w w:val="93"/>
              </w:rPr>
              <w:t>(Zip Code)</w:t>
            </w:r>
          </w:p>
        </w:tc>
      </w:tr>
    </w:tbl>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(650) 243-6300</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00" w:lineRule="exact"/>
        <w:rPr>
          <w:sz w:val="24"/>
          <w:szCs w:val="24"/>
          <w:color w:val="auto"/>
        </w:rPr>
      </w:pPr>
    </w:p>
    <w:p>
      <w:pPr>
        <w:spacing w:after="0" w:line="332" w:lineRule="exact"/>
        <w:rPr>
          <w:sz w:val="24"/>
          <w:szCs w:val="24"/>
          <w:color w:val="auto"/>
        </w:rPr>
      </w:pPr>
    </w:p>
    <w:p>
      <w:pPr>
        <w:ind w:left="60" w:right="400"/>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 w:lineRule="exact"/>
        <w:rPr>
          <w:sz w:val="24"/>
          <w:szCs w:val="24"/>
          <w:color w:val="auto"/>
        </w:rPr>
      </w:pPr>
    </w:p>
    <w:p>
      <w:pPr>
        <w:ind w:left="660" w:hanging="66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2" w:lineRule="exact"/>
        <w:rPr>
          <w:rFonts w:ascii="Arial" w:cs="Arial" w:eastAsia="Arial" w:hAnsi="Arial"/>
          <w:sz w:val="18"/>
          <w:szCs w:val="18"/>
          <w:color w:val="auto"/>
        </w:rPr>
      </w:pPr>
    </w:p>
    <w:p>
      <w:pPr>
        <w:ind w:left="660" w:hanging="66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2" w:lineRule="exact"/>
        <w:rPr>
          <w:rFonts w:ascii="Arial" w:cs="Arial" w:eastAsia="Arial" w:hAnsi="Arial"/>
          <w:sz w:val="18"/>
          <w:szCs w:val="18"/>
          <w:color w:val="auto"/>
        </w:rPr>
      </w:pPr>
    </w:p>
    <w:p>
      <w:pPr>
        <w:ind w:left="660" w:hanging="66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2" w:lineRule="exact"/>
        <w:rPr>
          <w:rFonts w:ascii="Arial" w:cs="Arial" w:eastAsia="Arial" w:hAnsi="Arial"/>
          <w:sz w:val="18"/>
          <w:szCs w:val="18"/>
          <w:color w:val="auto"/>
        </w:rPr>
      </w:pPr>
    </w:p>
    <w:p>
      <w:pPr>
        <w:ind w:left="660" w:hanging="66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9" w:lineRule="exact"/>
        <w:rPr>
          <w:sz w:val="24"/>
          <w:szCs w:val="24"/>
          <w:color w:val="auto"/>
        </w:rPr>
      </w:pPr>
    </w:p>
    <w:p>
      <w:pPr>
        <w:ind w:left="80" w:right="14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or Rule 12b-2 of the Securities Exchange Act of 1934.</w:t>
      </w:r>
    </w:p>
    <w:p>
      <w:pPr>
        <w:spacing w:after="0" w:line="70" w:lineRule="exact"/>
        <w:rPr>
          <w:sz w:val="24"/>
          <w:szCs w:val="24"/>
          <w:color w:val="auto"/>
        </w:rPr>
      </w:pPr>
    </w:p>
    <w:p>
      <w:pPr>
        <w:ind w:left="80"/>
        <w:spacing w:after="0"/>
        <w:rPr>
          <w:sz w:val="20"/>
          <w:szCs w:val="20"/>
          <w:color w:val="auto"/>
        </w:rPr>
      </w:pPr>
      <w:r>
        <w:rPr>
          <w:rFonts w:ascii="Arial" w:cs="Arial" w:eastAsia="Arial" w:hAnsi="Arial"/>
          <w:sz w:val="19"/>
          <w:szCs w:val="19"/>
          <w:color w:val="auto"/>
        </w:rPr>
        <w:t xml:space="preserve">Emerging growth company </w:t>
      </w:r>
      <w:r>
        <w:rPr>
          <w:rFonts w:ascii="Arial" w:cs="Arial" w:eastAsia="Arial" w:hAnsi="Arial"/>
          <w:sz w:val="18"/>
          <w:szCs w:val="18"/>
          <w:color w:val="auto"/>
        </w:rPr>
        <w:t>o</w:t>
      </w:r>
    </w:p>
    <w:p>
      <w:pPr>
        <w:spacing w:after="0" w:line="124" w:lineRule="exact"/>
        <w:rPr>
          <w:sz w:val="24"/>
          <w:szCs w:val="24"/>
          <w:color w:val="auto"/>
        </w:rPr>
      </w:pPr>
    </w:p>
    <w:p>
      <w:pPr>
        <w:ind w:left="80"/>
        <w:spacing w:after="0" w:line="275"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221615</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312420</wp:posOffset>
            </wp:positionV>
            <wp:extent cx="765048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780"/>
          </w:cols>
          <w:pgMar w:left="200" w:top="1440" w:right="260"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(b)</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Retirement of Christopher M. Hall</w:t>
      </w:r>
    </w:p>
    <w:p>
      <w:pPr>
        <w:spacing w:after="0" w:line="238"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On February 25, 2019, Veracyte, Inc. (the “Company”) announced that Christopher M. Hall, President and Chief Operating Officer, will be retiring from his positions at the Company on July 1, 2019.</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2019 Bonus Plan and Bonus Plan Targets</w:t>
      </w: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On February 21, 2019, the independent members of the Board, on the recommendation of the Compensation Committee, approved a corporate bonus plan for the 2019 fiscal year. Under the plan, eligible employees, including executive officers, are eligible to receive annual incentive compensation based on the level of achievement of specified corporate goals related to revenue, genomic test volume and product development. With respect to the Company’s executive officers, the bonus pool can be funded from 0% to 146% of target amounts. Actual awards under the plan could either exceed or be less than the targets established, as determined by the Compensation Committee and based on corporate and individual performance.</w:t>
      </w:r>
    </w:p>
    <w:p>
      <w:pPr>
        <w:spacing w:after="0" w:line="188" w:lineRule="exact"/>
        <w:rPr>
          <w:sz w:val="20"/>
          <w:szCs w:val="20"/>
          <w:color w:val="auto"/>
        </w:rPr>
      </w:pPr>
    </w:p>
    <w:p>
      <w:pPr>
        <w:jc w:val="both"/>
        <w:ind w:right="260"/>
        <w:spacing w:after="0" w:line="263" w:lineRule="auto"/>
        <w:rPr>
          <w:sz w:val="20"/>
          <w:szCs w:val="20"/>
          <w:color w:val="auto"/>
        </w:rPr>
      </w:pPr>
      <w:r>
        <w:rPr>
          <w:rFonts w:ascii="Arial" w:cs="Arial" w:eastAsia="Arial" w:hAnsi="Arial"/>
          <w:sz w:val="19"/>
          <w:szCs w:val="19"/>
          <w:color w:val="auto"/>
        </w:rPr>
        <w:t>The independent members of the Board also approved, on the recommendation of the Compensation Committee, bonus targets under the 2019 Bonus Plan for the following named executive officers, which are the following percentages of their 2019 base salaries: Bonnie H. Anderson – 100%; Christopher M. Hall – 60%; and Keith S. Kennedy – 55%.</w:t>
      </w:r>
    </w:p>
    <w:p>
      <w:pPr>
        <w:sectPr>
          <w:pgSz w:w="12240" w:h="15840" w:orient="portrait"/>
          <w:cols w:equalWidth="0" w:num="1">
            <w:col w:w="12000"/>
          </w:cols>
          <w:pgMar w:left="120" w:top="507" w:right="12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9"/>
          <w:szCs w:val="19"/>
          <w:b w:val="1"/>
          <w:bCs w:val="1"/>
          <w:color w:val="auto"/>
        </w:rPr>
        <w:t>SIGNATURE</w:t>
      </w:r>
    </w:p>
    <w:p>
      <w:pPr>
        <w:spacing w:after="0" w:line="358" w:lineRule="exact"/>
        <w:rPr>
          <w:sz w:val="20"/>
          <w:szCs w:val="20"/>
          <w:color w:val="auto"/>
        </w:rPr>
      </w:pPr>
    </w:p>
    <w:p>
      <w:pPr>
        <w:ind w:right="520" w:firstLine="528"/>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0"/>
        <w:spacing w:after="0"/>
        <w:tabs>
          <w:tab w:leader="none" w:pos="108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February 26, 2019</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VERACYTE, INC.</w:t>
      </w:r>
    </w:p>
    <w:p>
      <w:pPr>
        <w:spacing w:after="0" w:line="200" w:lineRule="exact"/>
        <w:rPr>
          <w:sz w:val="20"/>
          <w:szCs w:val="20"/>
          <w:color w:val="auto"/>
        </w:rPr>
      </w:pPr>
    </w:p>
    <w:p>
      <w:pPr>
        <w:spacing w:after="0" w:line="209" w:lineRule="exact"/>
        <w:rPr>
          <w:sz w:val="20"/>
          <w:szCs w:val="20"/>
          <w:color w:val="auto"/>
        </w:rPr>
      </w:pPr>
    </w:p>
    <w:tbl>
      <w:tblPr>
        <w:tblLayout w:type="fixed"/>
        <w:tblInd w:w="452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6520" w:type="dxa"/>
            <w:vAlign w:val="bottom"/>
          </w:tcPr>
          <w:p>
            <w:pPr>
              <w:ind w:left="100"/>
              <w:spacing w:after="0"/>
              <w:rPr>
                <w:sz w:val="20"/>
                <w:szCs w:val="20"/>
                <w:color w:val="auto"/>
              </w:rPr>
            </w:pPr>
            <w:r>
              <w:rPr>
                <w:rFonts w:ascii="Arial" w:cs="Arial" w:eastAsia="Arial" w:hAnsi="Arial"/>
                <w:sz w:val="19"/>
                <w:szCs w:val="19"/>
                <w:color w:val="auto"/>
              </w:rPr>
              <w:t>/s/ Keith Kennedy</w:t>
            </w:r>
          </w:p>
        </w:tc>
        <w:tc>
          <w:tcPr>
            <w:tcW w:w="0" w:type="dxa"/>
            <w:vAlign w:val="bottom"/>
          </w:tcPr>
          <w:p>
            <w:pPr>
              <w:spacing w:after="0"/>
              <w:rPr>
                <w:sz w:val="1"/>
                <w:szCs w:val="1"/>
                <w:color w:val="auto"/>
              </w:rPr>
            </w:pPr>
          </w:p>
        </w:tc>
      </w:tr>
      <w:tr>
        <w:trPr>
          <w:trHeight w:val="58"/>
        </w:trPr>
        <w:tc>
          <w:tcPr>
            <w:tcW w:w="86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6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0" w:type="dxa"/>
            <w:vAlign w:val="bottom"/>
            <w:vMerge w:val="continue"/>
          </w:tcPr>
          <w:p>
            <w:pPr>
              <w:spacing w:after="0"/>
              <w:rPr>
                <w:sz w:val="21"/>
                <w:szCs w:val="21"/>
                <w:color w:val="auto"/>
              </w:rPr>
            </w:pPr>
          </w:p>
        </w:tc>
        <w:tc>
          <w:tcPr>
            <w:tcW w:w="6520" w:type="dxa"/>
            <w:vAlign w:val="bottom"/>
          </w:tcPr>
          <w:p>
            <w:pPr>
              <w:ind w:left="100"/>
              <w:spacing w:after="0"/>
              <w:rPr>
                <w:sz w:val="20"/>
                <w:szCs w:val="20"/>
                <w:color w:val="auto"/>
              </w:rPr>
            </w:pPr>
            <w:r>
              <w:rPr>
                <w:rFonts w:ascii="Arial" w:cs="Arial" w:eastAsia="Arial" w:hAnsi="Arial"/>
                <w:sz w:val="19"/>
                <w:szCs w:val="19"/>
                <w:color w:val="auto"/>
              </w:rPr>
              <w:t>Keith Kennedy</w:t>
            </w:r>
          </w:p>
        </w:tc>
        <w:tc>
          <w:tcPr>
            <w:tcW w:w="0" w:type="dxa"/>
            <w:vAlign w:val="bottom"/>
          </w:tcPr>
          <w:p>
            <w:pPr>
              <w:spacing w:after="0"/>
              <w:rPr>
                <w:sz w:val="1"/>
                <w:szCs w:val="1"/>
                <w:color w:val="auto"/>
              </w:rPr>
            </w:pPr>
          </w:p>
        </w:tc>
      </w:tr>
      <w:tr>
        <w:trPr>
          <w:trHeight w:val="314"/>
        </w:trPr>
        <w:tc>
          <w:tcPr>
            <w:tcW w:w="860" w:type="dxa"/>
            <w:vAlign w:val="bottom"/>
          </w:tcPr>
          <w:p>
            <w:pPr>
              <w:spacing w:after="0"/>
              <w:rPr>
                <w:sz w:val="20"/>
                <w:szCs w:val="20"/>
                <w:color w:val="auto"/>
              </w:rPr>
            </w:pPr>
            <w:r>
              <w:rPr>
                <w:rFonts w:ascii="Arial" w:cs="Arial" w:eastAsia="Arial" w:hAnsi="Arial"/>
                <w:sz w:val="19"/>
                <w:szCs w:val="19"/>
                <w:color w:val="auto"/>
              </w:rPr>
              <w:t>Title:</w:t>
            </w:r>
          </w:p>
        </w:tc>
        <w:tc>
          <w:tcPr>
            <w:tcW w:w="6520" w:type="dxa"/>
            <w:vAlign w:val="bottom"/>
          </w:tcPr>
          <w:p>
            <w:pPr>
              <w:ind w:left="100"/>
              <w:spacing w:after="0"/>
              <w:rPr>
                <w:sz w:val="20"/>
                <w:szCs w:val="20"/>
                <w:color w:val="auto"/>
              </w:rPr>
            </w:pPr>
            <w:r>
              <w:rPr>
                <w:rFonts w:ascii="Arial" w:cs="Arial" w:eastAsia="Arial" w:hAnsi="Arial"/>
                <w:sz w:val="19"/>
                <w:szCs w:val="19"/>
                <w:i w:val="1"/>
                <w:iCs w:val="1"/>
                <w:color w:val="auto"/>
              </w:rPr>
              <w:t>Chief Financial Officer</w:t>
            </w:r>
          </w:p>
        </w:tc>
        <w:tc>
          <w:tcPr>
            <w:tcW w:w="0" w:type="dxa"/>
            <w:vAlign w:val="bottom"/>
          </w:tcPr>
          <w:p>
            <w:pPr>
              <w:spacing w:after="0"/>
              <w:rPr>
                <w:sz w:val="1"/>
                <w:szCs w:val="1"/>
                <w:color w:val="auto"/>
              </w:rPr>
            </w:pPr>
          </w:p>
        </w:tc>
      </w:tr>
      <w:tr>
        <w:trPr>
          <w:trHeight w:val="314"/>
        </w:trPr>
        <w:tc>
          <w:tcPr>
            <w:tcW w:w="86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Arial" w:cs="Arial" w:eastAsia="Arial" w:hAnsi="Arial"/>
                <w:sz w:val="19"/>
                <w:szCs w:val="19"/>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2240" w:h="15840" w:orient="portrait"/>
      <w:cols w:equalWidth="0" w:num="1">
        <w:col w:w="11900"/>
      </w:cols>
      <w:pgMar w:left="120" w:top="507" w:right="2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2019-12-15T15:18:26Z</dcterms:created>
  <dcterms:modified xsi:type="dcterms:W3CDTF">2019-12-15T15:18:26Z</dcterms:modified>
</cp:coreProperties>
</file>