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60" w:right="9280" w:firstLine="7"/>
        <w:spacing w:after="0" w:line="289" w:lineRule="auto"/>
        <w:tabs>
          <w:tab w:leader="none" w:pos="905"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 xml:space="preserve">Rule 13d-1(b) </w:t>
      </w:r>
      <w:r>
        <w:rPr>
          <w:rFonts w:ascii="Wingdings" w:cs="Wingdings" w:eastAsia="Wingdings" w:hAnsi="Wingdings"/>
          <w:sz w:val="17"/>
          <w:szCs w:val="17"/>
          <w:b w:val="1"/>
          <w:bCs w:val="1"/>
          <w:color w:val="auto"/>
        </w:rPr>
        <w:t xml:space="preserve">o </w:t>
      </w:r>
      <w:r>
        <w:rPr>
          <w:rFonts w:ascii="Times New Roman" w:cs="Times New Roman" w:eastAsia="Times New Roman" w:hAnsi="Times New Roman"/>
          <w:sz w:val="17"/>
          <w:szCs w:val="17"/>
          <w:color w:val="auto"/>
        </w:rPr>
        <w:t>Rule 13d-1(c)</w:t>
      </w:r>
      <w:r>
        <w:rPr>
          <w:rFonts w:ascii="Wingdings" w:cs="Wingdings" w:eastAsia="Wingdings" w:hAnsi="Wingdings"/>
          <w:sz w:val="17"/>
          <w:szCs w:val="17"/>
          <w:b w:val="1"/>
          <w:bCs w:val="1"/>
          <w:color w:val="auto"/>
        </w:rPr>
        <w:t xml:space="preserve"> o </w:t>
      </w:r>
      <w:r>
        <w:rPr>
          <w:rFonts w:ascii="Times New Roman" w:cs="Times New Roman" w:eastAsia="Times New Roman" w:hAnsi="Times New Roman"/>
          <w:sz w:val="17"/>
          <w:szCs w:val="17"/>
          <w:color w:val="auto"/>
        </w:rPr>
        <w:t>Rule 13d-1(d)</w:t>
      </w:r>
    </w:p>
    <w:p>
      <w:pPr>
        <w:spacing w:after="0" w:line="15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79"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720" w:type="dxa"/>
            <w:vAlign w:val="bottom"/>
            <w:tcBorders>
              <w:top w:val="single" w:sz="8" w:color="auto"/>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92337F107</w:t>
            </w:r>
          </w:p>
        </w:tc>
        <w:tc>
          <w:tcPr>
            <w:tcW w:w="5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gridSpan w:val="2"/>
          </w:tcPr>
          <w:p>
            <w:pPr>
              <w:ind w:left="4880"/>
              <w:spacing w:after="0"/>
              <w:rPr>
                <w:sz w:val="20"/>
                <w:szCs w:val="20"/>
                <w:color w:val="auto"/>
              </w:rPr>
            </w:pPr>
            <w:r>
              <w:rPr>
                <w:rFonts w:ascii="Times New Roman" w:cs="Times New Roman" w:eastAsia="Times New Roman" w:hAnsi="Times New Roman"/>
                <w:sz w:val="18"/>
                <w:szCs w:val="18"/>
                <w:color w:val="auto"/>
              </w:rPr>
              <w:t>Page 2</w:t>
            </w:r>
          </w:p>
        </w:tc>
        <w:tc>
          <w:tcPr>
            <w:tcW w:w="0" w:type="dxa"/>
            <w:vAlign w:val="bottom"/>
          </w:tcPr>
          <w:p>
            <w:pPr>
              <w:spacing w:after="0"/>
              <w:rPr>
                <w:sz w:val="1"/>
                <w:szCs w:val="1"/>
                <w:color w:val="auto"/>
              </w:rPr>
            </w:pPr>
          </w:p>
        </w:tc>
      </w:tr>
      <w:tr>
        <w:trPr>
          <w:trHeight w:val="210"/>
        </w:trPr>
        <w:tc>
          <w:tcPr>
            <w:tcW w:w="8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left w:val="single" w:sz="8" w:color="auto"/>
              <w:right w:val="single" w:sz="8" w:color="auto"/>
            </w:tcBorders>
          </w:tcPr>
          <w:p>
            <w:pPr>
              <w:spacing w:after="0"/>
              <w:rPr>
                <w:sz w:val="24"/>
                <w:szCs w:val="24"/>
                <w:color w:val="auto"/>
              </w:rPr>
            </w:pPr>
          </w:p>
        </w:tc>
        <w:tc>
          <w:tcPr>
            <w:tcW w:w="3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William Blair Investment Management, LLC</w:t>
            </w:r>
          </w:p>
        </w:tc>
        <w:tc>
          <w:tcPr>
            <w:tcW w:w="14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0000" w:type="dxa"/>
            <w:vAlign w:val="bottom"/>
            <w:tcBorders>
              <w:bottom w:val="single" w:sz="8" w:color="auto"/>
            </w:tcBorders>
            <w:gridSpan w:val="6"/>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7"/>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0" w:type="dxa"/>
            <w:vAlign w:val="bottom"/>
            <w:tcBorders>
              <w:left w:val="single" w:sz="8" w:color="auto"/>
              <w:right w:val="single" w:sz="8" w:color="auto"/>
            </w:tcBorders>
          </w:tcPr>
          <w:p>
            <w:pPr>
              <w:spacing w:after="0"/>
              <w:rPr>
                <w:sz w:val="20"/>
                <w:szCs w:val="20"/>
                <w:color w:val="auto"/>
              </w:rPr>
            </w:pP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120" w:type="dxa"/>
            <w:vAlign w:val="bottom"/>
            <w:vMerge w:val="continue"/>
          </w:tcPr>
          <w:p>
            <w:pPr>
              <w:spacing w:after="0"/>
              <w:rPr>
                <w:sz w:val="17"/>
                <w:szCs w:val="17"/>
                <w:color w:val="auto"/>
              </w:rPr>
            </w:pPr>
          </w:p>
        </w:tc>
        <w:tc>
          <w:tcPr>
            <w:tcW w:w="360" w:type="dxa"/>
            <w:vAlign w:val="bottom"/>
            <w:tcBorders>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34"/>
        </w:trPr>
        <w:tc>
          <w:tcPr>
            <w:tcW w:w="880" w:type="dxa"/>
            <w:vAlign w:val="bottom"/>
            <w:tcBorders>
              <w:left w:val="single" w:sz="8" w:color="auto"/>
              <w:right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(b)</w:t>
            </w:r>
          </w:p>
        </w:tc>
        <w:tc>
          <w:tcPr>
            <w:tcW w:w="360" w:type="dxa"/>
            <w:vAlign w:val="bottom"/>
            <w:tcBorders>
              <w:right w:val="single" w:sz="8" w:color="auto"/>
            </w:tcBorders>
          </w:tcPr>
          <w:p>
            <w:pPr>
              <w:ind w:left="1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Borders>
              <w:left w:val="single" w:sz="8" w:color="auto"/>
              <w:bottom w:val="single" w:sz="8" w:color="auto"/>
              <w:right w:val="single" w:sz="8" w:color="auto"/>
            </w:tcBorders>
          </w:tcPr>
          <w:p>
            <w:pPr>
              <w:spacing w:after="0"/>
              <w:rPr>
                <w:sz w:val="21"/>
                <w:szCs w:val="21"/>
                <w:color w:val="auto"/>
              </w:rPr>
            </w:pPr>
          </w:p>
        </w:tc>
        <w:tc>
          <w:tcPr>
            <w:tcW w:w="10000" w:type="dxa"/>
            <w:vAlign w:val="bottom"/>
            <w:tcBorders>
              <w:bottom w:val="single" w:sz="8" w:color="auto"/>
            </w:tcBorders>
            <w:gridSpan w:val="6"/>
          </w:tcPr>
          <w:p>
            <w:pPr>
              <w:spacing w:after="0"/>
              <w:rPr>
                <w:sz w:val="21"/>
                <w:szCs w:val="21"/>
                <w:color w:val="auto"/>
              </w:rPr>
            </w:pPr>
          </w:p>
        </w:tc>
        <w:tc>
          <w:tcPr>
            <w:tcW w:w="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left w:val="single" w:sz="8" w:color="auto"/>
              <w:right w:val="single" w:sz="8" w:color="auto"/>
            </w:tcBorders>
          </w:tcPr>
          <w:p>
            <w:pPr>
              <w:spacing w:after="0"/>
              <w:rPr>
                <w:sz w:val="24"/>
                <w:szCs w:val="24"/>
                <w:color w:val="auto"/>
              </w:rPr>
            </w:pP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8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6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406,380</w:t>
            </w: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75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80" w:type="dxa"/>
            <w:vAlign w:val="bottom"/>
            <w:tcBorders>
              <w:left w:val="single" w:sz="8" w:color="auto"/>
            </w:tcBorders>
          </w:tcPr>
          <w:p>
            <w:pPr>
              <w:spacing w:after="0"/>
              <w:rPr>
                <w:sz w:val="17"/>
                <w:szCs w:val="17"/>
                <w:color w:val="auto"/>
              </w:rPr>
            </w:pPr>
          </w:p>
        </w:tc>
        <w:tc>
          <w:tcPr>
            <w:tcW w:w="2560" w:type="dxa"/>
            <w:vAlign w:val="bottom"/>
            <w:tcBorders>
              <w:right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7"/>
                <w:szCs w:val="17"/>
                <w:color w:val="auto"/>
              </w:rPr>
            </w:pPr>
          </w:p>
        </w:tc>
        <w:tc>
          <w:tcPr>
            <w:tcW w:w="6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6600" w:type="dxa"/>
            <w:vAlign w:val="bottom"/>
            <w:gridSpan w:val="2"/>
            <w:vMerge w:val="continue"/>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5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88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vMerge w:val="restart"/>
          </w:tcPr>
          <w:p>
            <w:pPr>
              <w:jc w:val="center"/>
              <w:ind w:right="750"/>
              <w:spacing w:after="0"/>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880" w:type="dxa"/>
            <w:vAlign w:val="bottom"/>
            <w:tcBorders>
              <w:left w:val="single" w:sz="8" w:color="auto"/>
            </w:tcBorders>
          </w:tcPr>
          <w:p>
            <w:pPr>
              <w:spacing w:after="0"/>
              <w:rPr>
                <w:sz w:val="14"/>
                <w:szCs w:val="14"/>
                <w:color w:val="auto"/>
              </w:rPr>
            </w:pPr>
          </w:p>
        </w:tc>
        <w:tc>
          <w:tcPr>
            <w:tcW w:w="2560" w:type="dxa"/>
            <w:vAlign w:val="bottom"/>
            <w:tcBorders>
              <w:right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tcPr>
          <w:p>
            <w:pPr>
              <w:spacing w:after="0"/>
              <w:rPr>
                <w:sz w:val="18"/>
                <w:szCs w:val="18"/>
                <w:color w:val="auto"/>
              </w:rPr>
            </w:pPr>
          </w:p>
        </w:tc>
        <w:tc>
          <w:tcPr>
            <w:tcW w:w="5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8"/>
                <w:szCs w:val="18"/>
                <w:color w:val="auto"/>
              </w:rPr>
            </w:pPr>
          </w:p>
        </w:tc>
        <w:tc>
          <w:tcPr>
            <w:tcW w:w="6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Borders>
              <w:left w:val="single" w:sz="8" w:color="auto"/>
            </w:tcBorders>
          </w:tcPr>
          <w:p>
            <w:pPr>
              <w:spacing w:after="0"/>
              <w:rPr>
                <w:sz w:val="18"/>
                <w:szCs w:val="18"/>
                <w:color w:val="auto"/>
              </w:rPr>
            </w:pPr>
          </w:p>
        </w:tc>
        <w:tc>
          <w:tcPr>
            <w:tcW w:w="25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80" w:type="dxa"/>
            <w:vAlign w:val="bottom"/>
            <w:tcBorders>
              <w:left w:val="single" w:sz="8" w:color="auto"/>
            </w:tcBorders>
          </w:tcPr>
          <w:p>
            <w:pPr>
              <w:spacing w:after="0"/>
              <w:rPr>
                <w:sz w:val="22"/>
                <w:szCs w:val="22"/>
                <w:color w:val="auto"/>
              </w:rPr>
            </w:pPr>
          </w:p>
        </w:tc>
        <w:tc>
          <w:tcPr>
            <w:tcW w:w="2560" w:type="dxa"/>
            <w:vAlign w:val="bottom"/>
            <w:tcBorders>
              <w:right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rPr>
              <w:t>WITH</w:t>
            </w:r>
          </w:p>
        </w:tc>
        <w:tc>
          <w:tcPr>
            <w:tcW w:w="2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558,384</w:t>
            </w:r>
          </w:p>
        </w:tc>
        <w:tc>
          <w:tcPr>
            <w:tcW w:w="512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tcBorders>
          </w:tcPr>
          <w:p>
            <w:pPr>
              <w:spacing w:after="0"/>
              <w:rPr>
                <w:sz w:val="2"/>
                <w:szCs w:val="2"/>
                <w:color w:val="auto"/>
              </w:rPr>
            </w:pPr>
          </w:p>
        </w:tc>
        <w:tc>
          <w:tcPr>
            <w:tcW w:w="256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88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6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gridSpan w:val="2"/>
          </w:tcPr>
          <w:p>
            <w:pPr>
              <w:spacing w:after="0"/>
              <w:rPr>
                <w:sz w:val="2"/>
                <w:szCs w:val="2"/>
                <w:color w:val="auto"/>
              </w:rPr>
            </w:pPr>
          </w:p>
        </w:tc>
        <w:tc>
          <w:tcPr>
            <w:tcW w:w="66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00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left w:val="single" w:sz="8" w:color="auto"/>
              <w:right w:val="single" w:sz="8" w:color="auto"/>
            </w:tcBorders>
          </w:tcPr>
          <w:p>
            <w:pPr>
              <w:spacing w:after="0"/>
              <w:rPr>
                <w:sz w:val="24"/>
                <w:szCs w:val="24"/>
                <w:color w:val="auto"/>
              </w:rPr>
            </w:pP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558,384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6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00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80" w:type="dxa"/>
            <w:vAlign w:val="bottom"/>
            <w:tcBorders>
              <w:left w:val="single" w:sz="8" w:color="auto"/>
              <w:right w:val="single" w:sz="8" w:color="auto"/>
            </w:tcBorders>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360" w:type="dxa"/>
            <w:vAlign w:val="bottom"/>
            <w:tcBorders>
              <w:right w:val="single" w:sz="8" w:color="auto"/>
            </w:tcBorders>
          </w:tcPr>
          <w:p>
            <w:pPr>
              <w:ind w:left="120"/>
              <w:spacing w:after="0" w:line="198" w:lineRule="exact"/>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32"/>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6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00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left w:val="single" w:sz="8" w:color="auto"/>
              <w:right w:val="single" w:sz="8" w:color="auto"/>
            </w:tcBorders>
          </w:tcPr>
          <w:p>
            <w:pPr>
              <w:spacing w:after="0"/>
              <w:rPr>
                <w:sz w:val="24"/>
                <w:szCs w:val="24"/>
                <w:color w:val="auto"/>
              </w:rPr>
            </w:pPr>
          </w:p>
        </w:tc>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2A2A2A"/>
              </w:rPr>
              <w:t>0.8%</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666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000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left w:val="single" w:sz="8" w:color="auto"/>
              <w:right w:val="single" w:sz="8" w:color="auto"/>
            </w:tcBorders>
          </w:tcPr>
          <w:p>
            <w:pPr>
              <w:spacing w:after="0"/>
              <w:rPr>
                <w:sz w:val="24"/>
                <w:szCs w:val="24"/>
                <w:color w:val="auto"/>
              </w:rPr>
            </w:pPr>
          </w:p>
        </w:tc>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8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0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92337F107</w:t>
            </w:r>
          </w:p>
        </w:tc>
        <w:tc>
          <w:tcPr>
            <w:tcW w:w="416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3</w:t>
            </w:r>
          </w:p>
        </w:tc>
      </w:tr>
      <w:tr>
        <w:trPr>
          <w:trHeight w:val="407"/>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Veracyte, Inc</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6000 Shoreline Court, Suite 300, South San Francisco, CA 94080</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William Blair Investment Management, LLC</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150 North Riverside Plaza, Chicago, IL 60606</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600" w:type="dxa"/>
            <w:vAlign w:val="bottom"/>
          </w:tcPr>
          <w:p>
            <w:pPr>
              <w:spacing w:after="0"/>
              <w:rPr>
                <w:sz w:val="20"/>
                <w:szCs w:val="20"/>
                <w:color w:val="auto"/>
              </w:rPr>
            </w:pP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92337F107</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bl>
    <w:p>
      <w:pPr>
        <w:spacing w:after="0" w:line="198" w:lineRule="exact"/>
        <w:rPr>
          <w:sz w:val="20"/>
          <w:szCs w:val="20"/>
          <w:color w:val="auto"/>
        </w:rPr>
      </w:pPr>
    </w:p>
    <w:p>
      <w:pPr>
        <w:ind w:left="2300" w:hanging="536"/>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2300" w:hanging="541"/>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2300" w:hanging="536"/>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2300" w:hanging="541"/>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2280" w:hanging="516"/>
        <w:spacing w:after="0"/>
        <w:tabs>
          <w:tab w:leader="none" w:pos="228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2300" w:hanging="526"/>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2300" w:hanging="541"/>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2300" w:hanging="541"/>
        <w:spacing w:after="0"/>
        <w:tabs>
          <w:tab w:leader="none" w:pos="23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sz w:val="20"/>
          <w:szCs w:val="20"/>
          <w:color w:val="auto"/>
        </w:rPr>
      </w:pPr>
    </w:p>
    <w:p>
      <w:pPr>
        <w:ind w:left="2700" w:hanging="921"/>
        <w:spacing w:after="0" w:line="282" w:lineRule="auto"/>
        <w:tabs>
          <w:tab w:leader="none" w:pos="2282"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Company Act (15 U.S.C. 80a-3);</w:t>
      </w:r>
    </w:p>
    <w:p>
      <w:pPr>
        <w:spacing w:after="0" w:line="161" w:lineRule="exact"/>
        <w:rPr>
          <w:rFonts w:ascii="Times New Roman" w:cs="Times New Roman" w:eastAsia="Times New Roman" w:hAnsi="Times New Roman"/>
          <w:sz w:val="18"/>
          <w:szCs w:val="18"/>
          <w:color w:val="auto"/>
        </w:rPr>
      </w:pPr>
    </w:p>
    <w:p>
      <w:pPr>
        <w:ind w:left="2300" w:hanging="521"/>
        <w:spacing w:after="0"/>
        <w:tabs>
          <w:tab w:leader="none" w:pos="2300" w:val="left"/>
        </w:tabs>
        <w:numPr>
          <w:ilvl w:val="0"/>
          <w:numId w:val="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non-U.S. institution in accordance with § 240.13d-1(b)(1)(ii)(J);</w:t>
      </w:r>
    </w:p>
    <w:p>
      <w:pPr>
        <w:spacing w:after="0" w:line="225" w:lineRule="exact"/>
        <w:rPr>
          <w:sz w:val="20"/>
          <w:szCs w:val="20"/>
          <w:color w:val="auto"/>
        </w:rPr>
      </w:pPr>
    </w:p>
    <w:p>
      <w:pPr>
        <w:ind w:left="2300" w:hanging="541"/>
        <w:spacing w:after="0"/>
        <w:tabs>
          <w:tab w:leader="none" w:pos="2300" w:val="left"/>
        </w:tabs>
        <w:numPr>
          <w:ilvl w:val="0"/>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 240.13d-1(b)(1)(ii)(K).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60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92337F107</w:t>
            </w:r>
          </w:p>
        </w:tc>
        <w:tc>
          <w:tcPr>
            <w:tcW w:w="106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4</w:t>
            </w:r>
          </w:p>
        </w:tc>
      </w:tr>
      <w:tr>
        <w:trPr>
          <w:trHeight w:val="407"/>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310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16"/>
        </w:trPr>
        <w:tc>
          <w:tcPr>
            <w:tcW w:w="1600" w:type="dxa"/>
            <w:vAlign w:val="bottom"/>
          </w:tcPr>
          <w:p>
            <w:pPr>
              <w:spacing w:after="0"/>
              <w:rPr>
                <w:sz w:val="18"/>
                <w:szCs w:val="18"/>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w:t>
            </w: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 Item 1.</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1600" w:type="dxa"/>
            <w:vAlign w:val="bottom"/>
          </w:tcPr>
          <w:p>
            <w:pPr>
              <w:spacing w:after="0"/>
              <w:rPr>
                <w:sz w:val="24"/>
                <w:szCs w:val="24"/>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  Amount beneficially owned: 558,384</w:t>
            </w:r>
          </w:p>
        </w:tc>
      </w:tr>
      <w:tr>
        <w:trPr>
          <w:trHeight w:val="432"/>
        </w:trPr>
        <w:tc>
          <w:tcPr>
            <w:tcW w:w="1600" w:type="dxa"/>
            <w:vAlign w:val="bottom"/>
          </w:tcPr>
          <w:p>
            <w:pPr>
              <w:spacing w:after="0"/>
              <w:rPr>
                <w:sz w:val="24"/>
                <w:szCs w:val="24"/>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xml:space="preserve">(b)  Percent of class: </w:t>
            </w:r>
            <w:r>
              <w:rPr>
                <w:rFonts w:ascii="Times New Roman" w:cs="Times New Roman" w:eastAsia="Times New Roman" w:hAnsi="Times New Roman"/>
                <w:sz w:val="18"/>
                <w:szCs w:val="18"/>
                <w:color w:val="2A2A2A"/>
              </w:rPr>
              <w:t>0.8%</w:t>
            </w:r>
          </w:p>
        </w:tc>
      </w:tr>
      <w:tr>
        <w:trPr>
          <w:trHeight w:val="432"/>
        </w:trPr>
        <w:tc>
          <w:tcPr>
            <w:tcW w:w="1600" w:type="dxa"/>
            <w:vAlign w:val="bottom"/>
          </w:tcPr>
          <w:p>
            <w:pPr>
              <w:spacing w:after="0"/>
              <w:rPr>
                <w:sz w:val="24"/>
                <w:szCs w:val="24"/>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tc>
      </w:tr>
      <w:tr>
        <w:trPr>
          <w:trHeight w:val="432"/>
        </w:trPr>
        <w:tc>
          <w:tcPr>
            <w:tcW w:w="16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power to vote or to direct the vote: 406,380</w:t>
            </w:r>
          </w:p>
        </w:tc>
      </w:tr>
      <w:tr>
        <w:trPr>
          <w:trHeight w:val="432"/>
        </w:trPr>
        <w:tc>
          <w:tcPr>
            <w:tcW w:w="16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(ii)</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power to vote or to direct the vote: 0</w:t>
            </w:r>
          </w:p>
        </w:tc>
      </w:tr>
      <w:tr>
        <w:trPr>
          <w:trHeight w:val="432"/>
        </w:trPr>
        <w:tc>
          <w:tcPr>
            <w:tcW w:w="16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(iii)</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power to dispose or to direct the disposition of: 558,384</w:t>
            </w:r>
          </w:p>
        </w:tc>
      </w:tr>
      <w:tr>
        <w:trPr>
          <w:trHeight w:val="432"/>
        </w:trPr>
        <w:tc>
          <w:tcPr>
            <w:tcW w:w="1600" w:type="dxa"/>
            <w:vAlign w:val="bottom"/>
          </w:tcPr>
          <w:p>
            <w:pPr>
              <w:spacing w:after="0"/>
              <w:rPr>
                <w:sz w:val="24"/>
                <w:szCs w:val="24"/>
                <w:color w:val="auto"/>
              </w:rPr>
            </w:pP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(iv)</w:t>
            </w:r>
          </w:p>
        </w:tc>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 0</w:t>
            </w: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7"/>
        </w:trPr>
        <w:tc>
          <w:tcPr>
            <w:tcW w:w="1600" w:type="dxa"/>
            <w:vAlign w:val="bottom"/>
          </w:tcPr>
          <w:p>
            <w:pPr>
              <w:spacing w:after="0"/>
              <w:rPr>
                <w:sz w:val="16"/>
                <w:szCs w:val="16"/>
                <w:color w:val="auto"/>
              </w:rPr>
            </w:pPr>
          </w:p>
        </w:tc>
        <w:tc>
          <w:tcPr>
            <w:tcW w:w="964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w:t>
            </w:r>
          </w:p>
        </w:tc>
      </w:tr>
      <w:tr>
        <w:trPr>
          <w:trHeight w:val="283"/>
        </w:trPr>
        <w:tc>
          <w:tcPr>
            <w:tcW w:w="1600" w:type="dxa"/>
            <w:vAlign w:val="bottom"/>
          </w:tcPr>
          <w:p>
            <w:pPr>
              <w:spacing w:after="0"/>
              <w:rPr>
                <w:sz w:val="24"/>
                <w:szCs w:val="24"/>
                <w:color w:val="auto"/>
              </w:rPr>
            </w:pPr>
          </w:p>
        </w:tc>
        <w:tc>
          <w:tcPr>
            <w:tcW w:w="964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of more than 5 percent of the class of securities, check the following. </w:t>
            </w:r>
            <w:r>
              <w:rPr>
                <w:rFonts w:ascii="MS PGothic" w:cs="MS PGothic" w:eastAsia="MS PGothic" w:hAnsi="MS PGothic"/>
                <w:sz w:val="18"/>
                <w:szCs w:val="18"/>
                <w:color w:val="auto"/>
              </w:rPr>
              <w:t>☒</w:t>
            </w:r>
          </w:p>
        </w:tc>
      </w:tr>
      <w:tr>
        <w:trPr>
          <w:trHeight w:val="39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0"/>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1600" w:type="dxa"/>
            <w:vAlign w:val="bottom"/>
          </w:tcPr>
          <w:p>
            <w:pPr>
              <w:spacing w:after="0"/>
              <w:rPr>
                <w:sz w:val="19"/>
                <w:szCs w:val="19"/>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10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1600" w:type="dxa"/>
            <w:vAlign w:val="bottom"/>
          </w:tcPr>
          <w:p>
            <w:pPr>
              <w:spacing w:after="0"/>
              <w:rPr>
                <w:sz w:val="20"/>
                <w:szCs w:val="20"/>
                <w:color w:val="auto"/>
              </w:rPr>
            </w:pPr>
          </w:p>
        </w:tc>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w:t>
            </w:r>
          </w:p>
        </w:tc>
        <w:tc>
          <w:tcPr>
            <w:tcW w:w="310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16"/>
        </w:trPr>
        <w:tc>
          <w:tcPr>
            <w:tcW w:w="1600" w:type="dxa"/>
            <w:vAlign w:val="bottom"/>
          </w:tcPr>
          <w:p>
            <w:pPr>
              <w:spacing w:after="0"/>
              <w:rPr>
                <w:sz w:val="18"/>
                <w:szCs w:val="18"/>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w:t>
            </w:r>
          </w:p>
        </w:tc>
      </w:tr>
      <w:tr>
        <w:trPr>
          <w:trHeight w:val="234"/>
        </w:trPr>
        <w:tc>
          <w:tcPr>
            <w:tcW w:w="1600" w:type="dxa"/>
            <w:vAlign w:val="bottom"/>
          </w:tcPr>
          <w:p>
            <w:pPr>
              <w:spacing w:after="0"/>
              <w:rPr>
                <w:sz w:val="20"/>
                <w:szCs w:val="20"/>
                <w:color w:val="auto"/>
              </w:rPr>
            </w:pPr>
          </w:p>
        </w:tc>
        <w:tc>
          <w:tcPr>
            <w:tcW w:w="9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 the ordinary course of business and were not acquired and are not held for the purpose of or with the effect of changing or</w:t>
            </w:r>
          </w:p>
        </w:tc>
      </w:tr>
    </w:tbl>
    <w:p>
      <w:pPr>
        <w:ind w:left="1700"/>
        <w:spacing w:after="0" w:line="260" w:lineRule="auto"/>
        <w:rPr>
          <w:sz w:val="20"/>
          <w:szCs w:val="20"/>
          <w:color w:val="auto"/>
        </w:rPr>
      </w:pPr>
      <w:r>
        <w:rPr>
          <w:rFonts w:ascii="Times New Roman" w:cs="Times New Roman" w:eastAsia="Times New Roman" w:hAnsi="Times New Roman"/>
          <w:sz w:val="18"/>
          <w:szCs w:val="18"/>
          <w:color w:val="auto"/>
        </w:rPr>
        <w:t>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576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92337F107</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5</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Date:</w:t>
        <w:tab/>
        <w:t>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9"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Stephanie Braming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Stephanie Braming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9"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Partner, Global Head of Investment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9"/>
    </w:lvl>
  </w:abstractNum>
  <w:abstractNum w:abstractNumId="3">
    <w:nsid w:val="625558EC"/>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2023-02-09T12:55:30Z</dcterms:created>
  <dcterms:modified xsi:type="dcterms:W3CDTF">2023-02-09T12:55:30Z</dcterms:modified>
</cp:coreProperties>
</file>