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1"/>
              </w:rPr>
              <w:t>Date of Report (Date of earliest event reported): August 4, 2021</w:t>
            </w:r>
          </w:p>
        </w:tc>
        <w:tc>
          <w:tcPr>
            <w:tcW w:w="2360" w:type="dxa"/>
            <w:vAlign w:val="bottom"/>
          </w:tcPr>
          <w:p>
            <w:pPr>
              <w:spacing w:after="0"/>
              <w:rPr>
                <w:sz w:val="20"/>
                <w:szCs w:val="20"/>
                <w:color w:val="auto"/>
              </w:rPr>
            </w:pPr>
          </w:p>
        </w:tc>
      </w:tr>
      <w:tr>
        <w:trPr>
          <w:trHeight w:val="445"/>
        </w:trPr>
        <w:tc>
          <w:tcPr>
            <w:tcW w:w="2320" w:type="dxa"/>
            <w:vAlign w:val="bottom"/>
          </w:tcPr>
          <w:p>
            <w:pPr>
              <w:spacing w:after="0"/>
              <w:rPr>
                <w:sz w:val="24"/>
                <w:szCs w:val="24"/>
                <w:color w:val="auto"/>
              </w:rPr>
            </w:pP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rPr>
              <w:t>VERACYTE, INC.</w:t>
            </w:r>
          </w:p>
        </w:tc>
        <w:tc>
          <w:tcPr>
            <w:tcW w:w="2360" w:type="dxa"/>
            <w:vAlign w:val="bottom"/>
          </w:tcPr>
          <w:p>
            <w:pPr>
              <w:spacing w:after="0"/>
              <w:rPr>
                <w:sz w:val="24"/>
                <w:szCs w:val="24"/>
                <w:color w:val="auto"/>
              </w:rPr>
            </w:pPr>
          </w:p>
        </w:tc>
      </w:tr>
      <w:tr>
        <w:trPr>
          <w:trHeight w:val="230"/>
        </w:trPr>
        <w:tc>
          <w:tcPr>
            <w:tcW w:w="232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360" w:type="dxa"/>
            <w:vAlign w:val="bottom"/>
          </w:tcPr>
          <w:p>
            <w:pPr>
              <w:spacing w:after="0"/>
              <w:rPr>
                <w:sz w:val="20"/>
                <w:szCs w:val="20"/>
                <w:color w:val="auto"/>
              </w:rPr>
            </w:pPr>
          </w:p>
        </w:tc>
      </w:tr>
      <w:tr>
        <w:trPr>
          <w:trHeight w:val="270"/>
        </w:trPr>
        <w:tc>
          <w:tcPr>
            <w:tcW w:w="2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Delaware</w:t>
            </w: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0"/>
              </w:rPr>
              <w:t>001-36156</w:t>
            </w:r>
          </w:p>
        </w:tc>
        <w:tc>
          <w:tcPr>
            <w:tcW w:w="236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2320" w:type="dxa"/>
            <w:vAlign w:val="bottom"/>
          </w:tcPr>
          <w:p>
            <w:pPr>
              <w:jc w:val="center"/>
              <w:ind w:right="150"/>
              <w:spacing w:after="0"/>
              <w:rPr>
                <w:sz w:val="20"/>
                <w:szCs w:val="20"/>
                <w:color w:val="auto"/>
              </w:rPr>
            </w:pPr>
            <w:r>
              <w:rPr>
                <w:rFonts w:ascii="Arial" w:cs="Arial" w:eastAsia="Arial" w:hAnsi="Arial"/>
                <w:sz w:val="18"/>
                <w:szCs w:val="18"/>
                <w:color w:val="auto"/>
                <w:w w:val="92"/>
              </w:rPr>
              <w:t>(State or other jurisdiction of</w:t>
            </w:r>
          </w:p>
        </w:tc>
        <w:tc>
          <w:tcPr>
            <w:tcW w:w="510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360" w:type="dxa"/>
            <w:vAlign w:val="bottom"/>
          </w:tcPr>
          <w:p>
            <w:pPr>
              <w:jc w:val="center"/>
              <w:ind w:left="17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320" w:type="dxa"/>
            <w:vAlign w:val="bottom"/>
          </w:tcPr>
          <w:p>
            <w:pPr>
              <w:jc w:val="center"/>
              <w:ind w:right="150"/>
              <w:spacing w:after="0"/>
              <w:rPr>
                <w:sz w:val="20"/>
                <w:szCs w:val="20"/>
                <w:color w:val="auto"/>
              </w:rPr>
            </w:pPr>
            <w:r>
              <w:rPr>
                <w:rFonts w:ascii="Arial" w:cs="Arial" w:eastAsia="Arial" w:hAnsi="Arial"/>
                <w:sz w:val="18"/>
                <w:szCs w:val="18"/>
                <w:color w:val="auto"/>
                <w:w w:val="94"/>
              </w:rPr>
              <w:t>incorporation)</w:t>
            </w:r>
          </w:p>
        </w:tc>
        <w:tc>
          <w:tcPr>
            <w:tcW w:w="5100" w:type="dxa"/>
            <w:vAlign w:val="bottom"/>
          </w:tcPr>
          <w:p>
            <w:pPr>
              <w:spacing w:after="0"/>
              <w:rPr>
                <w:sz w:val="20"/>
                <w:szCs w:val="20"/>
                <w:color w:val="auto"/>
              </w:rPr>
            </w:pPr>
          </w:p>
        </w:tc>
        <w:tc>
          <w:tcPr>
            <w:tcW w:w="2360" w:type="dxa"/>
            <w:vAlign w:val="bottom"/>
          </w:tcPr>
          <w:p>
            <w:pPr>
              <w:jc w:val="center"/>
              <w:ind w:left="150"/>
              <w:spacing w:after="0"/>
              <w:rPr>
                <w:sz w:val="20"/>
                <w:szCs w:val="20"/>
                <w:color w:val="auto"/>
              </w:rPr>
            </w:pPr>
            <w:r>
              <w:rPr>
                <w:rFonts w:ascii="Arial" w:cs="Arial" w:eastAsia="Arial" w:hAnsi="Arial"/>
                <w:sz w:val="18"/>
                <w:szCs w:val="18"/>
                <w:color w:val="auto"/>
                <w:w w:val="93"/>
              </w:rPr>
              <w:t>No.)</w:t>
            </w:r>
          </w:p>
        </w:tc>
      </w:tr>
      <w:tr>
        <w:trPr>
          <w:trHeight w:val="365"/>
        </w:trPr>
        <w:tc>
          <w:tcPr>
            <w:tcW w:w="742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236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94080</w:t>
            </w:r>
          </w:p>
        </w:tc>
      </w:tr>
      <w:tr>
        <w:trPr>
          <w:trHeight w:val="256"/>
        </w:trPr>
        <w:tc>
          <w:tcPr>
            <w:tcW w:w="742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360" w:type="dxa"/>
            <w:vAlign w:val="bottom"/>
          </w:tcPr>
          <w:p>
            <w:pPr>
              <w:jc w:val="center"/>
              <w:ind w:left="190"/>
              <w:spacing w:after="0"/>
              <w:rPr>
                <w:sz w:val="20"/>
                <w:szCs w:val="20"/>
                <w:color w:val="auto"/>
              </w:rPr>
            </w:pPr>
            <w:r>
              <w:rPr>
                <w:rFonts w:ascii="Arial" w:cs="Arial" w:eastAsia="Arial" w:hAnsi="Arial"/>
                <w:sz w:val="18"/>
                <w:szCs w:val="18"/>
                <w:color w:val="auto"/>
                <w:w w:val="94"/>
              </w:rPr>
              <w:t>(Zip Code)</w:t>
            </w:r>
          </w:p>
        </w:tc>
      </w:tr>
    </w:tbl>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34" w:lineRule="exact"/>
        <w:rPr>
          <w:sz w:val="24"/>
          <w:szCs w:val="24"/>
          <w:color w:val="auto"/>
        </w:rPr>
      </w:pPr>
    </w:p>
    <w:p>
      <w:pPr>
        <w:ind w:left="20" w:right="20"/>
        <w:spacing w:after="0" w:line="25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left="20"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1423670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4, 2021, Veracyte, Inc. (the “Company”) filed a prospectus supplement (“Prospectus Supplement”) to its effective shelf registration statement on Form S-3ASR (File No. 333-252681) filed with the Securities and Exchange Commission on February 3, 2021. The Company filed the Prospectus Supplement for the purpose of registering for resale up to 3,347,493 shares of the Company’s common stock issued in connection with the Company’s acquisition of HalioDx SAS, a French société par actions simplifiée, on August 2, 2021.</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filing of the Prospectus Supplement, the Company is filing an opinion of its counsel, Fenwick &amp; West LLP, regarding the legality of the common stock being registered, which opinion is attached as Exhibit 5.1 to this Current Report on Form 8-K.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86"/>
        </w:trPr>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Description</w:t>
            </w:r>
          </w:p>
        </w:tc>
        <w:tc>
          <w:tcPr>
            <w:tcW w:w="320" w:type="dxa"/>
            <w:vAlign w:val="bottom"/>
          </w:tcPr>
          <w:p>
            <w:pPr>
              <w:spacing w:after="0"/>
              <w:rPr>
                <w:sz w:val="24"/>
                <w:szCs w:val="24"/>
                <w:color w:val="auto"/>
              </w:rPr>
            </w:pPr>
          </w:p>
        </w:tc>
      </w:tr>
      <w:tr>
        <w:trPr>
          <w:trHeight w:val="291"/>
        </w:trPr>
        <w:tc>
          <w:tcPr>
            <w:tcW w:w="1420" w:type="dxa"/>
            <w:vAlign w:val="bottom"/>
          </w:tcPr>
          <w:p>
            <w:pPr>
              <w:jc w:val="right"/>
              <w:ind w:right="39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Borders>
              <w:bottom w:val="single" w:sz="8" w:color="0000FF"/>
            </w:tcBorders>
          </w:tcPr>
          <w:p>
            <w:pPr>
              <w:spacing w:after="0"/>
              <w:rPr>
                <w:rFonts w:ascii="Arial" w:cs="Arial" w:eastAsia="Arial" w:hAnsi="Arial"/>
                <w:sz w:val="18"/>
                <w:szCs w:val="18"/>
                <w:color w:val="0000FF"/>
                <w:w w:val="93"/>
              </w:rPr>
            </w:pPr>
            <w:r>
              <w:rPr>
                <w:rFonts w:ascii="Arial" w:cs="Arial" w:eastAsia="Arial" w:hAnsi="Arial"/>
                <w:sz w:val="18"/>
                <w:szCs w:val="18"/>
                <w:color w:val="0000FF"/>
                <w:w w:val="93"/>
              </w:rPr>
              <w:t xml:space="preserve">Opinion </w:t>
            </w:r>
            <w:hyperlink w:anchor="page4">
              <w:r>
                <w:rPr>
                  <w:rFonts w:ascii="Arial" w:cs="Arial" w:eastAsia="Arial" w:hAnsi="Arial"/>
                  <w:sz w:val="18"/>
                  <w:szCs w:val="18"/>
                  <w:color w:val="0000FF"/>
                  <w:w w:val="93"/>
                </w:rPr>
                <w:t xml:space="preserve">of Fenwick &amp; </w:t>
              </w:r>
            </w:hyperlink>
            <w:r>
              <w:rPr>
                <w:rFonts w:ascii="Arial" w:cs="Arial" w:eastAsia="Arial" w:hAnsi="Arial"/>
                <w:sz w:val="18"/>
                <w:szCs w:val="18"/>
                <w:color w:val="0000FF"/>
                <w:w w:val="93"/>
              </w:rPr>
              <w:t xml:space="preserve">West </w:t>
            </w:r>
            <w:hyperlink w:anchor="page4">
              <w:r>
                <w:rPr>
                  <w:rFonts w:ascii="Arial" w:cs="Arial" w:eastAsia="Arial" w:hAnsi="Arial"/>
                  <w:sz w:val="18"/>
                  <w:szCs w:val="18"/>
                  <w:color w:val="0000FF"/>
                  <w:w w:val="93"/>
                </w:rPr>
                <w:t>LLP.</w:t>
              </w:r>
            </w:hyperlink>
          </w:p>
        </w:tc>
        <w:tc>
          <w:tcPr>
            <w:tcW w:w="7100" w:type="dxa"/>
            <w:vAlign w:val="bottom"/>
            <w:gridSpan w:val="3"/>
          </w:tcPr>
          <w:p>
            <w:pPr>
              <w:spacing w:after="0"/>
              <w:rPr>
                <w:sz w:val="24"/>
                <w:szCs w:val="24"/>
                <w:color w:val="auto"/>
              </w:rPr>
            </w:pPr>
          </w:p>
        </w:tc>
      </w:tr>
      <w:tr>
        <w:trPr>
          <w:trHeight w:val="236"/>
        </w:trPr>
        <w:tc>
          <w:tcPr>
            <w:tcW w:w="1420" w:type="dxa"/>
            <w:vAlign w:val="bottom"/>
          </w:tcPr>
          <w:p>
            <w:pPr>
              <w:jc w:val="right"/>
              <w:ind w:right="450"/>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Consent of Fenwick &amp; West LLP (contained in Exhibit 5.1).</w:t>
              </w:r>
            </w:hyperlink>
          </w:p>
        </w:tc>
        <w:tc>
          <w:tcPr>
            <w:tcW w:w="5200" w:type="dxa"/>
            <w:vAlign w:val="bottom"/>
            <w:gridSpan w:val="2"/>
          </w:tcPr>
          <w:p>
            <w:pPr>
              <w:spacing w:after="0"/>
              <w:rPr>
                <w:sz w:val="20"/>
                <w:szCs w:val="20"/>
                <w:color w:val="auto"/>
              </w:rPr>
            </w:pPr>
          </w:p>
        </w:tc>
      </w:tr>
      <w:tr>
        <w:trPr>
          <w:trHeight w:val="291"/>
        </w:trPr>
        <w:tc>
          <w:tcPr>
            <w:tcW w:w="1420" w:type="dxa"/>
            <w:vAlign w:val="bottom"/>
          </w:tcPr>
          <w:p>
            <w:pPr>
              <w:jc w:val="right"/>
              <w:ind w:right="47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2018"/>
        </w:trPr>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4, 2021</w:t>
      </w:r>
    </w:p>
    <w:p>
      <w:pPr>
        <w:spacing w:after="0" w:line="27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23495</wp:posOffset>
            </wp:positionV>
            <wp:extent cx="3926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Rebecca Chambers</w:t>
      </w:r>
    </w:p>
    <w:p>
      <w:pPr>
        <w:spacing w:after="0" w:line="63"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142875</wp:posOffset>
            </wp:positionV>
            <wp:extent cx="2914650" cy="908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146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4, 2021</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Veracyte,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6000 Shoreline Court, Suite 300</w:t>
      </w:r>
    </w:p>
    <w:p>
      <w:pPr>
        <w:spacing w:after="0"/>
        <w:rPr>
          <w:sz w:val="20"/>
          <w:szCs w:val="20"/>
          <w:color w:val="auto"/>
        </w:rPr>
      </w:pPr>
      <w:r>
        <w:rPr>
          <w:rFonts w:ascii="Arial" w:cs="Arial" w:eastAsia="Arial" w:hAnsi="Arial"/>
          <w:sz w:val="20"/>
          <w:szCs w:val="20"/>
          <w:color w:val="auto"/>
        </w:rPr>
        <w:t>South San Francisco, CA 94080</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8"/>
          <w:szCs w:val="18"/>
          <w:color w:val="auto"/>
        </w:rPr>
        <w:t>We deliver this opinion with respect to certain matters in connection with the registration by Veracyte,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of 3,347,493 shares of the Company’s common stock, par value $0.001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issued to shareholders</w:t>
      </w:r>
    </w:p>
    <w:p>
      <w:pPr>
        <w:spacing w:after="0" w:line="1"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Selling Stockholders</w:t>
      </w:r>
      <w:r>
        <w:rPr>
          <w:rFonts w:ascii="Arial" w:cs="Arial" w:eastAsia="Arial" w:hAnsi="Arial"/>
          <w:sz w:val="16"/>
          <w:szCs w:val="16"/>
          <w:color w:val="auto"/>
        </w:rPr>
        <w:t>”) of HalioDx, SAS, a French société par actions simplifiée (“</w:t>
      </w:r>
      <w:r>
        <w:rPr>
          <w:rFonts w:ascii="Arial" w:cs="Arial" w:eastAsia="Arial" w:hAnsi="Arial"/>
          <w:sz w:val="16"/>
          <w:szCs w:val="16"/>
          <w:b w:val="1"/>
          <w:bCs w:val="1"/>
          <w:i w:val="1"/>
          <w:iCs w:val="1"/>
          <w:color w:val="auto"/>
        </w:rPr>
        <w:t>HalioDx</w:t>
      </w:r>
      <w:r>
        <w:rPr>
          <w:rFonts w:ascii="Arial" w:cs="Arial" w:eastAsia="Arial" w:hAnsi="Arial"/>
          <w:sz w:val="16"/>
          <w:szCs w:val="16"/>
          <w:color w:val="auto"/>
        </w:rPr>
        <w:t>”), pursuant to that certain Securities Purchase and Contribution Agreement, dated as of July 13, 2021 by and between the Company, HalioDx and certain shareholders of HalioDx. The Shares were registered pursuant to the Registration Statement on Form S-3 (File No. 333-252681) filed by the Company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February 3, 2021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the related prospectus supplement dated August 4, 2021, filed with the Commission pursuant to Rule 424(b)(7) under the Securities Act (the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and, together with the Registration Statement,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connection with our opinion expressed below we have examined originals or copies of the Company’s Restated Certificate of Incorporation filed with, and certified by, the Delaware Secretary of State (the “</w:t>
      </w:r>
      <w:r>
        <w:rPr>
          <w:rFonts w:ascii="Arial" w:cs="Arial" w:eastAsia="Arial" w:hAnsi="Arial"/>
          <w:sz w:val="19"/>
          <w:szCs w:val="19"/>
          <w:b w:val="1"/>
          <w:bCs w:val="1"/>
          <w:i w:val="1"/>
          <w:iCs w:val="1"/>
          <w:color w:val="auto"/>
        </w:rPr>
        <w:t>Restated Certificate</w:t>
      </w:r>
      <w:r>
        <w:rPr>
          <w:rFonts w:ascii="Arial" w:cs="Arial" w:eastAsia="Arial" w:hAnsi="Arial"/>
          <w:sz w:val="19"/>
          <w:szCs w:val="19"/>
          <w:color w:val="auto"/>
        </w:rPr>
        <w:t>”) and the Company’s Amended and Restated Bylaws (the “</w:t>
      </w:r>
      <w:r>
        <w:rPr>
          <w:rFonts w:ascii="Arial" w:cs="Arial" w:eastAsia="Arial" w:hAnsi="Arial"/>
          <w:sz w:val="19"/>
          <w:szCs w:val="19"/>
          <w:b w:val="1"/>
          <w:bCs w:val="1"/>
          <w:i w:val="1"/>
          <w:iCs w:val="1"/>
          <w:color w:val="auto"/>
        </w:rPr>
        <w:t>Restated Bylaws</w:t>
      </w:r>
      <w:r>
        <w:rPr>
          <w:rFonts w:ascii="Arial" w:cs="Arial" w:eastAsia="Arial" w:hAnsi="Arial"/>
          <w:sz w:val="19"/>
          <w:szCs w:val="19"/>
          <w:color w:val="auto"/>
        </w:rPr>
        <w:t>”), the Registration Statement and the exhibits filed therewith, the Prospectus and all other documents incorporated therein by reference, certain corporate proceedings of the Company’s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or a committee or committees thereof and the Company’s stockholders relating to the Prospectus, and such other agreements, documents, certificates and statements of the Company, its transfer agent and public or government officials, as we have deemed advisable, and have examined such questions of law as we have considered necessary.</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We have assumed the authenticity of all documents submitted to us as originals, the genuineness of all signatures on documents submitted to us, the conformity to originals and completeness of all documents submitted to us as copies, the legal capacity of all persons or entities executing the same, the absence of any undisclosed termination, modification, waiver or amendment to any document reviewed by us, the absence of any other extrinsic agreements or documents that might change or affect the interpretation or terms of documents we have reviewed, and the due authorization, execution and delivery of all such documents where due authorization, execution and delivery are prerequisites to the effectiveness thereof. In giving our opinion, we have also relied upon a good standing certificate regarding the Company issued by the Delaware Secretary of State dated August 4, 2021 and a management certificate addressed to us and dated of even date herewith executed by the Company containing certain factual representations by the Company.</w:t>
      </w:r>
    </w:p>
    <w:p>
      <w:pPr>
        <w:sectPr>
          <w:pgSz w:w="11900" w:h="16838" w:orient="portrait"/>
          <w:cols w:equalWidth="0" w:num="1">
            <w:col w:w="11240"/>
          </w:cols>
          <w:pgMar w:left="320" w:top="1143" w:right="339" w:bottom="1440" w:gutter="0" w:footer="0" w:header="0"/>
        </w:sectPr>
      </w:pPr>
    </w:p>
    <w:bookmarkStart w:id="4" w:name="page5"/>
    <w:bookmarkEnd w:id="4"/>
    <w:p>
      <w:pPr>
        <w:jc w:val="both"/>
        <w:ind w:right="20" w:firstLine="648"/>
        <w:spacing w:after="0" w:line="260" w:lineRule="auto"/>
        <w:rPr>
          <w:sz w:val="20"/>
          <w:szCs w:val="20"/>
          <w:color w:val="auto"/>
        </w:rPr>
      </w:pPr>
      <w:r>
        <w:rPr>
          <w:rFonts w:ascii="Arial" w:cs="Arial" w:eastAsia="Arial" w:hAnsi="Arial"/>
          <w:sz w:val="20"/>
          <w:szCs w:val="20"/>
          <w:color w:val="auto"/>
        </w:rPr>
        <w:t>We render this opinion only with respect to, and express no opinion herein concerning the application or effect of any laws other than, the existing Delaware General Corporation Law.</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connection with our opinions expressed below, we have assumed (i) that at or prior to the time of the delivery of any of the Shares, there will not have occurred any change in the law or the facts affecting the validity of the Shares, any change in actions of the Board or the Company’s stockholders, or any amendments to the Restated Certificate or Restated Bylaws, (ii) that at or prior to the time of the delivery of any Shares as set forth in the Registration Statement, the Prospectus and any applicable free writing prospectus, the Registration Statement will be in effect and no stop order suspending the Registration Statement’s effectiveness will have been issued and remain in effect, (iii) that the Shares will have been registered under the Securities Act pursuant to the Registration Statement and the Prospectus and that such registration will not have been modified or rescinded, and (iv) that there will not have occurred any change in law affecting the validity or enforceability of such Shares. We also have assumed that the delivery of the Shares subsequent to the date hereof and the compliance by the Company with the terms of such Shares will not result in a violation of the Restated Certificate or any provision of any instrument or agreement then binding upon the Company or any restriction imposed by any court or governmental body then having jurisdiction over the Company.</w:t>
      </w:r>
    </w:p>
    <w:p>
      <w:pPr>
        <w:spacing w:after="0" w:line="214" w:lineRule="exact"/>
        <w:rPr>
          <w:sz w:val="20"/>
          <w:szCs w:val="20"/>
          <w:color w:val="auto"/>
        </w:rPr>
      </w:pPr>
    </w:p>
    <w:p>
      <w:pPr>
        <w:jc w:val="both"/>
        <w:ind w:firstLine="441"/>
        <w:spacing w:after="0" w:line="260" w:lineRule="auto"/>
        <w:rPr>
          <w:sz w:val="20"/>
          <w:szCs w:val="20"/>
          <w:color w:val="auto"/>
        </w:rPr>
      </w:pPr>
      <w:r>
        <w:rPr>
          <w:rFonts w:ascii="Arial" w:cs="Arial" w:eastAsia="Arial" w:hAnsi="Arial"/>
          <w:sz w:val="20"/>
          <w:szCs w:val="20"/>
          <w:color w:val="auto"/>
        </w:rPr>
        <w:t>Based upon the foregoing, we are of the opinion that the Shares to be sold by the Selling Stockholders pursuant to the Prospectus are validly issued, fully paid and nonassessable.</w:t>
      </w:r>
    </w:p>
    <w:p>
      <w:pPr>
        <w:spacing w:after="0" w:line="204"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20"/>
          <w:szCs w:val="20"/>
          <w:color w:val="auto"/>
        </w:rPr>
        <w:t>We consent to the use of this opinion as an exhibit to the Current Report on Form 8-K to be filed by the Company with the Commission in connection with the offering of the Shares, and further consent to all references to us, if any, in the Registration Statement, the Prospectus Supplement and any amendments or supplements thereto.</w:t>
      </w:r>
    </w:p>
    <w:p>
      <w:pPr>
        <w:spacing w:after="0" w:line="213"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20"/>
          <w:szCs w:val="20"/>
          <w:color w:val="auto"/>
        </w:rPr>
        <w:t>This opinion is intended solely for use in connection with the sale of the Shares subject to the Registration Statement and is not to be relied upon for any other purpose. This opinion is rendered as of the date first written above and based solely on our understanding of facts in existence as of such date after the aforementioned examination.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Very truly yours,</w:t>
      </w:r>
    </w:p>
    <w:p>
      <w:pPr>
        <w:spacing w:after="0" w:line="27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31750</wp:posOffset>
            </wp:positionV>
            <wp:extent cx="1637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48"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FENWICK &amp; WEST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sectPr>
      <w:pgSz w:w="11900" w:h="16838" w:orient="portrait"/>
      <w:cols w:equalWidth="0" w:num="1">
        <w:col w:w="11240"/>
      </w:cols>
      <w:pgMar w:left="320" w:top="11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2021-08-04T16:06:26Z</dcterms:created>
  <dcterms:modified xsi:type="dcterms:W3CDTF">2021-08-04T16:06:26Z</dcterms:modified>
</cp:coreProperties>
</file>