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-588010</wp:posOffset>
            </wp:positionV>
            <wp:extent cx="8255" cy="5886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-596265</wp:posOffset>
            </wp:positionV>
            <wp:extent cx="8255" cy="5969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-572135</wp:posOffset>
            </wp:positionV>
            <wp:extent cx="1273175" cy="54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54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1665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9" w:right="359" w:bottom="57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Anderson Bonnie H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30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and CEO</w:t>
      </w:r>
    </w:p>
    <w:p>
      <w:pPr>
        <w:spacing w:after="0" w:line="5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9" w:right="359" w:bottom="572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05/11/2020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1,870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274,183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05/11/2020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294,183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05/11/2020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19,800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26.6623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274,383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05/11/2020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27.1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274,183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ind w:left="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05/10/2030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10,920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02/04/2023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46,853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-4616450</wp:posOffset>
            </wp:positionV>
            <wp:extent cx="7035800" cy="4751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May 11, 2020 vest 24 months from May 1, 2020 subject to continuing employment of the Reporting Person on the vesting date.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$26.08 to $27.03.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awarded on May 11, 2020 vest 24 months from May 1, 2020 subject to continuing employment of the Reporting Person on the vesting date.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20" w:hanging="2"/>
        <w:spacing w:after="0" w:line="309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February 5, 2013, the Reporting Person was issued 3 stock options which have different vesting dates, all of which are vested. These options include: (1) 112,500, of which 5,241 shares are exercised on 5/11/2020 and 25,000 options remain, (2) 12,500, of which 12,500 are exercised on 5/11/2020 and none remain and (3) 24,112, of which 2,259 were exercised on 5/11/2020 and 21,853 remain.</w:t>
      </w: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are fully vested.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/s/ Keith Kennedy as attorney-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7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2020-05-13T15:48:50Z</dcterms:created>
  <dcterms:modified xsi:type="dcterms:W3CDTF">2020-05-13T15:48:50Z</dcterms:modified>
</cp:coreProperties>
</file>