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10, 2015</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8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001-36156</w:t>
            </w:r>
          </w:p>
        </w:tc>
        <w:tc>
          <w:tcPr>
            <w:tcW w:w="352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3880" w:type="dxa"/>
            <w:vAlign w:val="bottom"/>
          </w:tcPr>
          <w:p>
            <w:pPr>
              <w:jc w:val="center"/>
              <w:ind w:left="1770"/>
              <w:spacing w:after="0"/>
              <w:rPr>
                <w:sz w:val="20"/>
                <w:szCs w:val="20"/>
                <w:color w:val="auto"/>
              </w:rPr>
            </w:pPr>
            <w:r>
              <w:rPr>
                <w:rFonts w:ascii="Arial" w:cs="Arial" w:eastAsia="Arial" w:hAnsi="Arial"/>
                <w:sz w:val="18"/>
                <w:szCs w:val="18"/>
                <w:color w:val="auto"/>
                <w:w w:val="93"/>
              </w:rPr>
              <w:t>(Commission</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3"/>
              </w:rPr>
              <w:t>(IRS Employer</w:t>
            </w:r>
          </w:p>
        </w:tc>
      </w:tr>
      <w:tr>
        <w:trPr>
          <w:trHeight w:val="230"/>
        </w:trPr>
        <w:tc>
          <w:tcPr>
            <w:tcW w:w="1960" w:type="dxa"/>
            <w:vAlign w:val="bottom"/>
          </w:tcPr>
          <w:p>
            <w:pPr>
              <w:jc w:val="center"/>
              <w:spacing w:after="0"/>
              <w:rPr>
                <w:sz w:val="20"/>
                <w:szCs w:val="20"/>
                <w:color w:val="auto"/>
              </w:rPr>
            </w:pPr>
            <w:r>
              <w:rPr>
                <w:rFonts w:ascii="Arial" w:cs="Arial" w:eastAsia="Arial" w:hAnsi="Arial"/>
                <w:sz w:val="18"/>
                <w:szCs w:val="18"/>
                <w:color w:val="auto"/>
                <w:w w:val="95"/>
              </w:rPr>
              <w:t>of incorporation)</w:t>
            </w:r>
          </w:p>
        </w:tc>
        <w:tc>
          <w:tcPr>
            <w:tcW w:w="3880" w:type="dxa"/>
            <w:vAlign w:val="bottom"/>
          </w:tcPr>
          <w:p>
            <w:pPr>
              <w:jc w:val="center"/>
              <w:ind w:left="1770"/>
              <w:spacing w:after="0"/>
              <w:rPr>
                <w:sz w:val="20"/>
                <w:szCs w:val="20"/>
                <w:color w:val="auto"/>
              </w:rPr>
            </w:pPr>
            <w:r>
              <w:rPr>
                <w:rFonts w:ascii="Arial" w:cs="Arial" w:eastAsia="Arial" w:hAnsi="Arial"/>
                <w:sz w:val="18"/>
                <w:szCs w:val="18"/>
                <w:color w:val="auto"/>
                <w:w w:val="94"/>
              </w:rPr>
              <w:t>File Number)</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60" w:type="dxa"/>
            <w:vAlign w:val="bottom"/>
          </w:tcPr>
          <w:p>
            <w:pPr>
              <w:spacing w:after="0"/>
              <w:rPr>
                <w:sz w:val="24"/>
                <w:szCs w:val="24"/>
                <w:color w:val="auto"/>
              </w:rPr>
            </w:pPr>
          </w:p>
        </w:tc>
        <w:tc>
          <w:tcPr>
            <w:tcW w:w="7400" w:type="dxa"/>
            <w:vAlign w:val="bottom"/>
            <w:gridSpan w:val="2"/>
          </w:tcPr>
          <w:p>
            <w:pPr>
              <w:jc w:val="center"/>
              <w:ind w:right="1590"/>
              <w:spacing w:after="0"/>
              <w:rPr>
                <w:sz w:val="20"/>
                <w:szCs w:val="20"/>
                <w:color w:val="auto"/>
              </w:rPr>
            </w:pPr>
            <w:r>
              <w:rPr>
                <w:rFonts w:ascii="Arial" w:cs="Arial" w:eastAsia="Arial" w:hAnsi="Arial"/>
                <w:sz w:val="18"/>
                <w:szCs w:val="18"/>
                <w:b w:val="1"/>
                <w:bCs w:val="1"/>
                <w:color w:val="auto"/>
                <w:w w:val="91"/>
              </w:rPr>
              <w:t>7000 Shoreline Court, Suite 250, South San Francisco, California 94080</w:t>
            </w:r>
          </w:p>
        </w:tc>
      </w:tr>
      <w:tr>
        <w:trPr>
          <w:trHeight w:val="230"/>
        </w:trPr>
        <w:tc>
          <w:tcPr>
            <w:tcW w:w="1960" w:type="dxa"/>
            <w:vAlign w:val="bottom"/>
          </w:tcPr>
          <w:p>
            <w:pPr>
              <w:spacing w:after="0"/>
              <w:rPr>
                <w:sz w:val="20"/>
                <w:szCs w:val="20"/>
                <w:color w:val="auto"/>
              </w:rPr>
            </w:pPr>
          </w:p>
        </w:tc>
        <w:tc>
          <w:tcPr>
            <w:tcW w:w="3880" w:type="dxa"/>
            <w:vAlign w:val="bottom"/>
          </w:tcPr>
          <w:p>
            <w:pPr>
              <w:ind w:left="980"/>
              <w:spacing w:after="0"/>
              <w:rPr>
                <w:sz w:val="20"/>
                <w:szCs w:val="20"/>
                <w:color w:val="auto"/>
              </w:rPr>
            </w:pPr>
            <w:r>
              <w:rPr>
                <w:rFonts w:ascii="Arial" w:cs="Arial" w:eastAsia="Arial" w:hAnsi="Arial"/>
                <w:sz w:val="18"/>
                <w:szCs w:val="18"/>
                <w:color w:val="auto"/>
                <w:w w:val="93"/>
              </w:rPr>
              <w:t>(Address of principal executive offices)</w:t>
            </w:r>
          </w:p>
        </w:tc>
        <w:tc>
          <w:tcPr>
            <w:tcW w:w="3520" w:type="dxa"/>
            <w:vAlign w:val="bottom"/>
          </w:tcPr>
          <w:p>
            <w:pPr>
              <w:ind w:left="40"/>
              <w:spacing w:after="0"/>
              <w:rPr>
                <w:sz w:val="20"/>
                <w:szCs w:val="20"/>
                <w:color w:val="auto"/>
              </w:rPr>
            </w:pPr>
            <w:r>
              <w:rPr>
                <w:rFonts w:ascii="Arial" w:cs="Arial" w:eastAsia="Arial" w:hAnsi="Arial"/>
                <w:sz w:val="18"/>
                <w:szCs w:val="18"/>
                <w:color w:val="auto"/>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On March 10, 2015, Brook H. Byers notified Veracyte, Inc. (the “Company”) that he would be retiring from the Board of Directors (the “Board”), effective at the time of the Company’s 2015 Annual Meeting of Stockholders on May 18, 2015, and therefore would not stand for re-election. Mr. Byers has been a member of the Company’s Board of Directors since 2007.</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2015 CEO Base Salary; 2015 CEO Bonus Plan Target</w:t>
      </w:r>
    </w:p>
    <w:p>
      <w:pPr>
        <w:spacing w:after="0" w:line="225"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On March 10, 2015, the independent members of the Board, on the recommendation of the Compensation Committee of the Board (the “Compensation Committee”), approved an increase in the base salary of Bonnie H. Anderson, the Company’s President and Chief Executive Officer, to $457,000.</w:t>
      </w:r>
    </w:p>
    <w:p>
      <w:pPr>
        <w:spacing w:after="0" w:line="124" w:lineRule="exact"/>
        <w:rPr>
          <w:sz w:val="24"/>
          <w:szCs w:val="24"/>
          <w:color w:val="auto"/>
        </w:rPr>
      </w:pPr>
    </w:p>
    <w:p>
      <w:pPr>
        <w:ind w:right="100"/>
        <w:spacing w:after="0" w:line="293" w:lineRule="auto"/>
        <w:rPr>
          <w:sz w:val="20"/>
          <w:szCs w:val="20"/>
          <w:color w:val="auto"/>
        </w:rPr>
      </w:pPr>
      <w:r>
        <w:rPr>
          <w:rFonts w:ascii="Arial" w:cs="Arial" w:eastAsia="Arial" w:hAnsi="Arial"/>
          <w:sz w:val="16"/>
          <w:szCs w:val="16"/>
          <w:color w:val="auto"/>
        </w:rPr>
        <w:t>The independent members of the Board also approved, on the recommendation of the Compensation Committee, a bonus target for Ms. Anderson of 60% of her 2015 base salary under the 2015 Bonus Plan. Under the plan, executive officers are eligible to receive annual incentive compensation if the Company achieves the annual corporate goals approved by the Board. Such bonuses may be paid in cash, fully vested stock options or restricted stock, or any combination thereof, at the discretion of the independent members of the Board. Actual awards under the plan could either exceed or be less than the targets established, as determined by the independent members of the Board in their discretion based on the recommendation of the Compensation Committee and based on corporate and individual performance. Corporate goals for 2015 are expected to be approved by the end of March 2015.</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360"/>
          </w:cols>
          <w:pgMar w:left="240" w:top="544" w:right="299" w:bottom="0" w:gutter="0" w:footer="0" w:header="0"/>
        </w:sectPr>
      </w:pPr>
    </w:p>
    <w:bookmarkStart w:id="1" w:name="page2"/>
    <w:bookmarkEnd w:id="1"/>
    <w:p>
      <w:pPr>
        <w:ind w:right="68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March 13, 2015</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6460" w:type="dxa"/>
            <w:vAlign w:val="bottom"/>
          </w:tcPr>
          <w:p>
            <w:pPr>
              <w:ind w:left="57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6460" w:type="dxa"/>
            <w:vAlign w:val="bottom"/>
          </w:tcPr>
          <w:p>
            <w:pPr>
              <w:ind w:left="57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46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2019-12-08T19:03:48Z</dcterms:created>
  <dcterms:modified xsi:type="dcterms:W3CDTF">2019-12-08T19:03:48Z</dcterms:modified>
</cp:coreProperties>
</file>