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7.jpeg" ContentType="image/jpeg"/>
  <Override PartName="/word/media/image3.jpeg" ContentType="image/jpeg"/>
  <Override PartName="/word/media/image4.jpeg" ContentType="image/jpeg"/>
  <Override PartName="/word/media/image5.jpeg" ContentType="image/jpeg"/>
  <Override PartName="/word/media/image6.gif" ContentType="image/gif"/>
  <Override PartName="/word/media/image11.gif" ContentType="image/gif"/>
  <Override PartName="/word/media/image8.jpeg" ContentType="image/jpeg"/>
  <Override PartName="/word/media/image9.gif" ContentType="image/gif"/>
  <Override PartName="/word/media/image10.gif" ContentType="image/gif"/>
  <Override PartName="/word/media/image1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(AMENDMENT NO.  )</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w:t>
      </w:r>
    </w:p>
    <w:tbl>
      <w:tblPr>
        <w:tblW w:w="8598" w:type="dxa"/>
        <w:jc w:val="center"/>
        <w:tblInd w:w="0" w:type="dxa"/>
        <w:tblLayout w:type="fixed"/>
        <w:tblCellMar>
          <w:top w:w="28" w:type="dxa"/>
          <w:left w:w="28" w:type="dxa"/>
          <w:bottom w:w="28" w:type="dxa"/>
          <w:right w:w="28" w:type="dxa"/>
        </w:tblCellMar>
      </w:tblPr>
      <w:tblGrid>
        <w:gridCol w:w="644"/>
        <w:gridCol w:w="565"/>
        <w:gridCol w:w="565"/>
        <w:gridCol w:w="1983"/>
        <w:gridCol w:w="1983"/>
        <w:gridCol w:w="2858"/>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859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tc>
      </w:tr>
      <w:tr>
        <w:trPr/>
        <w:tc>
          <w:tcPr>
            <w:tcW w:w="859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p>
        </w:tc>
      </w:tr>
      <w:tr>
        <w:trPr/>
        <w:tc>
          <w:tcPr>
            <w:tcW w:w="8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698"/>
        <w:gridCol w:w="612"/>
        <w:gridCol w:w="612"/>
        <w:gridCol w:w="1285"/>
        <w:gridCol w:w="1285"/>
        <w:gridCol w:w="1285"/>
        <w:gridCol w:w="1285"/>
        <w:gridCol w:w="1285"/>
        <w:gridCol w:w="1858"/>
      </w:tblGrid>
      <w:tr>
        <w:trPr/>
        <w:tc>
          <w:tcPr>
            <w:tcW w:w="69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VERACYTE, INC.</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br/>
              <w:t>_____________________________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c>
      </w:tr>
      <w:tr>
        <w:trPr/>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(650) 243-6300</w: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April 25,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are cordially invited to attend the Annual Meeting of Stockholders of Veracyte, Inc. that will be held virtually on Wednesday, June 12, 2024, at 10:00 a.m., Pacific Time. The virtual Annual Meeting can be accessed by visiting www.virtualshareholdermeeting.com/VCYT2024, where you will be able to listen to the meeting live, submit questions and vote online. We believe that a virtual stockholder meeting provides greater access to those who may want to attend, and therefore we have chosen this over an in-person meeting. This approach also lowers costs, enables greater participation and is better for the environment.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matters to be acted upon are described in the accompanying Notice of Annual Meeting and Proxy Statement.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reading the Proxy Statement, please vote promptly to ensure that your shares will be represented. Whether or not you plan to attend the meeting, please vote by telephone or the internet, or sign and return a proxy card to ensure your representation at the meeting. Your vote is important.</w:t>
      </w:r>
    </w:p>
    <w:p>
      <w:pPr>
        <w:pStyle w:val="TextBody"/>
        <w:bidi w:val="0"/>
        <w:spacing w:before="0" w:after="0"/>
        <w:ind w:left="0" w:right="0" w:firstLine="720"/>
        <w:jc w:val="both"/>
        <w:rPr/>
      </w:pPr>
      <w:r>
        <w:rPr/>
      </w:r>
    </w:p>
    <w:p>
      <w:pPr>
        <w:pStyle w:val="TextBody"/>
        <w:bidi w:val="0"/>
        <w:spacing w:lineRule="auto" w:line="288" w:before="0" w:after="3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look forward to seeing you at the Annual Meeting.</w:t>
      </w:r>
    </w:p>
    <w:tbl>
      <w:tblPr>
        <w:tblW w:w="2397" w:type="dxa"/>
        <w:jc w:val="center"/>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Veracyte,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Wednesday, June 12,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of Veracyte, Inc.:</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Meeting of Stockholders of Veracyte, Inc., a Delaware corporation (“Veracyte,” “we,” “us” or “our”), will be held virtually via the Internet at www.virtualshareholdermeeting.com/VCYT2024 on Wednesday, June 12, 2024, at 10:00 a.m., Pacific Time, for the following purposes: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To elect two directors to serve until the 2025 annual meeting of stockholders or until their successors are duly elected and qualified;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To ratify the appointment of Ernst &amp; Young LLP as our independent registered public accounting firm for 2024;</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To approve, on a non-binding advisory basis, the compensation paid by us to our named executive officers as disclosed in this Proxy Statement;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To approve an amendment to our Veracyte, Inc. 2023 Equity Incentive Plan;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To transact such other business as may properly come before the Annual Meeting of Stockholders and any postponement or adjournment of the Annual Meeting.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Only stockholders of record as of the close of business on April 15, 2024 are entitled to notice of and to vote at the Annual Meeting and any postponement or adjournment thereof.</w:t>
      </w:r>
    </w:p>
    <w:p>
      <w:pPr>
        <w:pStyle w:val="TextBody"/>
        <w:bidi w:val="0"/>
        <w:spacing w:lineRule="auto" w:line="288" w:before="0" w:after="240"/>
        <w:ind w:left="0" w:right="0" w:firstLine="720"/>
        <w:jc w:val="both"/>
        <w:rPr/>
      </w:pPr>
      <w:r>
        <w:rPr>
          <w:rFonts w:ascii="Times New Roman;sans-serif" w:hAnsi="Times New Roman;sans-serif"/>
          <w:b/>
          <w:color w:val="000000"/>
          <w:sz w:val="20"/>
        </w:rPr>
        <w:t>It is important that your shares be represented at this meeting. Even if you plan to attend the meeting, we hope that you will vote as soon as possible.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www.virtualshareholdermeeting.com/VCYT2024. Please review the instructions on page </w:t>
      </w:r>
      <w:hyperlink w:anchor="i17482f952e0d40e394271eefc978640c_19289">
        <w:r>
          <w:rPr>
            <w:rStyle w:val="InternetLink"/>
            <w:rFonts w:ascii="Times New Roman;sans-serif" w:hAnsi="Times New Roman;sans-serif"/>
            <w:b/>
            <w:color w:val="0000FF"/>
            <w:sz w:val="20"/>
            <w:u w:val="single"/>
          </w:rPr>
          <w:t>6</w:t>
        </w:r>
      </w:hyperlink>
      <w:r>
        <w:rPr>
          <w:color w:val="000000"/>
        </w:rPr>
        <w:t xml:space="preserve"> </w:t>
      </w:r>
      <w:r>
        <w:rPr>
          <w:rFonts w:ascii="Times New Roman;sans-serif" w:hAnsi="Times New Roman;sans-serif"/>
          <w:b/>
          <w:color w:val="000000"/>
          <w:sz w:val="20"/>
        </w:rPr>
        <w:t>of the Proxy Statement and your proxy card or voting instruction form regarding each of these voting options.</w:t>
      </w:r>
    </w:p>
    <w:tbl>
      <w:tblPr>
        <w:tblW w:w="3267" w:type="dxa"/>
        <w:jc w:val="center"/>
        <w:tblInd w:w="0" w:type="dxa"/>
        <w:tblLayout w:type="fixed"/>
        <w:tblCellMar>
          <w:top w:w="28" w:type="dxa"/>
          <w:left w:w="28" w:type="dxa"/>
          <w:bottom w:w="28" w:type="dxa"/>
          <w:right w:w="28" w:type="dxa"/>
        </w:tblCellMar>
      </w:tblPr>
      <w:tblGrid>
        <w:gridCol w:w="124"/>
        <w:gridCol w:w="109"/>
        <w:gridCol w:w="109"/>
        <w:gridCol w:w="855"/>
        <w:gridCol w:w="855"/>
        <w:gridCol w:w="12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 San Francisco, California</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April 25, 2024</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ANNUAL MEETING OF STOCKHOLDERS TO BE HELD ON JUNE 12, 2024.</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The Proxy Statement and Annual Report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 2024 ANNUAL MEETING OF STOCKHOLDERS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90"/>
        <w:gridCol w:w="3069"/>
        <w:gridCol w:w="3074"/>
        <w:gridCol w:w="167"/>
        <w:gridCol w:w="167"/>
        <w:gridCol w:w="238"/>
      </w:tblGrid>
      <w:tr>
        <w:trPr/>
        <w:tc>
          <w:tcPr>
            <w:tcW w:w="3490"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br/>
              <w:t>No.</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b1cc1b72cc3442d4802c18b9c8d8d20d_10">
              <w:r>
                <w:rPr>
                  <w:rStyle w:val="InternetLink"/>
                  <w:rFonts w:ascii="Times New Roman;sans-serif" w:hAnsi="Times New Roman;sans-serif"/>
                  <w:b w:val="false"/>
                  <w:color w:val="0000FF"/>
                  <w:sz w:val="20"/>
                  <w:u w:val="single"/>
                </w:rPr>
                <w:t>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PROXY STATEMENT SUMMARY</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13">
              <w:r>
                <w:rPr>
                  <w:rStyle w:val="InternetLink"/>
                  <w:rFonts w:ascii="Times New Roman;sans-serif" w:hAnsi="Times New Roman;sans-serif"/>
                  <w:b w:val="false"/>
                  <w:color w:val="0000FF"/>
                  <w:sz w:val="20"/>
                  <w:u w:val="single"/>
                </w:rPr>
                <w:t>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INFORMATION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16">
              <w:r>
                <w:rPr>
                  <w:rStyle w:val="InternetLink"/>
                  <w:rFonts w:ascii="Times New Roman;sans-serif" w:hAnsi="Times New Roman;sans-serif"/>
                  <w:b w:val="false"/>
                  <w:color w:val="0000FF"/>
                  <w:sz w:val="20"/>
                  <w:u w:val="single"/>
                </w:rPr>
                <w:t>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1 ELECTION OF DIRECTORS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19">
              <w:r>
                <w:rPr>
                  <w:rStyle w:val="InternetLink"/>
                  <w:rFonts w:ascii="Times New Roman;sans-serif" w:hAnsi="Times New Roman;sans-serif"/>
                  <w:b w:val="false"/>
                  <w:color w:val="0000FF"/>
                  <w:sz w:val="20"/>
                  <w:u w:val="single"/>
                </w:rPr>
                <w:t>10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2 RATIFICATION OF APPOINTMENT OF INDEPENDENT REGISTERED PUBLIC ACCOUNTING FIRM</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58">
              <w:r>
                <w:rPr>
                  <w:rStyle w:val="InternetLink"/>
                  <w:rFonts w:ascii="Times New Roman;sans-serif" w:hAnsi="Times New Roman;sans-serif"/>
                  <w:b w:val="false"/>
                  <w:color w:val="0000FF"/>
                  <w:sz w:val="20"/>
                  <w:u w:val="single"/>
                </w:rPr>
                <w:t>21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3 ADVISORY VOTE ON THE COMPENSATION OF OUR NAMED EXECUTIVE OFFICERS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70">
              <w:r>
                <w:rPr>
                  <w:rStyle w:val="InternetLink"/>
                  <w:rFonts w:ascii="Times New Roman;sans-serif" w:hAnsi="Times New Roman;sans-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4 APPROVAL OF AMENDMENT TO THE VERACYTE, INC. 2023 EQUITY INCENTIVE PLAN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73">
              <w:r>
                <w:rPr>
                  <w:rStyle w:val="InternetLink"/>
                  <w:rFonts w:ascii="Times New Roman;sans-serif" w:hAnsi="Times New Roman;sans-serif"/>
                  <w:b w:val="false"/>
                  <w:color w:val="0000FF"/>
                  <w:sz w:val="20"/>
                  <w:u w:val="single"/>
                </w:rPr>
                <w:t>24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82">
              <w:r>
                <w:rPr>
                  <w:rStyle w:val="InternetLink"/>
                  <w:rFonts w:ascii="Times New Roman;sans-serif" w:hAnsi="Times New Roman;sans-serif"/>
                  <w:b w:val="false"/>
                  <w:color w:val="0000FF"/>
                  <w:sz w:val="20"/>
                  <w:u w:val="single"/>
                </w:rPr>
                <w:t>31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85">
              <w:r>
                <w:rPr>
                  <w:rStyle w:val="InternetLink"/>
                  <w:rFonts w:ascii="Times New Roman;sans-serif" w:hAnsi="Times New Roman;sans-serif"/>
                  <w:b w:val="false"/>
                  <w:color w:val="0000FF"/>
                  <w:sz w:val="20"/>
                  <w:u w:val="single"/>
                </w:rPr>
                <w:t>34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COMPENSATION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88">
              <w:r>
                <w:rPr>
                  <w:rStyle w:val="InternetLink"/>
                  <w:rFonts w:ascii="Times New Roman;sans-serif" w:hAnsi="Times New Roman;sans-serif"/>
                  <w:b w:val="false"/>
                  <w:color w:val="0000FF"/>
                  <w:sz w:val="20"/>
                  <w:u w:val="single"/>
                </w:rPr>
                <w:t>35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118">
              <w:r>
                <w:rPr>
                  <w:rStyle w:val="InternetLink"/>
                  <w:rFonts w:ascii="Times New Roman;sans-serif" w:hAnsi="Times New Roman;sans-serif"/>
                  <w:b w:val="false"/>
                  <w:color w:val="0000FF"/>
                  <w:sz w:val="20"/>
                  <w:u w:val="single"/>
                </w:rPr>
                <w:t>58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 OF THE AUDIT COMMITTEE OF THE BOARD OF DIRECTORS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121">
              <w:r>
                <w:rPr>
                  <w:rStyle w:val="InternetLink"/>
                  <w:rFonts w:ascii="Times New Roman;sans-serif" w:hAnsi="Times New Roman;sans-serif"/>
                  <w:b w:val="false"/>
                  <w:color w:val="0000FF"/>
                  <w:sz w:val="20"/>
                  <w:u w:val="single"/>
                </w:rPr>
                <w:t>58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124">
              <w:r>
                <w:rPr>
                  <w:rStyle w:val="InternetLink"/>
                  <w:rFonts w:ascii="Times New Roman;sans-serif" w:hAnsi="Times New Roman;sans-serif"/>
                  <w:b w:val="false"/>
                  <w:color w:val="0000FF"/>
                  <w:sz w:val="20"/>
                  <w:u w:val="single"/>
                </w:rPr>
                <w:t>58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127">
              <w:r>
                <w:rPr>
                  <w:rStyle w:val="InternetLink"/>
                  <w:rFonts w:ascii="Times New Roman;sans-serif" w:hAnsi="Times New Roman;sans-serif"/>
                  <w:b w:val="false"/>
                  <w:color w:val="0000FF"/>
                  <w:sz w:val="20"/>
                  <w:u w:val="single"/>
                </w:rPr>
                <w:t>59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MATTERS AND AVAILABLE INFORMATION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cc1b72cc3442d4802c18b9c8d8d20d_136">
              <w:r>
                <w:rPr>
                  <w:rStyle w:val="InternetLink"/>
                  <w:rFonts w:ascii="Times New Roman;sans-serif" w:hAnsi="Times New Roman;sans-serif"/>
                  <w:b w:val="false"/>
                  <w:color w:val="0000FF"/>
                  <w:sz w:val="20"/>
                  <w:u w:val="single"/>
                </w:rPr>
                <w:t>60</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contains forward-looking statements within the meaning of the Private Securities Litigation Reform Act of 1995. When used in this proxy statement, the words “expects,” “anticipates,” “intends,” “estimates,” “plans,” “believes,” “continuing,” “ongoing,” and similar expressions are intended to identify forward-looking statements. These are statements that relate to future events and include but not limited to, forward-looking statements that involve risks and uncertainties; our ability to execute our short-term and long-term growth strategies; our plans for environmental, corporate governance and social responsibility, and other future events.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only predictions and may differ materially from actual results due to a variety of factors, including, but not limited to, the risks and uncertainties listed in our Annual Report on Form 10-K, filed on February 29, 2024, for the year ended December 31, 2023 and other reports filed with the U.S. Securities and Exchange Commission to which your attention is directed. You should not place undue reliance on these forward-looking statements, which speak only as of the date hereof, and we undertake no obligation to update these forward-looking statements to reflect subsequent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PROXY STATEMENT SUMMARY</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summary highlights information contained elsewhere in this proxy statement. You should read the entire proxy statement before voting. </w:t>
      </w:r>
    </w:p>
    <w:p>
      <w:pPr>
        <w:pStyle w:val="TextBody"/>
        <w:bidi w:val="0"/>
        <w:spacing w:lineRule="auto" w:line="264" w:before="0" w:after="180"/>
        <w:jc w:val="left"/>
        <w:rPr>
          <w:rFonts w:ascii="Times New Roman;sans-serif" w:hAnsi="Times New Roman;sans-serif"/>
          <w:b/>
          <w:color w:val="000000"/>
          <w:sz w:val="20"/>
        </w:rPr>
      </w:pPr>
      <w:r>
        <w:rPr>
          <w:rFonts w:ascii="Times New Roman;sans-serif" w:hAnsi="Times New Roman;sans-serif"/>
          <w:b/>
          <w:color w:val="000000"/>
          <w:sz w:val="20"/>
        </w:rPr>
        <w:t>2023 FINANCIAL AND BUSINESS HIGHLIGHTS AND RECENT COMPANY DEVELOPMENTS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Delivered total 2023 revenue of $361.1 million, an increase of 22% compared to $296.5 million in 2022. </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Grew total test volume to 126,977 for the full-year 2023, an increase of 24%, compared to the prior year.</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Generated $44.2 million in cash from operating activities for the full-year 2023 to end the year with cash and cash equivalents of $216.5 million.</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Further strengthened the body of evidence for Decipher Prostate, adding 8 publications and 16 abstracts to the clinical-evidence library, reinforcing Decipher’s status as the only molecular test to receive Level 1 evidence designation in the National Comprehensive Cancer Network’s (NCCN) prostate cancer guidelines. </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Enhanced our Endocrinology offering with the launch of TERT promoter mutation testing for Afirma and the introduction of our Afirma GRID research tool.</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Introduced our multi-platform strategy to accelerate global expansion of our tests, and signed an agreement with Illumina, Inc. to develop certain of our tests as in vitro diagnostics (IVDs) for use on their NextSeq 550Dx next-generation sequencing (NGS) instrument.</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Published the clinical validation study for our Percepta Nasal Swab test in CHEST journal. </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Acquired C2i Genomics, Inc. on February 5, 2024, adding whole-genome minimal residual disease (MRD) capabilities to our novel Veracyte Diagnostics Platform and expanding our ability to serve patients across the cancer care continuum.</w:t>
      </w:r>
    </w:p>
    <w:p>
      <w:pPr>
        <w:pStyle w:val="TextBody"/>
        <w:bidi w:val="0"/>
        <w:spacing w:lineRule="auto" w:line="264" w:before="180" w:after="180"/>
        <w:jc w:val="left"/>
        <w:rPr>
          <w:rFonts w:ascii="Times New Roman;sans-serif" w:hAnsi="Times New Roman;sans-serif"/>
          <w:b/>
          <w:color w:val="000000"/>
          <w:sz w:val="20"/>
        </w:rPr>
      </w:pPr>
      <w:r>
        <w:rPr>
          <w:rFonts w:ascii="Times New Roman;sans-serif" w:hAnsi="Times New Roman;sans-serif"/>
          <w:b/>
          <w:color w:val="000000"/>
          <w:sz w:val="20"/>
        </w:rPr>
        <w:t>GOVERNANCE AND BOARD HIGHLIGHTS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good corporate governance, which strengthens the accountability of our Board of Directors and promotes the long-term interests of our stockholders. The list below highlights our independent board and leadership and other corporate governance practices, as discussed further in this Proxy Statement.</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Majority of directors are independent (seven out of eight current directors).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Board leadership structure with an independent Chair of the Board of Directors.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All Board of Directors committees, including our Regulatory and Compliance Committee, are composed only of independent directors.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Following approval by our stockholders at the 2023 Annual Meeting of Stockholders (the “2023 Annual Meeting”), we filed a Restated Certificate of Incorporation (the “Restated Certificate”) to implement a gradual declassification of the Board of Directors and provide for the annual election of directors for one-year terms, commencing upon the expiration of the directors’ then-current terms. Beginning with our 2026 annual meeting of stockholders, all director nominees will stand for election for only one-year terms, such terms expiring at the next annual meeting of stockholders. </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Our nominating and corporate governance committee oversees our programs relating to corporate responsibility and sustainability, including Environmental, Social, and Corporate Governance (“ESG”), in collaboration with the audit committee, compensation committee (the “Compensation Committee”), and regulatory and compliance committee on certain ESG matters, as appropriate and as described in each respective committee charter.</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We publish an annual ESG report. </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Our Board of Directors is focused on enhancing diversity. Currently, two out of our eight members of the Board of Directors are female, and two out of eight members of the Board of Directors are from underrepresented groups.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We employ comprehensive enterprise risk management practices, including oversight of cybersecurity, data privacy, legal, compliance and regulatory matters, ESG, and other critical evolving areas.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Independent directors conduct regular executive sessions without management present.</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Directors maintain open communication and strong working relationships among themselves and have regular and direct access to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Directors conduct a robust annual Board of Directors and committee self-assessment process.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We have a majority voting standard for uncontested elections of directors.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We have robust related party transaction standards for any direct or indirect involvement of a director or member of management in the company’s business activities.</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We have robust stock ownership guidelines that require our C-Level executive officers and the non-employee directors on our Board of Directors to hold shares of our common stock, as further discussed herein. </w:t>
      </w:r>
    </w:p>
    <w:p>
      <w:pPr>
        <w:pStyle w:val="TextBody"/>
        <w:bidi w:val="0"/>
        <w:spacing w:lineRule="auto" w:line="276" w:before="0" w:after="120"/>
        <w:ind w:left="0" w:right="0" w:hanging="360"/>
        <w:jc w:val="both"/>
        <w:rPr/>
      </w:pPr>
      <w:r>
        <w:rPr>
          <w:color w:val="000000"/>
        </w:rPr>
        <w:t>•</w:t>
      </w:r>
      <w:r>
        <w:rPr>
          <w:rFonts w:ascii="Times New Roman;sans-serif" w:hAnsi="Times New Roman;sans-serif"/>
          <w:b w:val="false"/>
          <w:color w:val="000000"/>
          <w:sz w:val="20"/>
        </w:rPr>
        <w:t>We have a clawback policy, adopted in accordance with the Nasdaq Stock Market listing standards and compliant with the Securities and Exchange Commission (the “SEC”) final rules, that provides for the recoupment of certain executive officer incentive compensation in the event we are required to restate our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Meeting Agenda and Voting Recommendations</w:t>
      </w:r>
    </w:p>
    <w:tbl>
      <w:tblPr>
        <w:tblW w:w="10205" w:type="dxa"/>
        <w:jc w:val="left"/>
        <w:tblInd w:w="0" w:type="dxa"/>
        <w:tblLayout w:type="fixed"/>
        <w:tblCellMar>
          <w:top w:w="28" w:type="dxa"/>
          <w:left w:w="28" w:type="dxa"/>
          <w:bottom w:w="28" w:type="dxa"/>
          <w:right w:w="28" w:type="dxa"/>
        </w:tblCellMar>
      </w:tblPr>
      <w:tblGrid>
        <w:gridCol w:w="874"/>
        <w:gridCol w:w="447"/>
        <w:gridCol w:w="447"/>
        <w:gridCol w:w="447"/>
        <w:gridCol w:w="447"/>
        <w:gridCol w:w="447"/>
        <w:gridCol w:w="544"/>
        <w:gridCol w:w="447"/>
        <w:gridCol w:w="447"/>
        <w:gridCol w:w="447"/>
        <w:gridCol w:w="447"/>
        <w:gridCol w:w="447"/>
        <w:gridCol w:w="893"/>
        <w:gridCol w:w="447"/>
        <w:gridCol w:w="447"/>
        <w:gridCol w:w="109"/>
        <w:gridCol w:w="109"/>
        <w:gridCol w:w="109"/>
        <w:gridCol w:w="642"/>
        <w:gridCol w:w="642"/>
        <w:gridCol w:w="919"/>
      </w:tblGrid>
      <w:tr>
        <w:trPr/>
        <w:tc>
          <w:tcPr>
            <w:tcW w:w="87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7675" w:type="dxa"/>
            <w:gridSpan w:val="15"/>
            <w:tcBorders>
              <w:bottom w:val="single" w:sz="8" w:space="0" w:color="001A3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15"/>
            <w:tcBorders>
              <w:top w:val="single" w:sz="8" w:space="0" w:color="001A3D"/>
              <w:bottom w:val="single" w:sz="8" w:space="0" w:color="001A3D"/>
            </w:tcBorders>
            <w:tcMar>
              <w:top w:w="30" w:type="dxa"/>
              <w:left w:w="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1</w:t>
            </w:r>
          </w:p>
        </w:tc>
        <w:tc>
          <w:tcPr>
            <w:tcW w:w="327" w:type="dxa"/>
            <w:gridSpan w:val="3"/>
            <w:vMerge w:val="restart"/>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vMerge w:val="restart"/>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76225" cy="276225"/>
                          </a:xfrm>
                          <a:prstGeom prst="rect">
                            <a:avLst/>
                          </a:prstGeom>
                        </pic:spPr>
                      </pic:pic>
                    </a:graphicData>
                  </a:graphic>
                </wp:inline>
              </w:drawing>
            </w:r>
          </w:p>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bidi w:val="0"/>
              <w:spacing w:lineRule="auto" w:line="268" w:before="0" w:after="0"/>
              <w:jc w:val="center"/>
              <w:rPr>
                <w:color w:val="000000"/>
              </w:rPr>
            </w:pPr>
            <w:r>
              <w:rPr>
                <w:color w:val="000000"/>
              </w:rPr>
              <w:t> </w:t>
            </w:r>
          </w:p>
          <w:p>
            <w:pPr>
              <w:pStyle w:val="TableContents"/>
              <w:bidi w:val="0"/>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75" w:type="dxa"/>
            <w:gridSpan w:val="15"/>
            <w:tcBorders>
              <w:top w:val="single" w:sz="8" w:space="0" w:color="001A3D"/>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ELECTION OF DIRECTORS</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7675" w:type="dxa"/>
            <w:gridSpan w:val="15"/>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elect two directors for a one-year term expiring at the 2025 annual meeting of stockholders and until such director or director’s successor is duly elected and qualified or until such director’s earlier death, resignation, disqualification or removal. The table below sets forth information with respect to our two nominees standing for re-election. Both of the nominees are currently serving as directors. Additional information about our director nominees and their respective qualifications can be found under the section titled “Proposal No. 1 Election of Directors—Directors and Nominees.”</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Director Since</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Muna Bhanji</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2021</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Marc Stapley</w:t>
            </w:r>
          </w:p>
        </w:tc>
        <w:tc>
          <w:tcPr>
            <w:tcW w:w="13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3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2021</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7675" w:type="dxa"/>
            <w:gridSpan w:val="15"/>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15"/>
            <w:tcBorders>
              <w:top w:val="single" w:sz="8" w:space="0" w:color="001A3D"/>
              <w:bottom w:val="single" w:sz="8" w:space="0" w:color="001A3D"/>
            </w:tcBorders>
            <w:tcMar>
              <w:top w:w="30" w:type="dxa"/>
              <w:left w:w="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2</w:t>
            </w:r>
          </w:p>
        </w:tc>
        <w:tc>
          <w:tcPr>
            <w:tcW w:w="327" w:type="dxa"/>
            <w:gridSpan w:val="3"/>
            <w:vMerge w:val="restart"/>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vMerge w:val="restart"/>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76225" cy="276225"/>
                          </a:xfrm>
                          <a:prstGeom prst="rect">
                            <a:avLst/>
                          </a:prstGeom>
                        </pic:spPr>
                      </pic:pic>
                    </a:graphicData>
                  </a:graphic>
                </wp:inline>
              </w:drawing>
            </w:r>
          </w:p>
          <w:p>
            <w:pPr>
              <w:pStyle w:val="TableContents"/>
              <w:bidi w:val="0"/>
              <w:spacing w:lineRule="auto" w:line="268" w:before="0" w:after="0"/>
              <w:jc w:val="center"/>
              <w:rPr>
                <w:color w:val="000000"/>
              </w:rPr>
            </w:pPr>
            <w:r>
              <w:rPr>
                <w:color w:val="000000"/>
              </w:rPr>
              <w:t> </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bidi w:val="0"/>
              <w:spacing w:lineRule="auto" w:line="268" w:before="0" w:after="0"/>
              <w:jc w:val="center"/>
              <w:rPr>
                <w:color w:val="000000"/>
              </w:rPr>
            </w:pPr>
            <w:r>
              <w:rPr>
                <w:color w:val="000000"/>
              </w:rPr>
              <w:t> </w:t>
            </w:r>
          </w:p>
          <w:p>
            <w:pPr>
              <w:pStyle w:val="TableContents"/>
              <w:bidi w:val="0"/>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75" w:type="dxa"/>
            <w:gridSpan w:val="15"/>
            <w:tcBorders>
              <w:top w:val="single" w:sz="8" w:space="0" w:color="001A3D"/>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RATIFICATION OF APPOINTMENT OF INDEPENDENT REGISTERED PUBLIC ACCOUNTING FIRM</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7675" w:type="dxa"/>
            <w:gridSpan w:val="15"/>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ratify the audit committee’s appointment of Ernst &amp; Young LLP as our independent registered public accounting firm for the year ending December 31, 2024. Information regarding fees paid to Ernst &amp; Young LLP during 2023 and 2022 can be found under the section titled “Proposal No. 2 Ratification of Appointment of Independent Registered Public Accounting Firm.”</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1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15"/>
            <w:tcBorders>
              <w:top w:val="single" w:sz="8" w:space="0" w:color="001A3D"/>
              <w:bottom w:val="single" w:sz="8" w:space="0" w:color="001A3D"/>
            </w:tcBorders>
            <w:tcMar>
              <w:top w:w="30" w:type="dxa"/>
              <w:left w:w="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3</w:t>
            </w:r>
          </w:p>
        </w:tc>
        <w:tc>
          <w:tcPr>
            <w:tcW w:w="327" w:type="dxa"/>
            <w:gridSpan w:val="3"/>
            <w:vMerge w:val="restart"/>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vMerge w:val="restart"/>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276225" cy="276225"/>
                          </a:xfrm>
                          <a:prstGeom prst="rect">
                            <a:avLst/>
                          </a:prstGeom>
                        </pic:spPr>
                      </pic:pic>
                    </a:graphicData>
                  </a:graphic>
                </wp:inline>
              </w:drawing>
            </w:r>
          </w:p>
          <w:p>
            <w:pPr>
              <w:pStyle w:val="TableContents"/>
              <w:bidi w:val="0"/>
              <w:spacing w:lineRule="auto" w:line="268" w:before="0" w:after="0"/>
              <w:jc w:val="center"/>
              <w:rPr>
                <w:color w:val="000000"/>
              </w:rPr>
            </w:pPr>
            <w:r>
              <w:rPr>
                <w:color w:val="000000"/>
              </w:rPr>
              <w:t> </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bidi w:val="0"/>
              <w:spacing w:lineRule="auto" w:line="268" w:before="0" w:after="0"/>
              <w:jc w:val="center"/>
              <w:rPr>
                <w:color w:val="000000"/>
              </w:rPr>
            </w:pPr>
            <w:r>
              <w:rPr>
                <w:color w:val="000000"/>
              </w:rPr>
              <w:t> </w:t>
            </w:r>
          </w:p>
          <w:p>
            <w:pPr>
              <w:pStyle w:val="TableContents"/>
              <w:bidi w:val="0"/>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75" w:type="dxa"/>
            <w:gridSpan w:val="15"/>
            <w:tcBorders>
              <w:top w:val="single" w:sz="8" w:space="0" w:color="001A3D"/>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ADVISORY VOTE ON THE COMPENSATION OF OUR NAMED EXECUTIVE OFFICERS</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767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approve, on a non-binding advisory basis, the compensation of our named executive officers, commonly referred to as a “say on pay” vote. Information regarding our executive compensation philosophy and amounts paid to each of our named executive officers in 2023 can be found under the section titled “Executive Compensation.”</w:t>
            </w:r>
          </w:p>
        </w:tc>
        <w:tc>
          <w:tcPr>
            <w:tcW w:w="32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5"/>
        <w:gridCol w:w="507"/>
        <w:gridCol w:w="507"/>
        <w:gridCol w:w="507"/>
        <w:gridCol w:w="507"/>
        <w:gridCol w:w="507"/>
        <w:gridCol w:w="507"/>
        <w:gridCol w:w="507"/>
        <w:gridCol w:w="507"/>
        <w:gridCol w:w="507"/>
        <w:gridCol w:w="507"/>
        <w:gridCol w:w="507"/>
        <w:gridCol w:w="507"/>
        <w:gridCol w:w="507"/>
        <w:gridCol w:w="507"/>
        <w:gridCol w:w="109"/>
        <w:gridCol w:w="109"/>
        <w:gridCol w:w="109"/>
        <w:gridCol w:w="644"/>
        <w:gridCol w:w="644"/>
        <w:gridCol w:w="917"/>
      </w:tblGrid>
      <w:tr>
        <w:trPr/>
        <w:tc>
          <w:tcPr>
            <w:tcW w:w="57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bottom w:val="single" w:sz="8" w:space="0" w:color="001A3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15"/>
            <w:tcBorders>
              <w:top w:val="single" w:sz="8" w:space="0" w:color="001A3D"/>
              <w:bottom w:val="single" w:sz="8" w:space="0" w:color="001A3D"/>
            </w:tcBorders>
            <w:tcMar>
              <w:top w:w="30" w:type="dxa"/>
              <w:left w:w="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4</w:t>
            </w:r>
          </w:p>
        </w:tc>
        <w:tc>
          <w:tcPr>
            <w:tcW w:w="327" w:type="dxa"/>
            <w:gridSpan w:val="3"/>
            <w:vMerge w:val="restart"/>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restart"/>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0"/>
              <w:jc w:val="center"/>
              <w:rPr/>
            </w:pPr>
            <w:r>
              <w:rPr/>
              <w:drawing>
                <wp:inline distT="0" distB="0" distL="0" distR="0">
                  <wp:extent cx="276225" cy="2762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p>
          <w:p>
            <w:pPr>
              <w:pStyle w:val="TableContents"/>
              <w:bidi w:val="0"/>
              <w:spacing w:lineRule="auto" w:line="268" w:before="0" w:after="0"/>
              <w:jc w:val="center"/>
              <w:rPr>
                <w:color w:val="000000"/>
              </w:rPr>
            </w:pPr>
            <w:r>
              <w:rPr>
                <w:color w:val="000000"/>
              </w:rPr>
              <w:t> </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bidi w:val="0"/>
              <w:spacing w:lineRule="auto" w:line="268" w:before="0" w:after="0"/>
              <w:jc w:val="center"/>
              <w:rPr>
                <w:color w:val="000000"/>
              </w:rPr>
            </w:pPr>
            <w:r>
              <w:rPr>
                <w:color w:val="000000"/>
              </w:rPr>
              <w:t> </w:t>
            </w:r>
          </w:p>
          <w:p>
            <w:pPr>
              <w:pStyle w:val="TableContents"/>
              <w:bidi w:val="0"/>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73" w:type="dxa"/>
            <w:gridSpan w:val="15"/>
            <w:tcBorders>
              <w:top w:val="single" w:sz="8" w:space="0" w:color="001A3D"/>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APPROVAL OF AMENDMENT TO VERACYTE, INC. 2023 EQUITY INCENTIVE PLAN</w:t>
            </w:r>
          </w:p>
        </w:tc>
        <w:tc>
          <w:tcPr>
            <w:tcW w:w="327" w:type="dxa"/>
            <w:gridSpan w:val="3"/>
            <w:vMerge w:val="continue"/>
            <w:tcBorders>
              <w:bottom w:val="single" w:sz="8" w:space="0" w:color="000000"/>
            </w:tcBorders>
            <w:shd w:fill="DBDBDB" w:val="clear"/>
            <w:tcMar>
              <w:top w:w="0" w:type="dxa"/>
              <w:left w:w="0" w:type="dxa"/>
              <w:right w:w="0" w:type="dxa"/>
            </w:tcMar>
            <w:vAlign w:val="center"/>
          </w:tcPr>
          <w:p>
            <w:pPr>
              <w:pStyle w:val="Normal"/>
              <w:bidi w:val="0"/>
              <w:jc w:val="left"/>
              <w:rPr/>
            </w:pPr>
            <w:r>
              <w:rPr/>
            </w:r>
          </w:p>
        </w:tc>
        <w:tc>
          <w:tcPr>
            <w:tcW w:w="2205" w:type="dxa"/>
            <w:gridSpan w:val="3"/>
            <w:vMerge w:val="continue"/>
            <w:tcBorders>
              <w:bottom w:val="single" w:sz="8" w:space="0" w:color="000000"/>
            </w:tcBorders>
            <w:shd w:fill="DBDBDB" w:val="clear"/>
            <w:tcMar>
              <w:top w:w="0" w:type="dxa"/>
              <w:left w:w="0" w:type="dxa"/>
              <w:bottom w:w="30" w:type="dxa"/>
              <w:right w:w="0" w:type="dxa"/>
            </w:tcMar>
            <w:vAlign w:val="center"/>
          </w:tcPr>
          <w:p>
            <w:pPr>
              <w:pStyle w:val="Normal"/>
              <w:bidi w:val="0"/>
              <w:jc w:val="left"/>
              <w:rPr/>
            </w:pPr>
            <w:r>
              <w:rPr/>
            </w:r>
          </w:p>
        </w:tc>
      </w:tr>
      <w:tr>
        <w:trPr/>
        <w:tc>
          <w:tcPr>
            <w:tcW w:w="76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approve an amendment to our Veracyte, Inc. 2023 Equity Incentive Plan (the “2023 Plan,” and such amendment the “Plan Amendment”) to increase the aggregate number of shares of common stock authorized for issuance under the 2023 Plan by 5,000,000 shares of common stock as described in more detail in this proxy statement. If the Plan Amendment is approved by our stockholders, the Plan Amendment will become effective on June 12, 2024, the date of our Annual Meeting. Additional information regarding this proposal can be found under the section titled “Proposal No. 4—Approval of the Veracyte, Inc. 2023 Equity Incentive Plan Amendment.”</w:t>
            </w:r>
          </w:p>
        </w:tc>
        <w:tc>
          <w:tcPr>
            <w:tcW w:w="327" w:type="dxa"/>
            <w:gridSpan w:val="3"/>
            <w:vMerge w:val="continue"/>
            <w:tcBorders>
              <w:bottom w:val="single" w:sz="8" w:space="0" w:color="000000"/>
            </w:tcBorders>
            <w:shd w:fill="DBDBDB" w:val="clear"/>
            <w:tcMar>
              <w:top w:w="0" w:type="dxa"/>
              <w:left w:w="0" w:type="dxa"/>
              <w:right w:w="0" w:type="dxa"/>
            </w:tcMar>
            <w:vAlign w:val="center"/>
          </w:tcPr>
          <w:p>
            <w:pPr>
              <w:pStyle w:val="Normal"/>
              <w:bidi w:val="0"/>
              <w:jc w:val="left"/>
              <w:rPr/>
            </w:pPr>
            <w:r>
              <w:rPr/>
            </w:r>
          </w:p>
        </w:tc>
        <w:tc>
          <w:tcPr>
            <w:tcW w:w="2205" w:type="dxa"/>
            <w:gridSpan w:val="3"/>
            <w:vMerge w:val="continue"/>
            <w:tcBorders>
              <w:bottom w:val="single" w:sz="8" w:space="0" w:color="000000"/>
            </w:tcBorders>
            <w:shd w:fill="DBDBDB" w:val="clear"/>
            <w:tcMar>
              <w:top w:w="0" w:type="dxa"/>
              <w:left w:w="0" w:type="dxa"/>
              <w:bottom w:w="30" w:type="dxa"/>
              <w:right w:w="0" w:type="dxa"/>
            </w:tcMar>
            <w:vAlign w:val="center"/>
          </w:tcPr>
          <w:p>
            <w:pPr>
              <w:pStyle w:val="Normal"/>
              <w:bidi w:val="0"/>
              <w:jc w:val="left"/>
              <w:rPr/>
            </w:pPr>
            <w:r>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2024 Annual Meeting of Stockholders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Information about Solicitation and Voting</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(“Proxy Statement”) is furnished in connection with the solicitation by the board of directors (“Board of Directors”) of Veracyte, Inc., a Delaware corporation (“we,” “us,” “our” or “Veracyte”), of proxies in the accompanying form to be used at our Annual Meeting of Stockholders on Wednesday, June 12, 2024, at 10:00 a.m., Pacific Time, and any postponement or adjournment thereof (the “Annual Meeting”). To provide greater access to those who may want to attend, the Annual Meeting will be held virtually via the Internet at www.virtualshareholdermeeting.com/VCYT2024.</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Notice of Internet Availability of Proxy Materials and this Proxy Statement for the Annual Meeting and the accompanying form of proxy were first distributed and made available on the Internet to stockholders on or about April 25, 2024. Our annual report on Form 10-K for the year ended December 31, 2023 (the “Annual Report”) is available with this Proxy Statement by following the instructions in the Notice of Internet Availability of Proxy Materials. Our Annual Report is also available on the SEC’s website at www.sec.gov.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Questions and Answers about the Proxy Materials and the Annual Meeting</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What proposals will be voted on at the Annual Meeting?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 proposals will be voted on at the Annual Meeting: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election of two directors to serve until the 2025 annual meeting of stockholders or until their successors are duly elected and qualified;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ratification of the appointment of Ernst &amp; Young LLP as our independent registered public accounting firm for 2024;</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approval, on a non-binding advisory basis, of the compensation of our named executive officers, as disclosed in this Proxy Statement;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approval of an amendment to our Veracyte, Inc. 2023 Equity Incentive Plan (the “Plan Amendment”).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What are the Board of Directors’ recommendations?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recommends that you vote:</w:t>
      </w:r>
    </w:p>
    <w:p>
      <w:pPr>
        <w:pStyle w:val="TextBody"/>
        <w:bidi w:val="0"/>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election of each of the nominated directors;</w:t>
      </w:r>
    </w:p>
    <w:p>
      <w:pPr>
        <w:pStyle w:val="TextBody"/>
        <w:bidi w:val="0"/>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ratification of the appointment of Ernst &amp; Young LLP as our independent registered public accounting firm for 2024;</w:t>
      </w:r>
    </w:p>
    <w:p>
      <w:pPr>
        <w:pStyle w:val="TextBody"/>
        <w:bidi w:val="0"/>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the approval, on a non-binding advisory basis, of the compensation of our named executive officers, as disclosed in this Proxy Statement; and</w:t>
      </w:r>
    </w:p>
    <w:p>
      <w:pPr>
        <w:pStyle w:val="TextBody"/>
        <w:bidi w:val="0"/>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the approval of the Plan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Will there be any other items of business on the agenda?</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Who is entitled to vote?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year’s Annual Meeting will take place virtually through the Internet. We have designed the format of this year’s Annual Meeting to ensure that our stockholders who attend the Annual Meeting will be afforded the same rights and opportunities to participate as they would at an in-person meeting. You are entitled to attend and participate in the Annual Meeting only if you were a stockholder of record as of the close of business on April 15, 2024 (the “Record Date”), or if you hold a valid proxy for the meeting, as described below. Each stockholder is entitled to one vote for each share of our common stock held as of the Record Date. To be admitted to the Annual Meeting at www.virtualshareholdermeeting.com/VCYT2024, you must enter the 16-digit control number found on your proxy card or other proxy materials. If you do not have a control number, please contact the brokerage firm, bank, dealer, or other similar organization that holds your account as soon as possible so that you can be provided with a control number.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What is the difference between holding shares as a stockholder of record and as a beneficial owner?</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Stockholder of Record.</w:t>
      </w:r>
      <w:r>
        <w:rPr>
          <w:color w:val="000000"/>
        </w:rPr>
        <w:t xml:space="preserve"> </w:t>
      </w:r>
      <w:r>
        <w:rPr>
          <w:rFonts w:ascii="Times New Roman;sans-serif" w:hAnsi="Times New Roman;sans-serif"/>
          <w:b w:val="false"/>
          <w:color w:val="000000"/>
          <w:sz w:val="20"/>
        </w:rPr>
        <w:t>If your shares are registered directly in your name with our transfer agent, Broadridge Corporate Issuer Solutions, Inc., you are considered, with respect to those shares, the “stockholder of record.” As a stockholder of record, you may vote at the Annual Meeting or vote by telephone, by Internet, or by filling out and returning the proxy card.</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Beneficial Owner.</w:t>
      </w:r>
      <w:r>
        <w:rPr>
          <w:color w:val="000000"/>
        </w:rPr>
        <w:t xml:space="preserve"> </w:t>
      </w:r>
      <w:r>
        <w:rPr>
          <w:rFonts w:ascii="Times New Roman;sans-serif" w:hAnsi="Times New Roman;sans-serif"/>
          <w:b w:val="false"/>
          <w:color w:val="000000"/>
          <w:sz w:val="20"/>
        </w:rPr>
        <w:t>If your shares are held in a brokerage account or by a bank or other nominee, you are considered the “beneficial owner” of shares 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pStyle w:val="TextBody"/>
        <w:bidi w:val="0"/>
        <w:spacing w:lineRule="auto" w:line="288" w:before="0" w:after="240"/>
        <w:jc w:val="both"/>
        <w:rPr>
          <w:rFonts w:ascii="Times New Roman;sans-serif" w:hAnsi="Times New Roman;sans-serif"/>
          <w:b/>
          <w:i/>
          <w:color w:val="000000"/>
          <w:sz w:val="20"/>
        </w:rPr>
      </w:pPr>
      <w:bookmarkStart w:id="0" w:name="i17482f952e0d40e394271eefc978640c_19289"/>
      <w:bookmarkEnd w:id="0"/>
      <w:r>
        <w:rPr>
          <w:rFonts w:ascii="Times New Roman;sans-serif" w:hAnsi="Times New Roman;sans-serif"/>
          <w:b/>
          <w:i/>
          <w:color w:val="000000"/>
          <w:sz w:val="20"/>
        </w:rPr>
        <w:t>How do I vote?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may vote using any of the following methods: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By Mail</w:t>
      </w:r>
      <w:r>
        <w:rPr>
          <w:color w:val="000000"/>
        </w:rPr>
        <w:t> </w:t>
      </w:r>
      <w:r>
        <w:rPr>
          <w:rFonts w:ascii="Times New Roman;sans-serif" w:hAnsi="Times New Roman;sans-serif"/>
          <w:b w:val="false"/>
          <w:color w:val="000000"/>
          <w:sz w:val="20"/>
        </w:rPr>
        <w:t>- Stockholders of record may submit proxies by completing, signing and dating each proxy card received and returning it in the prepaid envelope. Sign your name exactly as it appears on the proxy. If you return your signed proxy but do not indicate your voting preferences, your shares will be voted on your behalf “FOR” the election of the nominees for director, “FOR” the ratification of the independent registered public accounting firm for 2024, “FOR” the compensation of our named executive officers; and “FOR” the approval of the Plan Amendment.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By Telephone</w:t>
      </w:r>
      <w:r>
        <w:rPr>
          <w:color w:val="000000"/>
        </w:rPr>
        <w:t> </w:t>
      </w:r>
      <w:r>
        <w:rPr>
          <w:rFonts w:ascii="Times New Roman;sans-serif" w:hAnsi="Times New Roman;sans-serif"/>
          <w:b w:val="false"/>
          <w:color w:val="000000"/>
          <w:sz w:val="20"/>
        </w:rPr>
        <w:t>- Stockholders of record may submit proxies by following the telephone voting instructions on their proxy cards. Most stockholders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By Internet</w:t>
      </w:r>
      <w:r>
        <w:rPr>
          <w:color w:val="000000"/>
        </w:rPr>
        <w:t> </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Before the Annual Meeting</w:t>
      </w:r>
      <w:r>
        <w:rPr>
          <w:color w:val="000000"/>
        </w:rPr>
        <w:t xml:space="preserve"> </w:t>
      </w:r>
      <w:r>
        <w:rPr>
          <w:rFonts w:ascii="Times New Roman;sans-serif" w:hAnsi="Times New Roman;sans-serif"/>
          <w:b w:val="false"/>
          <w:color w:val="000000"/>
          <w:sz w:val="20"/>
        </w:rPr>
        <w:t xml:space="preserve">- Stockholders of record may submit proxies by following the internet voting instructions on their proxy cards.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internet access charges for which you will be responsible. The internet voting facilities will close at 11:59 p.m., Eastern Time, the day before the meeting date.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During the Annual Meeting </w:t>
      </w:r>
      <w:r>
        <w:rPr>
          <w:rFonts w:ascii="Times New Roman;sans-serif" w:hAnsi="Times New Roman;sans-serif"/>
          <w:b w:val="false"/>
          <w:color w:val="000000"/>
          <w:sz w:val="20"/>
        </w:rPr>
        <w:t xml:space="preserve">- Stockholders of record may attend the Annual Meeting by visiting www.virtualshareholdermeeting.com/VCYT2024 where stockholders may vote and submit questions during the Annual Meeting. The Annual Meeting starts at 10:00 a.m. Pacific Time. Please have your 16-digit control number found on your proxy card or other proxy materials. Instructions on how to attend and participate via the internet are posted at www.virtualshareholdermeeting.com/VCYT2024. If you are not the stockholder of record, please refer to the voting instructions provided by your nominee to direct your nominee on how to vote your shares. </w:t>
      </w:r>
      <w:r>
        <w:rPr>
          <w:rFonts w:ascii="Times New Roman;sans-serif" w:hAnsi="Times New Roman;sans-serif"/>
          <w:b/>
          <w:i/>
          <w:color w:val="000000"/>
          <w:sz w:val="20"/>
        </w:rPr>
        <w:t>Even if you plan to attend the Annual Meeting, we recommend that you also submit your proxy or voting instructions or vote by telephone or the internet so that your vote will be counted if you later decide not to attend the meeting.</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What if I need technical assistance during the Annual Meeting?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encourage you to access the Annual Meeting before it begins. Online check-in will start shortly before the meeting on June 12, 2024. If you encounter any difficulties accessing the virtual meeting during the check-in or meeting time, please call the technical support number that will be posted on the virtual Annual Meeting log-in page.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Can I change my vote or revoke my proxy?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shares held in street name and you wish to change or revoke your vote, please consult the voting instructions provided with this Proxy Statement or contact your broker, bank or nominee.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How are votes counted?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Proposal No. 1, you may vote “FOR” or “AGAINST” each of the director nominees. You may also “ABSTAIN” from voting. Abstentions will have no impact on this proposal and will not be counted as a “FOR” or “AGAINST” vote for this proposal.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2, the appointment of Ernst &amp; Young LLP as our independent registered public accounting firm for 2024, you may vote “FOR,” vote “AGAINST” or “ABSTAIN.” Abstentions have the same effect as votes “AGAINST” this proposal.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3, the approval, on a non-binding advisory basis, of the compensation of our named executive officers, you may vote “FOR,” vote “AGAINST” or “ABSTAIN.” Abstentions have the same effect as votes “AGAINST” this proposal.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4, the approval of the Plan Amendment, you may vote “FOR,” vote “AGAINST” or “ABSTAIN.” Abstentions have the same effect as votes “AGAINST” this proposal.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provide specific instructions, your shares will be voted as you instruct. If you sign your proxy card or voting instruction form with no further instructions, your shares will be voted in accordance with the recommendations of the Board of Directors (“FOR” each of the nominees to the Board of Directors, “FOR” the ratification of Ernst &amp; Young LLP as our independent registered public accounting firm for 2024, “FOR” approving, on a non-binding advisory basis, the compensation of our named executive officers, and “FOR” the approval of the Plan Amendment; and in the discretion of the proxy holders on any other matters that may properly come before the meeting).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What vote is required to approve each item?</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 majority voting standard for uncontested elections of directors (Proposal No. 1), which means that to be elected, a director nominee must receive a majority of the votes cast, i.e. the number of shares voted “FOR” a director nominee must exceed the votes cast “AGAINST” that nominee.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vote of a majority of the shares of our common stock that are present in person or represented by proxy at the 2024 Annual Meeting and entitled to vote is required to ratify the appointment of Ernst &amp; Young LLP as our independent registered public accounting firm (Proposal No. 2), to approve the advisory resolution on named executive officer compensation (Proposal No. 3), and to approve the Plan Amendment (Proposal No. 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Abstentions are deemed to be shares present or represented by proxy and entitled to vote. Abstentions have no effect on Proposal No. 1 and the same effect as a vote against Proposals No. 2, 3, and 4. Broker non-votes, as discussed below, will have no effect on Proposals No. 1, 2, 3 or 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hold shares beneficially in street name and do not provide your broker or nominee with voting instructions, your shares may constitute “broker non-votes.” 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Whether a proposal is considered routine or non-routine is subject to stock exchange rules and final determination by the stock exchange. Even with respect to routine matters, some brokers are choosing not to exercise discretionary voting authority. If a stockholder does not return voting instructions to their broker on how to vote their shares of common stock, such broker may be prevented from voting, or may otherwise choose not to vote, such shares held by such broker, resulting in broker non-votes with respect to such shares. Accordingly, we encourage you to provide voting instructions to your broker, whether or not you plan to attend the Annual Meeting.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Is cumulative voting permitted for the election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not cumulate votes in the election of directors, which means that each stockholder may vote no more than the number of shares he or she owns for a single director candidate.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What constitutes a quorum?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presence at the Annual Meeting of the holders of a majority of the shares of common stock outstanding on the Record Date will constitute a quorum. Your shares are counted as present at the Annual Meeting if you are present and vote at the Annual Meeting or if you have properly submitted a proxy. As of the close of business on the Record Date, there were 76,447,590 shares of our common stock outstanding. Both abstentions and broker non-votes are counted for the purpose of determining the presence of a quorum.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How are proxies solicited?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Participating in the Annual Meeting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participate in the virtual meeting, visit www.virtualshareholdermeeting.com/VCYT2024 and enter the 16-digit control number included on your proxy card or on the instructions that accompanied your proxy materials.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wish to submit a question during the Annual Meeting, log into the virtual meeting platform at www.virtualshareholdermeeting.com/VCYT2024, type your question into the “Ask a Question” field, and click “Submit.” If your question is properly submitted during the relevant portion of the meeting agenda, we will seek to respond to your question during the live webcast. We reserve the right to exclude questions that are irrelevant to meeting matters, irrelevant to our business, or derogatory or in bad taste; that relate to pending or threatened litigation; that are personal grievances; or that are otherwise inappropriate (as determined by the chair of the Annual Meeting). A webcast replay of the Annual Meeting,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Q&amp;A session, will also be archived on the “Investor Relations” section of our website, which is located at https://investor.veracyte.com/investor-relations.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www.virtualshareholdermeeting.com/VCYT2024</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If you encounter technical difficulties accessing our meeting or asking questions during the meeting, a support line will be available on the login page of the virtual meeting website.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1</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Directors and Nominees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directors is currently set at eight with each current director either serving or completing a three-year term. Following approval by our stockholders at the 2023 Annual Meeting of Stockholders (the “2023 Annual Meeting”), we filed a Restated Certificate of Incorporation (the “Restated Certificate”) to implement a gradual declassification of the Board of Directors and provide for the annual election of directors for one-year terms, commencing upon the expiration of the directors’ then-current terms: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Robert S. Epstein, M.D., M.S. and Evan Jones were elected at our 2023 Annual Meeting and their three-year terms will expire at the annual meeting of stockholders to be held in 2026 (the “2026 Annual Meeting”);</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Muna Bhanji, John L. Bishop and Marc Stapley, were elected at our 2021 Annual Meeting of Stockholders and their three-year terms will expire at the Annual Meeting;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Eliav Barr, Karin Eastham, and Jens Holstein were elected at our 2022 annual meeting of stockholders and their three-year terms will expire at the annual meeting of stockholders to be held in 2025 (the “2025 Annual Meeting”).</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Bishop informed the Chair of the Board of Directors on February 7, 2024 that he will retire at the end of his current term and not stand for reelection at the Annual Meeting. Mr. Bishop will continue to serve on the Board of Directors until his term ends at the Annual Meeting. The Board of Directors has approved to set the number of directors at seven effective upon the conclusion of the Annual Meeting. Dr. Epstein will continue in the role of Chair of the Board. The nominating and corporate governance committee of the Board of Directors has recommended, and the Board of Directors has designated, Ms. Bhanji and Mr. Stapley as the nominees for directors to serve until the 2025 Annual Meeting. If the two director nominees receive more votes “FOR” reelection than “AGAINST,” they will be reelected to the Board of Directors.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Names of the director nominees and the other members of the Board of Directors and certain biographical information as of April 15, 2024 are set forth below:</w:t>
      </w:r>
    </w:p>
    <w:tbl>
      <w:tblPr>
        <w:tblW w:w="8769" w:type="dxa"/>
        <w:jc w:val="center"/>
        <w:tblInd w:w="0" w:type="dxa"/>
        <w:tblLayout w:type="fixed"/>
        <w:tblCellMar>
          <w:top w:w="28" w:type="dxa"/>
          <w:left w:w="28" w:type="dxa"/>
          <w:bottom w:w="28" w:type="dxa"/>
          <w:right w:w="28" w:type="dxa"/>
        </w:tblCellMar>
      </w:tblPr>
      <w:tblGrid>
        <w:gridCol w:w="900"/>
        <w:gridCol w:w="789"/>
        <w:gridCol w:w="800"/>
        <w:gridCol w:w="180"/>
        <w:gridCol w:w="181"/>
        <w:gridCol w:w="131"/>
        <w:gridCol w:w="1533"/>
        <w:gridCol w:w="1533"/>
        <w:gridCol w:w="1538"/>
        <w:gridCol w:w="346"/>
        <w:gridCol w:w="346"/>
        <w:gridCol w:w="492"/>
      </w:tblGrid>
      <w:tr>
        <w:trPr/>
        <w:tc>
          <w:tcPr>
            <w:tcW w:w="90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 with Veracyte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Director Since</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 and Director Nominee</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Eliav Barr</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Muna Bhanji</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Director Nominee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Bishop(1)</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S. Epstein, M.D., M.S.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Chairperson and Director</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r>
      <w:tr>
        <w:trPr/>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Mr. Bishop’s term as a director will end at the Annual Meeting.</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Marc Stapley</w:t>
      </w:r>
      <w:r>
        <w:rPr>
          <w:color w:val="000000"/>
        </w:rPr>
        <w:t xml:space="preserve"> </w:t>
      </w:r>
      <w:r>
        <w:rPr>
          <w:rFonts w:ascii="Times New Roman;sans-serif" w:hAnsi="Times New Roman;sans-serif"/>
          <w:b w:val="false"/>
          <w:color w:val="000000"/>
          <w:sz w:val="20"/>
        </w:rPr>
        <w:t xml:space="preserve">has served as our Chief Executive Officer since June 1, 2021 and as a member of our Board of Directors since June 8, 2021. He served as the Chief Executive Officer of Helix, Inc., a genomics company, from April 2019 to May 2021. Prior to that, Mr. Stapley served in key managerial positions at Illumina, Inc., a genetic sequencing company, including as Chief Financial Officer from January 2012 to January 2017, as Chief Administrative Officer from December 2015 to October 2017, and as Executive Vice President from October 2017 to January 2019. From 2009 to 2012, Mr. Stapley served as Senior Vice President, Finance at Pfizer Inc., a pharmaceutical company. Mr. Stapley has served as a member of the board of directors of Glaukos Corporation, an ophthalmic medical technology company, since 2014, and has served as a member of the board of directors of Helix since 2015. Mr. Stapley holds a B.Sc. (Honors) in Mathematics from The University of Reading (England). We believe that Mr. Stapley is qualified to serve on our Board of Directors due to his significant leadership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experience in the diagnostics and genetic sequencing fields, as well as his experience as our Chief Executive Officer and his service on the boards of directors of other life sciences and healthcare companies.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Eliav Barr, M.D.,</w:t>
      </w:r>
      <w:r>
        <w:rPr>
          <w:color w:val="000000"/>
        </w:rPr>
        <w:t xml:space="preserve"> </w:t>
      </w:r>
      <w:r>
        <w:rPr>
          <w:rFonts w:ascii="Times New Roman;sans-serif" w:hAnsi="Times New Roman;sans-serif"/>
          <w:b w:val="false"/>
          <w:color w:val="000000"/>
          <w:sz w:val="20"/>
        </w:rPr>
        <w:t>has served on our Board of Directors since</w:t>
      </w:r>
      <w:r>
        <w:rPr>
          <w:color w:val="000000"/>
        </w:rPr>
        <w:t xml:space="preserve"> </w:t>
      </w:r>
      <w:r>
        <w:rPr>
          <w:rFonts w:ascii="Times New Roman;sans-serif" w:hAnsi="Times New Roman;sans-serif"/>
          <w:b w:val="false"/>
          <w:color w:val="000000"/>
          <w:sz w:val="20"/>
        </w:rPr>
        <w:t xml:space="preserve">August 2022. Dr. Barr has served as Head of Global Clinical Development and Chief Medical Officer at Merck Research Laboratories (“MRL”), a division of Merck &amp; Co., Inc. (“Merck”), since April 2022. He is also the Chairperson of the Late Development Review Committee at MRL, the governance committee that oversees the development programs for pipeline and in-line products in the Cardiovascular, Diabetes/Endocrine/ Metabolism, Immunology, Neurology, Oncology, Psychiatry, Respiratory, and Vaccines/Infectious Diseases therapeutic areas. Dr. Barr has held numerous leadership positions within MRL since joining the company in 1995, including serving as Senior Vice President, Global Medical and Scientific Affairs from 2018 to 2022. Prior to joining Merck, Dr. Barr pursued post-doctoral training at the University of Michigan and was on faculty at the University of Chicago. He holds a B.S. from Pennsylvania State University and an M.D. from Jefferson Medical College of Thomas Jefferson University and completed an Internal Medicine residency and Cardiology Fellowship at Johns Hopkins. We believe that Dr. Barr is qualified to serve on our Board of Directors due to his knowledge of the life sciences industry, his medical experience and his extensive executive and senior management experience in the biopharmaceutical industry.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Muna Bhanji</w:t>
      </w:r>
      <w:r>
        <w:rPr>
          <w:color w:val="000000"/>
        </w:rPr>
        <w:t xml:space="preserve"> </w:t>
      </w:r>
      <w:r>
        <w:rPr>
          <w:rFonts w:ascii="Times New Roman;sans-serif" w:hAnsi="Times New Roman;sans-serif"/>
          <w:b w:val="false"/>
          <w:color w:val="000000"/>
          <w:sz w:val="20"/>
        </w:rPr>
        <w:t>has served on our Board of Directors since March 2021. Ms. Bhanji is the Founder and President, TIBA Global Access LLC, an independent senior advisory/consultancy focused on commercialization and market access strategy development, serving the biopharmaceutical industry. Her prior experience includes an over 34-year tenure at Merck, during which she held a number of senior leadership roles within the U.S. and Global commercial organizations including Senior Vice President, Oncology and Senior Vice President, Hospital &amp; Specialty Franchises. Most recently, through December 2020, she served as the Senior Vice President, Global Market Access &amp; Policy. In addition to serving as a director on a private company board, she currently serves on the board of directors of Intellia Therapeutics, Inc., Cytokinetics, Inc., Ardelyx, Inc. and Corus International, an international NGO. Prior to that, she had served on the boards of Possible Health, a Nepal based NGO, the Foundation of Managed Care Pharmacy and had also chaired Merck’s Supervisory Board in the Netherlands. Ms. Bhanji earned her Bachelor of Pharmacy degree from Rutgers School of Pharmacy and an M.B.A. from St. Joseph’s University. We believe that Ms. Bhanji is qualified to serve on our Board of Directors due to her extensive experience in strategic roles in the biopharmaceutical industry.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John L. Bishop</w:t>
      </w:r>
      <w:r>
        <w:rPr>
          <w:color w:val="000000"/>
        </w:rPr>
        <w:t xml:space="preserve"> </w:t>
      </w:r>
      <w:r>
        <w:rPr>
          <w:rFonts w:ascii="Times New Roman;sans-serif" w:hAnsi="Times New Roman;sans-serif"/>
          <w:b w:val="false"/>
          <w:color w:val="000000"/>
          <w:sz w:val="20"/>
        </w:rPr>
        <w:t xml:space="preserve">has served on our Board of Directors since December 2014. Mr. Bishop served as the Chief Executive Officer and as a member of the board of directors of Cepheid Inc., a molecular diagnostics company, from April 2002 to November 2016, and became the chairman of its board of directors in February 2013. Mr. Bishop retired from Cepheid and resigned from the board of directors following the acquisition of Cepheid by Danaher Corporation. Mr. Bishop served as President and a member of the board of directors of Vysis, Inc., a genomic disease management company that was acquired by Abbott Laboratories, a health care company, from 1993 to 2002, and as Chief Executive Officer from 1996 to 2002. From 1991 until 1993, Mr. Bishop was Chairman and Chief Executive Officer of MicroProbe Corporation, a biotechnology company, and, from 1987 until 1991, of Source Scientific Systems Inc., a biomedical instrument manufacturing company. He previously served on the board of directors of Sense Biodetection Ltd, a private molecular diagnostics company focused on infectious disease from February 2020 until its sale in January 2023 and as a member of the board of directors and compensation committee of Conceptus, Inc. from February 2009 until June 2013 upon its acquisition by Bayer HealthCare LLC. Mr. Bishop also served as the chairman of the board of directors of AdvaMedDx, a division of the Advanced Medical Technology Association, a private medical diagnostics industry advocacy group, from December 2013 until April 2017. Mr. Bishop holds a B.S. from the University of Miami. Mr. Bishop’s term will end as of the annual meeting of stockholders.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Karin Eastham</w:t>
      </w:r>
      <w:r>
        <w:rPr>
          <w:color w:val="000000"/>
        </w:rPr>
        <w:t xml:space="preserve"> </w:t>
      </w:r>
      <w:r>
        <w:rPr>
          <w:rFonts w:ascii="Times New Roman;sans-serif" w:hAnsi="Times New Roman;sans-serif"/>
          <w:b w:val="false"/>
          <w:color w:val="000000"/>
          <w:sz w:val="20"/>
        </w:rPr>
        <w:t>has served on our Board of Directors since December 2012. Ms. Eastham has served on the board of directors of Personalis, Inc., a biotechnology company, since September 2019, and has served as chair of the board of directors of Personalis, Inc. since May 2022. She also has served on the boards of directors of Nektar Therapeutics, a biopharmaceutical company, and Geron Corporation, a biotechnology company.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Ms. Eastham previously held similar positions with several life sciences companies. Ms. Eastham also previously served as a member of the board of directors of Illumina, Inc. from August 2004 to May 2019,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(inactive). We believe that Ms. Eastham is qualified to serve on our Board of Directors due to her experience as a director of numerous life sciences companies, as well as her extensive senior management experience in the biopharmaceutical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Robert S. Epstein, M.D., M.S.</w:t>
      </w:r>
      <w:r>
        <w:rPr>
          <w:color w:val="000000"/>
        </w:rPr>
        <w:t xml:space="preserve"> </w:t>
      </w:r>
      <w:r>
        <w:rPr>
          <w:rFonts w:ascii="Times New Roman;sans-serif" w:hAnsi="Times New Roman;sans-serif"/>
          <w:b w:val="false"/>
          <w:color w:val="000000"/>
          <w:sz w:val="20"/>
        </w:rPr>
        <w:t>has served on our Board of Directors since January 2015 and is Chair of the Board of Directors. Dr. Epstein has served as a strategic consultant to life 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December 2012 to June 2014 and was Chairman of the Board of Decipher Biosciences, Inc. (“Decipher”) from December 2019 until March 2021.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 We believe that Dr. Epstein is qualified to serve on our Board of Directors due to his extensive experience in strategic roles in healthcare companies, his expertise in reimbursement and FDA regulation, and his experience as a director of publicly traded companies in the life sciences industry.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Jens Holstein</w:t>
      </w:r>
      <w:r>
        <w:rPr>
          <w:color w:val="000000"/>
        </w:rPr>
        <w:t xml:space="preserve"> </w:t>
      </w:r>
      <w:r>
        <w:rPr>
          <w:rFonts w:ascii="Times New Roman;sans-serif" w:hAnsi="Times New Roman;sans-serif"/>
          <w:b w:val="false"/>
          <w:color w:val="000000"/>
          <w:sz w:val="20"/>
        </w:rPr>
        <w:t xml:space="preserve">has served on our Board of Directors since August 2020. Mr. Holstein has served as Chief Financial Officer of BioNTech SE, a biotechnology company, since July 2021. Previously, Mr. Holstein served as chief financial officer of MorphoSys AG, a biopharmaceutical company, from May 2011 to December 2020. From July 1999 to April 2011, Mr. Holstein held various positions at Fresenius SE &amp; Co. KGaA, a health care company, including regional Chief Financial Officer of Fresenius Kabi AG for the EME (Europe/Middle East) region and managing director of Fresenius Kabi Deutschland GmbH. Prior to joining Fresenius, Mr. Holstein spent several years in the consulting industry, with positions in Frankfurt and London. Mr. Holstein served as a director of InflaRx N.V., a biopharmaceutical company, from September 2018 to July 2020. Mr. Holstein holds a diploma in Business Administration from the University of Münster, Germany. We believe that Mr. Holstein is qualified to serve on our Board of Directors due to his significant experience as the chief financial officer of a publicly-traded biopharmaceutical company, as well as his extensive experience in management positions in life science and healthcare companies.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Evan Jones</w:t>
      </w:r>
      <w:r>
        <w:rPr>
          <w:color w:val="000000"/>
        </w:rPr>
        <w:t xml:space="preserve"> </w:t>
      </w:r>
      <w:r>
        <w:rPr>
          <w:rFonts w:ascii="Times New Roman;sans-serif" w:hAnsi="Times New Roman;sans-serif"/>
          <w:b w:val="false"/>
          <w:color w:val="000000"/>
          <w:sz w:val="20"/>
        </w:rPr>
        <w:t>has served on our Board of Directors since February 2008. Mr. Jones has also served as Managing Member of jVen Capital, LLC, a life sciences investment company, since 2007. He served as Chief Executive Officer of OpGen, Inc., a genetic analysis company, from 2013 to March 2020, and also served as a director from 2009 to June 2021.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July 2018. Mr. Jones served as a director of Fluidigm Corporation from March 2011 to August 2017. Mr. Jones received a B.A. in biochemistry from the University of Colorado and an M.B.A. from The Wharton School at the University of Pennsylvania. We believe that Mr. Jones is qualified to serve on our Board of Directors due to his knowledge of the life sciences industry and his experience as a chief executive officer and as a board member of other publicly-traded and privately-held life sciences companies.</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Election as Director for Each of the Two Director Nominees, Muna Bhanji and Marc Stapley.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 Nominations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generally nominates directors whose term is scheduled to expire at the next annual meeting of stockholders and otherwise appoints new directors to fill vacancies as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appointment, nomination or election.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our company and the Board of Directors, high personal and professional ethics, and the willingness and ability to devote sufficient time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effectively carry out his or her duties as a director. The nominating and corporate governance committee also believes that service as a director of other public companies provides experience and perspective that may be useful to our company and the Board of Directors. Although our company has no formal diversity policy for board members, the board and the nominating and corporate governance committee consider diversity of backgrounds and experiences and other forms of diversity when selecting nominees.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believes it appropriate for at least one, and, preferably, multiple, members of the Board of Directors to meet the criteria for an “audit committee financial expert” as defined by Securities and Exchange Commission (the “SEC”) rules, and that a majority of the members of the board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each annual meeting of stockholders, the nominating and corporate governance committee identifies nominees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presented at this Annual Meeting is an incumbent member of the Board of Directors standing for re-election as a director.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stockholder who wishes to suggest a prospective nominee for the Board of Directors should notify our Secretary or any member of the nominating and corporate governance committee in writing with any supporting material the stockholder considers appropriate. In addition, our amended and restated bylaws contain provisions that address the process by which a stockholder may nominate an individual to stand for election to the Board of Directors at our annual meeting of stockholders. In order to nominate a candidate for director, including in accordance with the SEC’s universal proxy rules, a stockholder must give timely notice in writing to our Secretary and otherwise comply with the provisions of our amended and restated bylaws. In accordance with our Corporate Governance Guidelines, the role of the Board of Directors in terms of including a nominee of a stockholder for election to the Board of Directors in our proxy card in accordance with SEC Rule 14a-19 is to assess such nominee’s eligibility for inclusion in such proxy card based on the stockholder and nominee satisfying the requirements specified in our Restated Certificate and amended and restated bylaws and SEC Rule 14a-19, rather than the Board of Director’s determination with respect to such nominee’s suitability to serve on the Board of Directors. To be timely for our 2025 Annual Meeting, our amended and restated bylaws provide that we must have received the stockholder’s notice not earlier than 5:00 p.m. Eastern Time on February 12, 2025 and not later than 5:00 p.m. Eastern Time on March 14, 2025. Information required by the amended and restated bylaws to be in the notice include the name and contact information for the candidate and the person making the nomination and other information about the nominee that must be disclosed in proxy solicitations under Section 14 of the Securities Exchange Act of 1934, as amended (“Exchange Act”) and the related rules and regulations under that Section.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 nominations must be made in accordance with the procedures outlined in, and include the information required by, our amended and restated bylaws and must be addressed to: Secretary, Veracyte, Inc., 6000 Shoreline Court, Suite 300, South San Francisco, California 94080. You may obtain a copy of the full text of this provision of the amended and restated bylaws by writing to our Secretary at the above address.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 Expertise, Experience and Attributes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comprised of a diverse mix of directors with complementary expertise, experience and attributes, as summarized in the table below. Our directors may also have limited experience or attributes in addition to what is reflected in the “Number of Directors” column below. The “Number of Directors” column includes Mr. Bishop who is not standing for re-election at the Annual Meeting and whose term as a director will end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01"/>
        <w:gridCol w:w="563"/>
        <w:gridCol w:w="565"/>
        <w:gridCol w:w="109"/>
        <w:gridCol w:w="109"/>
        <w:gridCol w:w="109"/>
        <w:gridCol w:w="2103"/>
        <w:gridCol w:w="2082"/>
        <w:gridCol w:w="2101"/>
        <w:gridCol w:w="109"/>
        <w:gridCol w:w="109"/>
        <w:gridCol w:w="109"/>
        <w:gridCol w:w="360"/>
        <w:gridCol w:w="360"/>
        <w:gridCol w:w="516"/>
      </w:tblGrid>
      <w:tr>
        <w:trPr/>
        <w:tc>
          <w:tcPr>
            <w:tcW w:w="90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Expertise, Experience or Attribute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Number of Directors</w:t>
            </w:r>
          </w:p>
        </w:tc>
      </w:tr>
      <w:tr>
        <w:trPr/>
        <w:tc>
          <w:tcPr>
            <w:tcW w:w="2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Biotechnology and Product Development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background working in the biotechnology industry and in management of life sciences companies; experience in product development.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 of 8</w:t>
            </w:r>
          </w:p>
        </w:tc>
      </w:tr>
      <w:tr>
        <w:trPr/>
        <w:tc>
          <w:tcPr>
            <w:tcW w:w="2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Extensive executive, director or management experience from leadership and governance roles in corporations, government or public organizations.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 of 8</w:t>
            </w:r>
          </w:p>
        </w:tc>
      </w:tr>
      <w:tr>
        <w:trPr/>
        <w:tc>
          <w:tcPr>
            <w:tcW w:w="2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Diversity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 of gender, ethnic, geographic, cultural or other perspectives that expand the Board of Directors’ understanding of the needs and viewpoints of our customers, partners, employees and other stakeholders.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 of 8</w:t>
            </w:r>
          </w:p>
        </w:tc>
      </w:tr>
      <w:tr>
        <w:trPr/>
        <w:tc>
          <w:tcPr>
            <w:tcW w:w="2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Leadership or management experience resulting in financial proficiency and expertise.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6 of 8</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Director Tenure and Age Distribution</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tenure and age distribution of our Board of Directors as of April 15, 2024.</w:t>
      </w:r>
    </w:p>
    <w:tbl>
      <w:tblPr>
        <w:tblW w:w="7098" w:type="dxa"/>
        <w:jc w:val="center"/>
        <w:tblInd w:w="0" w:type="dxa"/>
        <w:tblLayout w:type="fixed"/>
        <w:tblCellMar>
          <w:top w:w="28" w:type="dxa"/>
          <w:left w:w="28" w:type="dxa"/>
          <w:bottom w:w="28" w:type="dxa"/>
          <w:right w:w="28" w:type="dxa"/>
        </w:tblCellMar>
      </w:tblPr>
      <w:tblGrid>
        <w:gridCol w:w="607"/>
        <w:gridCol w:w="535"/>
        <w:gridCol w:w="538"/>
        <w:gridCol w:w="109"/>
        <w:gridCol w:w="109"/>
        <w:gridCol w:w="109"/>
        <w:gridCol w:w="534"/>
        <w:gridCol w:w="534"/>
        <w:gridCol w:w="536"/>
        <w:gridCol w:w="109"/>
        <w:gridCol w:w="109"/>
        <w:gridCol w:w="109"/>
        <w:gridCol w:w="391"/>
        <w:gridCol w:w="391"/>
        <w:gridCol w:w="402"/>
        <w:gridCol w:w="109"/>
        <w:gridCol w:w="109"/>
        <w:gridCol w:w="109"/>
        <w:gridCol w:w="483"/>
        <w:gridCol w:w="483"/>
        <w:gridCol w:w="683"/>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Tenure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Number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Number of Directors</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More than 10 years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 years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6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 – 70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6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 – 60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40"/>
        <w:ind w:left="0" w:right="0" w:firstLine="720"/>
        <w:jc w:val="left"/>
        <w:rPr/>
      </w:pPr>
      <w:r>
        <w:rPr/>
      </w:r>
    </w:p>
    <w:tbl>
      <w:tblPr>
        <w:tblW w:w="7211" w:type="dxa"/>
        <w:jc w:val="center"/>
        <w:tblInd w:w="0" w:type="dxa"/>
        <w:tblLayout w:type="fixed"/>
        <w:tblCellMar>
          <w:top w:w="28" w:type="dxa"/>
          <w:left w:w="28" w:type="dxa"/>
          <w:bottom w:w="28" w:type="dxa"/>
          <w:right w:w="28" w:type="dxa"/>
        </w:tblCellMar>
      </w:tblPr>
      <w:tblGrid>
        <w:gridCol w:w="1203"/>
        <w:gridCol w:w="1056"/>
        <w:gridCol w:w="1060"/>
        <w:gridCol w:w="241"/>
        <w:gridCol w:w="241"/>
        <w:gridCol w:w="241"/>
        <w:gridCol w:w="241"/>
        <w:gridCol w:w="241"/>
        <w:gridCol w:w="241"/>
        <w:gridCol w:w="340"/>
        <w:gridCol w:w="340"/>
        <w:gridCol w:w="341"/>
        <w:gridCol w:w="418"/>
        <w:gridCol w:w="418"/>
        <w:gridCol w:w="589"/>
      </w:tblGrid>
      <w:tr>
        <w:trPr/>
        <w:tc>
          <w:tcPr>
            <w:tcW w:w="120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7211"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Board Diversity Matrix (As of March 31, 2024)</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color w:val="000000"/>
                <w:sz w:val="18"/>
              </w:rPr>
            </w:pPr>
            <w:r>
              <w:rPr>
                <w:rFonts w:ascii="Times New Roman;sans-serif" w:hAnsi="Times New Roman;sans-serif"/>
                <w:b/>
                <w:color w:val="000000"/>
                <w:sz w:val="18"/>
              </w:rPr>
              <w:t>Total Number of Directors</w:t>
            </w:r>
          </w:p>
        </w:tc>
        <w:tc>
          <w:tcPr>
            <w:tcW w:w="3892"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8</w:t>
            </w:r>
          </w:p>
        </w:tc>
      </w:tr>
      <w:tr>
        <w:trPr/>
        <w:tc>
          <w:tcPr>
            <w:tcW w:w="33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Female</w:t>
            </w:r>
          </w:p>
        </w:tc>
        <w:tc>
          <w:tcPr>
            <w:tcW w:w="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Male</w:t>
            </w:r>
          </w:p>
        </w:tc>
        <w:tc>
          <w:tcPr>
            <w:tcW w:w="10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Non-Binary</w:t>
            </w:r>
          </w:p>
        </w:tc>
        <w:tc>
          <w:tcPr>
            <w:tcW w:w="14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Did Not Disclose</w:t>
            </w:r>
          </w:p>
          <w:p>
            <w:pPr>
              <w:pStyle w:val="TableContents"/>
              <w:bidi w:val="0"/>
              <w:spacing w:lineRule="auto" w:line="268" w:before="0" w:after="0"/>
              <w:ind w:left="0" w:right="0" w:hanging="15"/>
              <w:jc w:val="center"/>
              <w:rPr>
                <w:rFonts w:ascii="Times New Roman;sans-serif" w:hAnsi="Times New Roman;sans-serif"/>
                <w:b/>
                <w:color w:val="000000"/>
                <w:sz w:val="18"/>
              </w:rPr>
            </w:pPr>
            <w:r>
              <w:rPr>
                <w:rFonts w:ascii="Times New Roman;sans-serif" w:hAnsi="Times New Roman;sans-serif"/>
                <w:b/>
                <w:color w:val="000000"/>
                <w:sz w:val="18"/>
              </w:rPr>
              <w:t>Gender</w:t>
            </w:r>
          </w:p>
        </w:tc>
      </w:tr>
      <w:tr>
        <w:trPr/>
        <w:tc>
          <w:tcPr>
            <w:tcW w:w="7211"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35"/>
              <w:jc w:val="left"/>
              <w:rPr>
                <w:rFonts w:ascii="Times New Roman;sans-serif" w:hAnsi="Times New Roman;sans-serif"/>
                <w:b/>
                <w:color w:val="000000"/>
                <w:sz w:val="18"/>
              </w:rPr>
            </w:pPr>
            <w:r>
              <w:rPr>
                <w:rFonts w:ascii="Times New Roman;sans-serif" w:hAnsi="Times New Roman;sans-serif"/>
                <w:b/>
                <w:color w:val="000000"/>
                <w:sz w:val="18"/>
              </w:rPr>
              <w:t>Part I: Gender Identity</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r>
        <w:trPr/>
        <w:tc>
          <w:tcPr>
            <w:tcW w:w="7211"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35"/>
              <w:jc w:val="left"/>
              <w:rPr>
                <w:rFonts w:ascii="Times New Roman;sans-serif" w:hAnsi="Times New Roman;sans-serif"/>
                <w:b/>
                <w:color w:val="000000"/>
                <w:sz w:val="18"/>
              </w:rPr>
            </w:pPr>
            <w:r>
              <w:rPr>
                <w:rFonts w:ascii="Times New Roman;sans-serif" w:hAnsi="Times New Roman;sans-serif"/>
                <w:b/>
                <w:color w:val="000000"/>
                <w:sz w:val="18"/>
              </w:rPr>
              <w:t>Part II: Demographic Background</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African American or Black</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Alaskan Native or Native American</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Asian or South Asian</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Hispanic or Latinx</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Native Hawaiian or Pacific Islander</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Two or More Races or Ethnicities</w:t>
            </w:r>
          </w:p>
        </w:tc>
        <w:tc>
          <w:tcPr>
            <w:tcW w:w="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LGBTQ+</w:t>
            </w:r>
          </w:p>
        </w:tc>
        <w:tc>
          <w:tcPr>
            <w:tcW w:w="389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3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Did Not Disclose Demographic Background</w:t>
            </w:r>
          </w:p>
        </w:tc>
        <w:tc>
          <w:tcPr>
            <w:tcW w:w="389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ind w:left="0" w:right="0" w:firstLine="40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Majority Voting Standard for Director Elections and Director Resignation Policy</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Director Resignation Policy requires each incumbent nominee to submit an irrevocable contingent resignation letter prior to the annual meeting of stockholders in which such election is to take 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addresses the “holdover” director situation under the Delaware General Corporation Law (“DGCL”) pursuant to which a director remains on the board of directors until such director’s successor is elected and qualified. Such resignation becomes effective only upon (i) such nominee’s failure to receive the requisite number of votes for re-election at any future meeting at which such person would face re-election and (ii) our Board of Directors’ acceptance of such resignation. If the nominee does not receive the requisite number of votes for re-election, our nominating and corporate governance committee will make a recommendation to our Board of Directors as to whether to accept or reject the resignation, or whether other action should be taken. Our Board of Directors will act on the nominating and corporate governance committee’s recommendation and publicly disclose its decision and the rationale behind it within 90 days from the date of the certification of the election results.</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determined that, except for Mr. Stapley, each individual who currently serves as a member of our Board of Directors is, and each individual who served as a member of our Board of Directors in 2023, was, an “independent director” within the meaning of Rule 5605 of The Nasdaq Stock Market. Mr. Stapley is not considered independent as he serves as our Chief Executive Officer. For Ms. Bhanji, Mr. Bishop, Ms. Eastham, Dr. Epstein, Dr. Barr, Mr. Holstein and Mr. Jones, the Board of Directors considered their relationship and transactions with us and our security 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our Compensation Committee during 2023 included John L. Bishop, Karin Eastham, and Jens Holstein. No member of our Compensation Committee in 2023 was at any time during 2023 or at any other time an officer or employee of ours, and none had or have any relationships with us that are required to be disclosed under Item 404 of Regulation S-K. None of our executive officers has served as a member of the Board of Directors, or as a member of the compensation or similar committee, of any entity that has one or more executive officers who served on our Board of Directors or Compensation Committee during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Board Meetings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held eight meetings and acted by written consent four times during 2023. Each director attended at least 80% of the aggregate number of meetings held by the Board of Directors and of the committees on which such director served.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Board Committees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description of each committee of the Board of Directors. The Board of Directors has determined that each director who serves on the audit, compensation, nominating and corporate governance, and regulatory and compliance committees is “independent,” as that term is defined for such committee by applicable listing standards of The Nasdaq Stock Market, rules of the SEC, and the applicable written charter for each of these committees. The charters of the audit, compensation, nominating and corporate governance, and regulatory and compliance committees are available on the investor section of our website under the corporate governance tab (https://investor.veracyte.com/corporate-governance).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Audit Committee and Financial Expert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audit committee are Jens Holstein, its Chair, Karin Eastham, and Evan Jones. The audit committee held four meetings during 2023.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Mr. Holstein, Ms. Eastham and Mr. Jones each are qualified as an “audit committee financial expert” under the definition outlined by the SEC.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Compensation Committee are Karin Eastham, its Chair, John L. Bishop, and Jens Holstein. The Compensation Committee held five meetings and acted by written consent five times during 2023.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 oversees our compensation policies, plans and benefits programs and determines and approves or, in the case of our chief executive officer,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non-employee directors’ compensation to the full Board of Directors. The Compensation Committee has the sole authority to select, retain, terminate, and approve the fees and other retention terms of consultants as it deems appropriate to perform its duties.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nominating and corporate governance committee are Robert S. Epstein, its Chair, Muna Bhanji and Evan Jones. The nominating and corporate governance committee held four meetings during 2023.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 as well as recommendations and monitoring related to the company’s Environmental, Social, and Corporate Governance ("ESG") efforts.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Regulatory and Compliance Committee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regulatory and compliance committee are Evan Jones, its Chair, Muna Bhanji and Eliav Barr. The regulatory and compliance committee held four meetings during 2023. Our regulatory and compliance committee assists our board in meeting its responsibilities with regard to oversight of our compliance with healthcare legal and regulatory requirements applicable to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Structure of the Board of Directors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regular engagement with our stockholders and our commitment to ESG, including our regular review of our corporate governance structure and evaluation of recent trends in corporate governance, we submitted a proposal to our stockholders to declassify our Board of Directors, which was approved at the 2023 Annual Meeting. The declassification of our Board of Directors will occur over a three-year period beginning with the directors to be nominated for election at the Annual Meeting, as discussed further under “Proposal No. 1- Election of Directors.”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Board Leadership Structure and Role in Risk Oversight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Our nominating and corporate governance committee periodically considers the leadership structure of our Board of Directors and makes such recommendations to our Board of Directors as our nominating and corporate governance committee deems appropriate. Our Board of Directors believes it is important to have flexibility in selecting the Chair of the Board of Directors and our board leadership structure. The Board of Directors believes that is currently in the best interests of Veracyte and its stockholders for Dr. Epstein, an independent director, to serve as our Chair. Dr. Epstein has served on our Board of Directors since January 2015 and has deep familiarity with our business and our industry, including </w:t>
      </w:r>
      <w:r>
        <w:rPr>
          <w:rFonts w:ascii="Times New Roman;sans-serif" w:hAnsi="Times New Roman;sans-serif"/>
          <w:b w:val="false"/>
          <w:color w:val="000000"/>
          <w:sz w:val="20"/>
          <w:shd w:fill="FFFFFF" w:val="clear"/>
        </w:rPr>
        <w:t xml:space="preserve">in-depth knowledge of the issues, opportunities and challenges facing our company and its business and </w:t>
      </w:r>
      <w:r>
        <w:rPr>
          <w:rFonts w:ascii="Times New Roman;sans-serif" w:hAnsi="Times New Roman;sans-serif"/>
          <w:b w:val="false"/>
          <w:color w:val="000000"/>
          <w:sz w:val="20"/>
        </w:rPr>
        <w:t xml:space="preserve">make him well qualified to serve as our Chair. The Board of Directors believes that this leadership structure provides our Board of Directors with significant strengths and an independent leadership perspective. In his capacity as Chair, Dr. Epstein also serves </w:t>
      </w:r>
      <w:r>
        <w:rPr>
          <w:rFonts w:ascii="Times New Roman;sans-serif" w:hAnsi="Times New Roman;sans-serif"/>
          <w:b w:val="false"/>
          <w:i/>
          <w:color w:val="000000"/>
          <w:sz w:val="20"/>
        </w:rPr>
        <w:t>ex officio</w:t>
      </w:r>
      <w:r>
        <w:rPr>
          <w:color w:val="000000"/>
        </w:rPr>
        <w:t xml:space="preserve"> </w:t>
      </w:r>
      <w:r>
        <w:rPr>
          <w:rFonts w:ascii="Times New Roman;sans-serif" w:hAnsi="Times New Roman;sans-serif"/>
          <w:b w:val="false"/>
          <w:color w:val="000000"/>
          <w:sz w:val="20"/>
        </w:rPr>
        <w:t>on all committees of the board and chairs executive sessions of the independent directors. The Board of Directors retains the authority to modify this structure as it deems appropriate. In making board leadership structure determinations, the Board of Directors considers many factors, including the specific needs of the business and what is in the best interests of our stockholders. Any changes to the leadership structure of our Board of Directors, if made, will be disclosed on the Investor Relations portion of our website, and in our proxy materials. Our Board of Directors, in its sole discretion, may seek input from our stockholders on the leadership structure of the Board of Directors.</w:t>
      </w:r>
      <w:r>
        <w:rPr>
          <w:color w:val="000000"/>
          <w:shd w:fill="FFFFFF" w:val="clear"/>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management’s enterprise risk management assessment and mitigation processes, which include reviews of long-term strategic and operational planning, strategic biopharmaceutical partnerships and material opportunities, executive talent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retention, and development, compensation and evaluation, reputational, regulatory and legal compliance including those laws and regulations relating to product and service promotional activities, Medicare billing and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 including but not limited to, our ability to expand our platform, products, and services globally, our ability to achieve the expected benefits from our acquisition of the diagnostic rights to the nCounter Analysis System, and our ability to potentially inform diagnosis and treatment decisions in new oncology indications. Our Board of Directors reviews strategic and operational risk in the context of discussions, question-and-answer sessions, and reports from the management team at each regular Board of Directors meeting, receives reports on all significant committee activities at each regular Board of Directors meeting, and evaluates the risks inherent in significant transactions. Management, under oversight of the Audit Committee, is in the process of conducting its annual enterprise risk management assessment to assess key enterprise risks over different time horizons (short-term (current to six months), mid-term (six to twelve months) and long-term (more than twelve months). Following such assessment, key risk areas will be shared with the Audit Committee and management will assign owners to each risk who are tasked with reviewing and assessing the contributing factors, evaluating management’s existing risk mitigation capabilities, identifying risk mitigation enhancement considerations and potential future state activities and assessing resources needed to implement desired mitigation enhancements.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committee of the Board of Directors meets with key management personnel and representatives of outside advisors to oversee risks associated with their respective principal areas of focus both with management present and in separate executive sessions, as described below. We believe this division of responsibilities is an effective approach for addressing the risks we face and that our Board of Directors leadership structure supports this approach. The audit committee reviews (i) our major financial risks and enterprise exposures and the steps management has taken to monitor or mitigate such risks and exposures, including our risk assessment and risk management policies, as well as cybersecurity and data privacy risks and risk exposures in other areas, as the audit committee deems appropriate from time to time; (ii) our programs for promoting and monitoring compliance with applicable SEC legal and regulatory requirements, as well as major legal regulatory compliance risk exposures and the steps management has taken to monitor or mitigate such exposures; and (iii) the status of any significant legal and regulatory matters and any material reports or inquiries received from regulators or government agencies that reasonably could be expected to have a significant impact on our financial statements. The Compensation Committee reviews major compensation- and human capital-related risk exposures and the steps management has taken to monitor or mitigate such exposures. The nominating and corporate governance committee reviews and assesses risks relating to our corporate governance practices, reviews and assesses our performance, risks, controls, and procedures relating to corporate responsibility and sustainability, including ESG matters, reviews the independence of our Board of Directors, and reviews and discusses our Board of Directors’ leadership structure and role in risk oversight. The regulatory and compliance committee assists the Board of Directors with oversight of our compliance with corporate legal and regulatory requirements not already overseen by our audit committee.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Oversight of Corporate Strategy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Board of Directors’ key responsibilities is overseeing management’s formulation and execution of corporate strategy. 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diverse skill set and experience enhances its ability to support management in the execution and evaluation of our corporate strategy. The independent members of our Board of Directors also hold regularly scheduled executive sessions at which strategy is discussed.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Cybersecurity Risk Oversight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in coordination with our audit committee, oversees our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The Board of Directors and the audit committee also receive prompt and timely information regarding any cybersecurity incident that meets established reporting thresholds, as well as ongoing updates regarding any such incident until it has been addressed. On an annual basis, Board of Directors and the audit committee discuss our approach to cybersecurity risk management with the members of management, including our Chief Information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Executive Leadership Team is composed of the Chief Information Officer, in coordination with our Chief Executive Officer, Chief Financial Officer, Chief Compliance Officer and General Counsel. The team works collaboratively across Veracyte to design and implement programs to protect our information systems from cybersecurity threats and to appropriately respond to any cybersecurity incidents in accordance with our cybersecurity incident response plan. To facilitate the success of our cybersecurity risk management program, multidisciplinary teams throughout Veracyte are engaged to address cybersecurity threats and to respond to cybersecurity incidents, including close collaboration with our chief privacy and data officer. Through ongoing communications with these teams, the Chief Information Officer and the Cybersecurity Executive Leadership Team monitor the prevention, detection, mitigation and remediation of cybersecurity threats and incidents in real time, and report such threats and incidents to the audit committee when appropriate.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Veracyte’s Approach to Human Capital Management</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u w:val="single"/>
        </w:rPr>
        <w:t>Our People.</w:t>
      </w:r>
      <w:r>
        <w:rPr>
          <w:color w:val="000000"/>
        </w:rPr>
        <w:t xml:space="preserve"> </w:t>
      </w:r>
      <w:r>
        <w:rPr>
          <w:rFonts w:ascii="Times New Roman;sans-serif" w:hAnsi="Times New Roman;sans-serif"/>
          <w:b w:val="false"/>
          <w:color w:val="000000"/>
          <w:sz w:val="20"/>
        </w:rPr>
        <w:t>At December 31, 2023, we had 815 employees, of which 245 work in laboratory operations, 122 in research and development and clinical development, 192 in selling and marketing, and 256 in general and administrative. None of our employees in the U.S. are the subject of collective bargaining arrangements. Our employees in France belong to local works council and national union, subject to customary collective bargaining arrangements under local law. Our management considers its relationships with employees to be generally positive.</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u w:val="single"/>
        </w:rPr>
        <w:t>Diversity, Inclusion, and Belonging.</w:t>
      </w:r>
      <w:r>
        <w:rPr>
          <w:color w:val="000000"/>
        </w:rPr>
        <w:t xml:space="preserve"> </w:t>
      </w:r>
      <w:r>
        <w:rPr>
          <w:rFonts w:ascii="Times New Roman;sans-serif" w:hAnsi="Times New Roman;sans-serif"/>
          <w:b w:val="false"/>
          <w:color w:val="000000"/>
          <w:sz w:val="20"/>
        </w:rPr>
        <w:t xml:space="preserve">We believe in an inclusive workforce, where people of diverse backgrounds are represented, engaged and empowered to inspire innovative ideas and decisions. Women comprised 55% of our employees and 42% at the Vice President level and above, as of December 31, 2023. Two of our eight directors were women, as of December 31, 2023. Additionally, as of December 31, 2023, 48% of our U.S. employees were non-White. We strive to further advance diversity among our employees, executives, and our Board of Directors and believe that the resulting range of employee ideas, experiences and perspectives strengthens our company. Since 2022, we have sponsored employee resource groups, including the launch of the Veracyte Women’s Leadership (VWL) group, and we are committed to further expanding our diversity, equity and inclusion efforts through, among others, our global talent and recruiting activities. We will continue to promote diversity, inclusion, equity, and belonging through our culture work and individual initiatives to support and empower all employees. </w:t>
      </w:r>
    </w:p>
    <w:p>
      <w:pPr>
        <w:pStyle w:val="TextBody"/>
        <w:bidi w:val="0"/>
        <w:spacing w:before="0" w:after="240"/>
        <w:jc w:val="center"/>
        <w:rPr/>
      </w:pPr>
      <w:r>
        <w:rPr/>
        <w:drawing>
          <wp:inline distT="0" distB="0" distL="0" distR="0">
            <wp:extent cx="6515100" cy="3324225"/>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6515100" cy="3324225"/>
                    </a:xfrm>
                    <a:prstGeom prst="rect">
                      <a:avLst/>
                    </a:prstGeom>
                  </pic:spPr>
                </pic:pic>
              </a:graphicData>
            </a:graphic>
          </wp:inline>
        </w:drawing>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pride ourselves on our strong culture, which encourages innovation, collaboration, and mutual respect. We were named a Bay Area “Top Workplace” by the San Francisco Chronicle in 2023, marking the tenth consecutive year we received this distinction. This award is based solely on employee feedback gathered through an anonymous, third-party survey. Additionally in 2023, our San Diego site received its inaugural Best Places to Work in San Diego award by the San Diego Business Journal, in partnership with Workforce Research Group. Our core values across the Company are: patient-centric; committed to innovation; empowered and results-focused; collaborative and open; and respectful and compassionate.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members of our leadership team have volunteered to sponsor employee work groups around each aspirational value to ensure the values are embedded into our culture.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supporting our employees’ long-term success by investing in training programs and educational opportunities to help foster personal and professional growth. We have implemented general and job-specific training programs so that employees can gain the necessary qualifications for their position and can continue to develop and grow within the Company. In 2023, we also launched specific management training to support new and emerging managers. In France, we work closely with the democratically elected employee works council to support effective communication and collaboration.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Board of Directors Evaluations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an annual self-evaluation process for our Board of Directors and its committees. As part of this process, each member of our Board of Directors individually completes a detailed survey prepared by outside counsel or participates in an in-person independent interview to discuss each director's assessment of the performance of the Board of Directors and its committees, their own performance, and the performance of fellow members of the Board of Directors and interaction between the Board of Directors and management. The feedback received is then shared with the nominating and corporate governance committee, and then presented to and discussed with the full Board of Directors.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evaluation process is used:</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shd w:fill="FFFFFF" w:val="clear"/>
        </w:rPr>
        <w:t>by our Board of Directors and nominating and corporate governance committee to assess the current composition of our Board of Directors and its committees and make recommendations for the qualifications, expertise, and characteristics we should seek in identifying potential new director nominees;</w:t>
      </w:r>
    </w:p>
    <w:p>
      <w:pPr>
        <w:pStyle w:val="TextBody"/>
        <w:bidi w:val="0"/>
        <w:spacing w:lineRule="auto" w:line="288" w:before="60" w:after="60"/>
        <w:ind w:left="0" w:right="0" w:hanging="360"/>
        <w:jc w:val="both"/>
        <w:rPr/>
      </w:pPr>
      <w:r>
        <w:rPr>
          <w:color w:val="000000"/>
          <w:shd w:fill="FFFFFF" w:val="clear"/>
        </w:rPr>
        <w:t>•</w:t>
      </w:r>
      <w:r>
        <w:rPr>
          <w:rFonts w:ascii="Times New Roman;sans-serif" w:hAnsi="Times New Roman;sans-serif"/>
          <w:b w:val="false"/>
          <w:color w:val="000000"/>
          <w:sz w:val="20"/>
          <w:shd w:fill="FFFFFF" w:val="clear"/>
        </w:rPr>
        <w:t>by our Board of Directors and nominating and corporate governance committee to identify the strengths and areas of opportunity of each member of our Board of Directors and to provide insight into how the contributions of each member of our Board of Directors can be most valuable;</w:t>
      </w:r>
    </w:p>
    <w:p>
      <w:pPr>
        <w:pStyle w:val="TextBody"/>
        <w:bidi w:val="0"/>
        <w:spacing w:lineRule="auto" w:line="288" w:before="60" w:after="60"/>
        <w:ind w:left="0" w:right="0" w:hanging="360"/>
        <w:jc w:val="both"/>
        <w:rPr/>
      </w:pPr>
      <w:r>
        <w:rPr>
          <w:color w:val="000000"/>
          <w:shd w:fill="FFFFFF" w:val="clear"/>
        </w:rPr>
        <w:t>•</w:t>
      </w:r>
      <w:r>
        <w:rPr>
          <w:rFonts w:ascii="Times New Roman;sans-serif" w:hAnsi="Times New Roman;sans-serif"/>
          <w:b w:val="false"/>
          <w:color w:val="000000"/>
          <w:sz w:val="20"/>
          <w:shd w:fill="FFFFFF" w:val="clear"/>
        </w:rPr>
        <w:t>to identify areas to strengthen the quality of discussion and materials presented to the Board of Directors and its committees so that information they receive enables them to function most effectively and to address the issues they consider most critical; and</w:t>
      </w:r>
    </w:p>
    <w:p>
      <w:pPr>
        <w:pStyle w:val="TextBody"/>
        <w:bidi w:val="0"/>
        <w:spacing w:lineRule="auto" w:line="288" w:before="60" w:after="60"/>
        <w:ind w:left="0" w:right="0" w:hanging="360"/>
        <w:jc w:val="both"/>
        <w:rPr/>
      </w:pPr>
      <w:r>
        <w:rPr>
          <w:color w:val="000000"/>
          <w:shd w:fill="FFFFFF" w:val="clear"/>
        </w:rPr>
        <w:t>•</w:t>
      </w:r>
      <w:r>
        <w:rPr>
          <w:rFonts w:ascii="Times New Roman;sans-serif" w:hAnsi="Times New Roman;sans-serif"/>
          <w:b w:val="false"/>
          <w:color w:val="000000"/>
          <w:sz w:val="20"/>
          <w:shd w:fill="FFFFFF" w:val="clear"/>
        </w:rPr>
        <w:t>by our nominating and corporate governance committee as part of its annual review of each director’s performance when considering whether to nominate the director for re-election to the Board of Directors.</w:t>
      </w:r>
    </w:p>
    <w:p>
      <w:pPr>
        <w:pStyle w:val="TextBody"/>
        <w:bidi w:val="0"/>
        <w:spacing w:before="0" w:after="240"/>
        <w:ind w:left="0" w:right="0" w:firstLine="72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Communications with the Board of Directors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based on the subject matter.</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Code of Business Conduct and Ethics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all of our officers and employees. The Code of Business Conduct and Ethics sets forth the basic principles that guide the business conduct of our employees. We have also adopted a Senior Financial Officers’ Code of Ethics that specifically applies to our Chief Executive Officer, our Chief Financial Officer and key management employees. Stockholders may request a free copy of our Code of Business Conduct and Ethics and our Senior Financial Officers’ Code of Ethics by contacting Veracyte, Inc., Attention: General Counsel, 6000 Shoreline Court, Suite 300, South San Francisco, California 94080.</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a Compliance and Business Ethics hotline and online portal, sometimes referred to as a ‘whistleblower hotline,’ where employees and others may confidentially and anonymously (subject to local legal regulations) report any concerns about potential misconduct. We launched a Compliance and Business Ethics page on our veracyte.com website in 2022 to allow for ease of reporting concerns.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there have been no waivers under our Code of Business Conduct and Ethics or Senior Financial Officers’ Code of Ethics. We intend to disclose future amendments to certain provisions of our Code of Business Conduct and Ethics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Senior Financial Officers’ Code of Ethics or waivers of such Codes granted to executive officers and directors on our website at http://www.veracyte.com within four business days following the date of such amendment or waiver.</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all employees to complete Foreign Corrupt Practices Act training through an online platform.</w:t>
      </w:r>
    </w:p>
    <w:p>
      <w:pPr>
        <w:pStyle w:val="TextBody"/>
        <w:bidi w:val="0"/>
        <w:spacing w:before="0" w:after="0"/>
        <w:ind w:left="0" w:right="0" w:firstLine="720"/>
        <w:jc w:val="both"/>
        <w:rPr/>
      </w:pPr>
      <w:r>
        <w:rPr/>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Corporate Governance Guidelines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“Investors” section of our website, which is located at https://investor.veracyte.com, by clicking “Governance Overview” in the “Governance” section of our website.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2023 Director Compensation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2023, our Compensation Committee engaged Aon’s Human Capital Solutions practice, a division of Aon plc (“Aon”), an independent compensation consultant, to provide an analysis of non-employee director compensation, including an analysis of compensation paid to non-employee directors by companies in our peer group (as described in “Compensation Discussion and Analysis - 2023 Peer Group”), and an assessment of both the cash and equity compensation and an evaluation of the type of equity instruments being awarded. The following table sets forth cash amounts and the value of equity compensation awarded to, earned by, or paid to our non-employee directors for their service in 2023. Mr. Stapley is not included in the table below as he did not receive compensation for service as a director in 2023. The compensation received by Mr. Stapley as an employee is shown in the “Executive Compensation—Summary Compensation Table” below.</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89"/>
        <w:gridCol w:w="203"/>
        <w:gridCol w:w="126"/>
        <w:gridCol w:w="849"/>
        <w:gridCol w:w="428"/>
        <w:gridCol w:w="428"/>
        <w:gridCol w:w="1080"/>
        <w:gridCol w:w="873"/>
        <w:gridCol w:w="876"/>
        <w:gridCol w:w="1010"/>
        <w:gridCol w:w="873"/>
        <w:gridCol w:w="798"/>
        <w:gridCol w:w="853"/>
        <w:gridCol w:w="853"/>
        <w:gridCol w:w="666"/>
      </w:tblGrid>
      <w:tr>
        <w:trPr/>
        <w:tc>
          <w:tcPr>
            <w:tcW w:w="2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3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Fees Earned</w:t>
            </w:r>
          </w:p>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or Paid in Cash ($)</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Stock</w:t>
            </w:r>
          </w:p>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Awards ($)(1)(2)</w:t>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23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Eliav Barr</w:t>
            </w:r>
          </w:p>
        </w:tc>
        <w:tc>
          <w:tcPr>
            <w:tcW w:w="1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249,976 </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294,976 </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Muna Bhanji</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50,002 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249,976 </w:t>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299,978 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 L. Bishop</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47,874 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249,976 </w:t>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297,850 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Karin Eastham</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65,002 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249,976 </w:t>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314,978 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Robert S. Epstein</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249,976 </w:t>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337,976 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Jens Holstein</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77,496 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249,976 </w:t>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327,472 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Evan Jones</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249,976 </w:t>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314,976 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87" w:type="dxa"/>
            <w:gridSpan w:val="12"/>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Amounts represent the aggregate fair value of the awards computed as of the grant date of each stock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2023. There can be no assurance that stock awards will settle (in which case no value will be realized by the individual) or that the value on settlement will approximate the fair value as computed in accordance with ASC 718.</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87"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number of shares of common stock subject to outstanding options or stock awards held by non-employee directors at December 31, 2023:</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Eliav Barr</w:t>
            </w:r>
          </w:p>
        </w:tc>
        <w:tc>
          <w:tcPr>
            <w:tcW w:w="1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23,488 </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Muna Bhanji</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Bishop</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74,674 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79,674 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S. Epstein</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84,674 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44,674 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79,674 </w:t>
            </w:r>
          </w:p>
        </w:tc>
        <w:tc>
          <w:tcPr>
            <w:tcW w:w="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r>
      <w:tr>
        <w:trPr/>
        <w:tc>
          <w:tcPr>
            <w:tcW w:w="61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7882" w:type="dxa"/>
            <w:gridSpan w:val="9"/>
            <w:tcBorders/>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Directors who are employees do not receive any fees or equity awards for their service on the Board of Directors or any committee. In February 2023, our compensation committee and Board of Directors reviewed our then-current non-employee director compensation program and competitive market data on the same, determined to retain the cash retainer without change from 2022, except as noted below, and to retain the equity awards from 2022 without change, as detailed below. </w:t>
      </w:r>
    </w:p>
    <w:p>
      <w:pPr>
        <w:pStyle w:val="TextBody"/>
        <w:bidi w:val="0"/>
        <w:spacing w:lineRule="auto" w:line="264"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Retainers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$40,000 annual cash retainer for service on our Board of Directors;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$40,000 additional annual cash retainer for service as the chair of our Board of Directors;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$20,000 annual cash retainer for the chair of our audit committee and $10,000 for each of its other members;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$15,000 annual cash retainer for the chair of our compensation committee and $7,500 for each of its other members;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$10,000 annual cash retainer for the chair of our nominating and corporate governance committee and $5,000 for each of its other members;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$10,000 annual cash retainer for the chair of our regulatory and compliance committee and $5,000 for each of its other members; and</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$25,000 additional annual cash retainer for the lead independent director (as needed).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our compensation committee and Board of Directors reviewed our then-current non-employee director compensation program and competitive market data on the same, determined to increase the cash retainer for service on our Board of Directors from $40,000 to $50,000. The Board of Directors also approved the increase of the additional cash retainer for the chair of the Board of Directors from $40,000 to $50,000. In February 2024, our compensation committee of the Board of Directors also determined to retain the equity awards without change from 2023 (as detailed below).</w:t>
      </w:r>
    </w:p>
    <w:p>
      <w:pPr>
        <w:pStyle w:val="TextBody"/>
        <w:bidi w:val="0"/>
        <w:spacing w:lineRule="auto" w:line="264"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policy for non-employee directors currently provides that any non-employee director who first joins our Board of Directors is automatically granted restricted stock units ("RSUs") valued on the grant date at approximately $500,000 (the “Initial RSUs”). The Initial RSUs will vest as to one-third of those shares on each of the first, second and third annual anniversaries of the date of grant. In addition, on the first business day after each annual meeting of stockholders, each non-employee director who continues to serve on our Board of Directors and who has served as a director for at least six months will be automatically granted RSUs valued on the grant date at approximately $250,000 (the “Annual RSUs”). The Annual RSUs will vest in full on the first anniversary of the date of grant or, if earlier, the date of the next annual meeting of stockholders. The vesting of the RSUs described above will accelerate in full upon a “change in control” referred to as a "corporate transaction" and as defined in our 2023 Equity Incentive Plan ("2023 Plan")). Pursuant to the terms of the 2023 Plan, no non-employee director may receive equity awards under our 2013 Stock Incentive Plan that, when combined with cash compensation received for service as a non-employee director, exceeds $750,000 in value in any calendar year, which amount shall instead be $1,500,000 in value in the calendar year in which such director first joins our Board of Directors.</w:t>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PROPOSAL NO. 2</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RATIFICATION OF APPOINTMENT OF INDEPENDENT REGISTERED PUBLIC ACCOUNTING FIRM</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appointed Ernst &amp; Young LLP as our independent registered public accounting firm for 2024.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 Fees and Services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billed for professional audit services and other services rendered to us by Ernst &amp; Young LLP for 2023 and 2022.</w:t>
      </w:r>
    </w:p>
    <w:tbl>
      <w:tblPr>
        <w:tblW w:w="4466" w:type="dxa"/>
        <w:jc w:val="center"/>
        <w:tblInd w:w="0" w:type="dxa"/>
        <w:tblLayout w:type="fixed"/>
        <w:tblCellMar>
          <w:top w:w="28" w:type="dxa"/>
          <w:left w:w="28" w:type="dxa"/>
          <w:bottom w:w="28" w:type="dxa"/>
          <w:right w:w="28" w:type="dxa"/>
        </w:tblCellMar>
      </w:tblPr>
      <w:tblGrid>
        <w:gridCol w:w="339"/>
        <w:gridCol w:w="298"/>
        <w:gridCol w:w="298"/>
        <w:gridCol w:w="298"/>
        <w:gridCol w:w="298"/>
        <w:gridCol w:w="298"/>
        <w:gridCol w:w="211"/>
        <w:gridCol w:w="976"/>
        <w:gridCol w:w="109"/>
        <w:gridCol w:w="211"/>
        <w:gridCol w:w="976"/>
        <w:gridCol w:w="154"/>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2,519,149 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2,206,118 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Fees(2)</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Fees(3)</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Fees(4)</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2,519,149 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Audit fees include fees and out-of-pocket expenses, whether or not yet invoiced, for professional services provided in connection with the audit of our annual financial statements and review of our quarterly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Audit-related fees include fees for consultations on accounting and reporting matters for acquisitions.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Tax fees consist of tax consulting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fees consist of consultations not related to audit or tax fess and access to an online accounting literature database.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Pre-approval Policies and Procedures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Ratification will require the vote of a majority of the shares present and entitled to vote at the Annual Meeting. Stockholder ratification of the selection of Ernst &amp; Young LLP as our independent registered public accounting firm is not required by our amended and restated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Ratification of Ernst &amp; Young LLP as our Independent Registered Public Accounting Firm.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3</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ADVISORY VOTE ON THE COMPENSATION OF OUR NAMED EXECUTIVE OFFICERS</w: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rules of the SEC, we are providing stockholders with an opportunity to make a non-binding, advisory vote on the compensation of our named executive officers. This non-binding advisory vote is commonly referred to as a “say on pay” vote. The non-binding advisory vote on the compensation of our named executive officers, as disclosed in this Proxy Statement, will be determined by the vote of a majority of the shares present at the Annual Meeting or voting by proxy and entitled to vote. Abstentions have the same effect as votes “AGAINST” this proposal.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pStyle w:val="TextBody"/>
        <w:bidi w:val="0"/>
        <w:spacing w:lineRule="auto" w:line="288" w:before="0" w:after="180"/>
        <w:ind w:left="0" w:right="0" w:firstLine="720"/>
        <w:jc w:val="both"/>
        <w:rPr>
          <w:color w:val="000000"/>
        </w:rPr>
      </w:pPr>
      <w:r>
        <w:rPr>
          <w:color w:val="000000"/>
        </w:rPr>
        <w:t>“</w:t>
      </w:r>
      <w:r>
        <w:rPr>
          <w:rFonts w:ascii="Times New Roman;sans-serif" w:hAnsi="Times New Roman;sans-serif"/>
          <w:b w:val="false"/>
          <w:color w:val="000000"/>
          <w:sz w:val="20"/>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The Board of Directors Recommends a Vote “FOR” Approval, on a Non-Binding Advisory Basis, of the Compensation of our Named Executive Officers.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APPROVAL OF AMENDMENT TO VERACYTE, INC. 2023 EQUITY INCENTIVE PLAN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asking our stockholders to approve an amendment to the Veracyte, Inc. 2023 Equity Incentive Plan (the “2023 Plan,” and such amendment, the “Plan Amendment”) to increase the number of shares that may be issued under the 2023 Plan. Our Board has approved the Plan Amendment, subject to stockholder approval.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determined that it is in the best interests of the company and our stockholders to seek approval of the Plan Amendment to increase the number of shares that may be issued under the 2023 Plan by 5,000,000 shares.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If our stockholders do not approve the Plan Amendment, the number of shares available for grant under the 2023 Plan wi</w:t>
      </w:r>
      <w:r>
        <w:rPr>
          <w:rFonts w:ascii="Times New Roman;sans-serif" w:hAnsi="Times New Roman;sans-serif"/>
          <w:b w:val="false"/>
          <w:color w:val="000000"/>
          <w:sz w:val="20"/>
          <w:shd w:fill="FFFFFF" w:val="clear"/>
        </w:rPr>
        <w:t>ll not be increased and we will be limited in granting equity using the then-existing shares as a tool to attract and retain key talent.</w:t>
      </w:r>
    </w:p>
    <w:p>
      <w:pPr>
        <w:pStyle w:val="TextBody"/>
        <w:bidi w:val="0"/>
        <w:spacing w:lineRule="auto" w:line="288" w:before="0" w:after="120"/>
        <w:jc w:val="both"/>
        <w:rPr/>
      </w:pPr>
      <w:r>
        <w:rPr>
          <w:rFonts w:ascii="Times New Roman;sans-serif" w:hAnsi="Times New Roman;sans-serif"/>
          <w:b/>
          <w:color w:val="000000"/>
          <w:sz w:val="20"/>
          <w:shd w:fill="FFFFFF" w:val="clear"/>
        </w:rPr>
        <w:t xml:space="preserve">Rationale For and Reasons Why the Board </w:t>
      </w:r>
      <w:r>
        <w:rPr>
          <w:rFonts w:ascii="Times New Roman;sans-serif" w:hAnsi="Times New Roman;sans-serif"/>
          <w:b/>
          <w:color w:val="000000"/>
          <w:sz w:val="20"/>
        </w:rPr>
        <w:t>Recommends</w:t>
      </w:r>
      <w:r>
        <w:rPr>
          <w:color w:val="000000"/>
          <w:shd w:fill="FFFFFF" w:val="clear"/>
        </w:rPr>
        <w:t xml:space="preserve"> </w:t>
      </w:r>
      <w:r>
        <w:rPr>
          <w:rFonts w:ascii="Times New Roman;sans-serif" w:hAnsi="Times New Roman;sans-serif"/>
          <w:b/>
          <w:color w:val="000000"/>
          <w:sz w:val="20"/>
          <w:shd w:fill="FFFFFF" w:val="clear"/>
        </w:rPr>
        <w:t>a Vote FOR the Plan Amendment</w:t>
      </w:r>
    </w:p>
    <w:p>
      <w:pPr>
        <w:pStyle w:val="TextBody"/>
        <w:bidi w:val="0"/>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Equity Compensation Is a Critical Element of Our Compensation Program</w:t>
      </w:r>
    </w:p>
    <w:p>
      <w:pPr>
        <w:pStyle w:val="TextBody"/>
        <w:bidi w:val="0"/>
        <w:spacing w:lineRule="auto" w:line="288" w:before="0" w:after="120"/>
        <w:ind w:left="0" w:right="0" w:firstLine="720"/>
        <w:jc w:val="both"/>
        <w:rPr/>
      </w:pPr>
      <w:r>
        <w:rPr>
          <w:rFonts w:ascii="Times New Roman;sans-serif" w:hAnsi="Times New Roman;sans-serif"/>
          <w:b w:val="false"/>
          <w:color w:val="000000"/>
          <w:sz w:val="20"/>
          <w:shd w:fill="FFFFFF" w:val="clear"/>
        </w:rPr>
        <w:t xml:space="preserve">We believe that our equity incentive compensation program aligns the interests of management, employees and stockholders to create long-term stockholder value. We strongly believe that the approval of the Plan Amendment is </w:t>
      </w:r>
      <w:r>
        <w:rPr>
          <w:rFonts w:ascii="Times New Roman;sans-serif" w:hAnsi="Times New Roman;sans-serif"/>
          <w:b w:val="false"/>
          <w:color w:val="000000"/>
          <w:sz w:val="20"/>
        </w:rPr>
        <w:t>essential</w:t>
      </w:r>
      <w:r>
        <w:rPr>
          <w:color w:val="000000"/>
          <w:shd w:fill="FFFFFF" w:val="clear"/>
        </w:rPr>
        <w:t xml:space="preserve"> </w:t>
      </w:r>
      <w:r>
        <w:rPr>
          <w:rFonts w:ascii="Times New Roman;sans-serif" w:hAnsi="Times New Roman;sans-serif"/>
          <w:b w:val="false"/>
          <w:color w:val="000000"/>
          <w:sz w:val="20"/>
          <w:shd w:fill="FFFFFF" w:val="clear"/>
        </w:rPr>
        <w:t xml:space="preserve">to our continued success because we otherwise may not have sufficient shares available under our 2023 Plan to attract and retain new employees or to motivate and retain our existing employees.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believe that our future success and our ability to</w:t>
      </w:r>
      <w:r>
        <w:rPr>
          <w:color w:val="000000"/>
          <w:shd w:fill="FFFFFF" w:val="clear"/>
        </w:rPr>
        <w:t xml:space="preserve"> </w:t>
      </w:r>
      <w:r>
        <w:rPr>
          <w:rFonts w:ascii="Times New Roman;sans-serif" w:hAnsi="Times New Roman;sans-serif"/>
          <w:b w:val="false"/>
          <w:color w:val="000000"/>
          <w:sz w:val="20"/>
          <w:shd w:fill="FFFFFF" w:val="clear"/>
        </w:rPr>
        <w:t>remain competitive are dependent on our ability to attract, retain and motivate highly qualified talent. The market for talent in our industry is highly competitive and becoming increasingly more competitive. The use of equity compensation, including the grant of options, restricted stock units (“RSUs”) and certain performance-based restricted stock units (“PSUs”), has historically</w:t>
      </w:r>
      <w:r>
        <w:rPr>
          <w:color w:val="000000"/>
        </w:rPr>
        <w:t xml:space="preserve"> </w:t>
      </w:r>
      <w:r>
        <w:rPr>
          <w:rFonts w:ascii="Times New Roman;sans-serif" w:hAnsi="Times New Roman;sans-serif"/>
          <w:b w:val="false"/>
          <w:color w:val="000000"/>
          <w:sz w:val="20"/>
        </w:rPr>
        <w:t>been a significant part of our overall compensation philosophy and a cornerstone of our method for attracting and retaining top caliber employees. Allowing employees to acquire or increase their ownership stake in Veracyte aligns employee interests with those of our stockholders, creating strong incentives for our employees to work hard for Veracyte's future growth and success, including for stockholders.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grant RSUs to the majority of our newly hired U.S. employees, a mix of RSUs and PSUs to our executives and RSUs to our non-employee directors. These equity grants are an important component of our long-term employee incentive and retention plan and have been very effective in enabling us to attract and retain the talent critical for an innovative and growth-focused company.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Plan Amendment is not approved, we may have insufficient shares available to continue to make equity grants to our employees and directors during 2025 and may be forced to consider cash replacement alternatives to provide a market-competitive total compensation package necessary to attract, retain and motivate the employee talent critical to our future successes. These cash replacement alternatives could, among other things, reduce the cash available for investment in growth and development and cause a possible loss of motivation by employees to achieve superior performance over a longer period of time as they will no longer receive the benefit of long-term equity. Loss of long-term equity by employees also has the potential to reduce the alignment between employees and stockholders.</w:t>
      </w:r>
    </w:p>
    <w:p>
      <w:pPr>
        <w:pStyle w:val="TextBody"/>
        <w:bidi w:val="0"/>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We Carefully Consider and Forecast Our Need for Shares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were 3,848,279 shares of common stock available for grant under the 2023 Plan. After carefully forecasting our anticipated growth rate for the next few years and considering our historical usage and forfeiture rates, we currently believe that the proposed Plan Amendment to increase the share reserve under the 2023 Plan by 5,000,000 shares of common stock will be sufficient for us to make anticipated grants of equity incentive awards under our current compensation program for approximately an additional 1.5 years. However, a change in business conditions, company strategy, forfeiture rates, or equity market performance could alter this projection up or down.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the number of shares requested pursuant to the Plan Amendment, our Compensation Committee considered a number of factors, including the costs of the share request as well as an analysis of certain burn rate and dilution metrics as summarized below.</w:t>
      </w:r>
    </w:p>
    <w:p>
      <w:pPr>
        <w:pStyle w:val="TextBody"/>
        <w:bidi w:val="0"/>
        <w:spacing w:lineRule="auto" w:line="26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Grant Practices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past three fiscal years, we granted equity awards under our 2023 Plan and our 2013 Stock Incentive Plan (the “2013 Plan”), which terminated in connection with the approval of our 2023 Plan, as summarized in the chart below. Our three-year average burn rate was approximately 3.36% for fiscal years 2021 through 2023 (see chart below for a calculation of our three-year burn rate). We define “burn rate” as the number of time-based equity awards granted during the year plus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equity awards granted during the year, assuming target-level achievement, divided by the weighted average total number of shares of common stock outstanding. We believe that our use of equity compensation, across the company, is a strong compensation differentiator which allows us to attract and retain talent at all levels in the company. This also reflects our commitment to a culture of ownership and accountability, to align with all shareholders. Our gross burn rate is aligned with common market practices across the life sciences sector where we compete for talent and has been well within investor expectations historically.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burn rate figures included below are based on equity awards granted under our 2023 Plan and our 2013 Plan, and exclude potential dilution resulting from shares issued pursuant to our Amended and Restated Employee Stock Purchase Plan (the “ESPP”). As we continue to mature our compensation practices, we strive to achieve a burn rate and overhang at approximately the average rates of our peer group, and that are within the limits recommended by certain independent stockholder advisory groups.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03"/>
        <w:gridCol w:w="267"/>
        <w:gridCol w:w="268"/>
        <w:gridCol w:w="907"/>
        <w:gridCol w:w="907"/>
        <w:gridCol w:w="908"/>
        <w:gridCol w:w="677"/>
        <w:gridCol w:w="677"/>
        <w:gridCol w:w="678"/>
        <w:gridCol w:w="1275"/>
        <w:gridCol w:w="1275"/>
        <w:gridCol w:w="1277"/>
        <w:gridCol w:w="227"/>
        <w:gridCol w:w="227"/>
        <w:gridCol w:w="332"/>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c>
          <w:tcPr>
            <w:tcW w:w="2722"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Granted Appreciation Awards (Options and SARs)(1)</w:t>
            </w:r>
          </w:p>
        </w:tc>
        <w:tc>
          <w:tcPr>
            <w:tcW w:w="2032"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Granted Full-Value Awards (RSUs)(2)</w:t>
            </w:r>
          </w:p>
        </w:tc>
        <w:tc>
          <w:tcPr>
            <w:tcW w:w="3827"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4" w:before="0" w:after="0"/>
              <w:jc w:val="center"/>
              <w:rPr/>
            </w:pPr>
            <w:r>
              <w:rPr>
                <w:rFonts w:ascii="Times New Roman;sans-serif" w:hAnsi="Times New Roman;sans-serif"/>
                <w:b/>
                <w:color w:val="000000"/>
                <w:sz w:val="20"/>
              </w:rPr>
              <w:t>Weighted Common Stock Outstanding as of December 31</w:t>
            </w:r>
            <w:r>
              <w:rPr>
                <w:rFonts w:ascii="Times New Roman;sans-serif" w:hAnsi="Times New Roman;sans-serif"/>
                <w:b/>
                <w:color w:val="000000"/>
                <w:sz w:val="13"/>
              </w:rPr>
              <w:t xml:space="preserve">st </w:t>
            </w:r>
            <w:r>
              <w:rPr>
                <w:rFonts w:ascii="Times New Roman;sans-serif" w:hAnsi="Times New Roman;sans-serif"/>
                <w:b/>
                <w:color w:val="000000"/>
                <w:sz w:val="20"/>
              </w:rPr>
              <w:t>of the applicable year</w:t>
            </w:r>
          </w:p>
        </w:tc>
        <w:tc>
          <w:tcPr>
            <w:tcW w:w="786"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Burn Rate</w:t>
            </w:r>
          </w:p>
        </w:tc>
      </w:tr>
      <w:tr>
        <w:trPr/>
        <w:tc>
          <w:tcPr>
            <w:tcW w:w="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7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677,851</w:t>
            </w:r>
          </w:p>
        </w:tc>
        <w:tc>
          <w:tcPr>
            <w:tcW w:w="2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1,168,896</w:t>
            </w:r>
          </w:p>
        </w:tc>
        <w:tc>
          <w:tcPr>
            <w:tcW w:w="3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67,890,328</w:t>
            </w:r>
          </w:p>
        </w:tc>
        <w:tc>
          <w:tcPr>
            <w:tcW w:w="7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c>
      </w:tr>
      <w:tr>
        <w:trPr/>
        <w:tc>
          <w:tcPr>
            <w:tcW w:w="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7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1,132,620</w:t>
            </w:r>
          </w:p>
        </w:tc>
        <w:tc>
          <w:tcPr>
            <w:tcW w:w="2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1,746,249</w:t>
            </w:r>
          </w:p>
        </w:tc>
        <w:tc>
          <w:tcPr>
            <w:tcW w:w="3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71,549,204</w:t>
            </w:r>
          </w:p>
        </w:tc>
        <w:tc>
          <w:tcPr>
            <w:tcW w:w="7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4.02%</w:t>
            </w:r>
          </w:p>
        </w:tc>
      </w:tr>
      <w:tr>
        <w:trPr/>
        <w:tc>
          <w:tcPr>
            <w:tcW w:w="8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7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660,592</w:t>
            </w:r>
          </w:p>
        </w:tc>
        <w:tc>
          <w:tcPr>
            <w:tcW w:w="20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1,767,312</w:t>
            </w:r>
          </w:p>
        </w:tc>
        <w:tc>
          <w:tcPr>
            <w:tcW w:w="38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72,644,487</w:t>
            </w:r>
          </w:p>
        </w:tc>
        <w:tc>
          <w:tcPr>
            <w:tcW w:w="78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3.34%</w:t>
            </w:r>
          </w:p>
        </w:tc>
      </w:tr>
    </w:tbl>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    All options granted during 2021, 2022 and 2023 included a time-based vesting schedule.</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    Includes both time-based RSUs and PSUs (assuming target-level achievement) granted during 2021, 2022 and 2023.</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Potential Dilution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There were 76,425,272 total shares of our common stock outstanding.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closing market price of our common stock on March 31, 2024 was $22.16.</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company’s outstanding stock options have a weighted average per share exercise price of $23.37 and a weighted average remaining contractual term of 6.3 years.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following table shows outstanding equity awards granted and outstanding under the 2023 Plan and our 2013 Plan, and the number of shares remaining for grant under our 2023 Plan, in each case as of March 31,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73"/>
        <w:gridCol w:w="948"/>
        <w:gridCol w:w="953"/>
        <w:gridCol w:w="1282"/>
        <w:gridCol w:w="1151"/>
        <w:gridCol w:w="1154"/>
        <w:gridCol w:w="1195"/>
        <w:gridCol w:w="970"/>
        <w:gridCol w:w="1379"/>
      </w:tblGrid>
      <w:tr>
        <w:trPr/>
        <w:tc>
          <w:tcPr>
            <w:tcW w:w="117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C9C9C9"/>
              <w:left w:val="single" w:sz="8" w:space="0" w:color="C9C9C9"/>
            </w:tcBorders>
            <w:shd w:fill="D9D9D9" w:val="clear"/>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appreciation awards (options) under all plans</w:t>
            </w:r>
          </w:p>
        </w:tc>
        <w:tc>
          <w:tcPr>
            <w:tcW w:w="3587" w:type="dxa"/>
            <w:gridSpan w:val="3"/>
            <w:tcBorders>
              <w:top w:val="single" w:sz="8" w:space="0" w:color="C9C9C9"/>
              <w:left w:val="single" w:sz="8" w:space="0" w:color="C9C9C9"/>
            </w:tcBorders>
            <w:shd w:fill="D9D9D9" w:val="clear"/>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Full value awards outstanding under all plans (including PSUs at target)</w:t>
            </w:r>
          </w:p>
        </w:tc>
        <w:tc>
          <w:tcPr>
            <w:tcW w:w="3544" w:type="dxa"/>
            <w:gridSpan w:val="3"/>
            <w:tcBorders>
              <w:top w:val="single" w:sz="8" w:space="0" w:color="C9C9C9"/>
              <w:left w:val="single" w:sz="8" w:space="0" w:color="C9C9C9"/>
              <w:right w:val="single" w:sz="8" w:space="0" w:color="C9C9C9"/>
            </w:tcBorders>
            <w:shd w:fill="D9D9D9" w:val="clear"/>
            <w:tcMar>
              <w:top w:w="30" w:type="dxa"/>
              <w:bottom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available for grant under all plans (2023 Plan only)</w:t>
            </w:r>
          </w:p>
        </w:tc>
      </w:tr>
      <w:tr>
        <w:trPr/>
        <w:tc>
          <w:tcPr>
            <w:tcW w:w="2121" w:type="dxa"/>
            <w:gridSpan w:val="2"/>
            <w:tcBorders>
              <w:top w:val="single" w:sz="8" w:space="0" w:color="C9C9C9"/>
              <w:left w:val="single" w:sz="8" w:space="0" w:color="C9C9C9"/>
              <w:bottom w:val="single" w:sz="8" w:space="0" w:color="C9C9C9"/>
            </w:tcBorders>
            <w:shd w:fill="FFFFFF" w:val="clear"/>
            <w:tcMar>
              <w:top w:w="3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3,498,158 </w:t>
            </w:r>
          </w:p>
        </w:tc>
        <w:tc>
          <w:tcPr>
            <w:tcW w:w="953"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top w:val="single" w:sz="8" w:space="0" w:color="C9C9C9"/>
              <w:left w:val="single" w:sz="8" w:space="0" w:color="C9C9C9"/>
              <w:bottom w:val="single" w:sz="8" w:space="0" w:color="C9C9C9"/>
            </w:tcBorders>
            <w:shd w:fill="FFFFFF" w:val="clear"/>
            <w:tcMar>
              <w:top w:w="30" w:type="dxa"/>
              <w:bottom w:w="30" w:type="dxa"/>
              <w:right w:w="0" w:type="dxa"/>
            </w:tcMar>
            <w:vAlign w:val="center"/>
          </w:tcPr>
          <w:p>
            <w:pPr>
              <w:pStyle w:val="TableContents"/>
              <w:bidi w:val="0"/>
              <w:spacing w:lineRule="auto" w:line="264"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3,665,509 </w:t>
            </w:r>
          </w:p>
        </w:tc>
        <w:tc>
          <w:tcPr>
            <w:tcW w:w="1154"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C9C9C9"/>
              <w:left w:val="single" w:sz="8" w:space="0" w:color="C9C9C9"/>
              <w:bottom w:val="single" w:sz="8" w:space="0" w:color="C9C9C9"/>
            </w:tcBorders>
            <w:shd w:fill="FFFFFF" w:val="clear"/>
            <w:tcMar>
              <w:top w:w="30" w:type="dxa"/>
              <w:bottom w:w="30" w:type="dxa"/>
              <w:right w:w="0" w:type="dxa"/>
            </w:tcMar>
            <w:vAlign w:val="center"/>
          </w:tcPr>
          <w:p>
            <w:pPr>
              <w:pStyle w:val="TableContents"/>
              <w:bidi w:val="0"/>
              <w:spacing w:lineRule="auto" w:line="264"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3,848,279 </w:t>
            </w:r>
          </w:p>
        </w:tc>
        <w:tc>
          <w:tcPr>
            <w:tcW w:w="1379" w:type="dxa"/>
            <w:tcBorders>
              <w:top w:val="single" w:sz="8" w:space="0" w:color="C9C9C9"/>
              <w:bottom w:val="single" w:sz="8" w:space="0" w:color="C9C9C9"/>
              <w:right w:val="single" w:sz="8" w:space="0" w:color="C9C9C9"/>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information, as of March 31, 2024, our outstanding equity awards (not including awards under our ESPP) plus shares available for future grant under our 2023 Plan represented approximately 14% of our common stock outstanding, which we refer to as our “overhang.”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our Board of Directors believes that the request to approve the Plan Amendment to add an additional 5,000,000 shares of common stock to the 2023 Plan is reasonable and prudent. This number of shares should allow us to continue to grant awards to our employees, consultants, officers, and directors, which have been successful in attracting high-performing personnel and generating stockholder value, going forward and to be able to respond to growth, market competition and potential stock price fluctuations, especially in today’s versatile market within our industry.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Good Governance and Compensation Practices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2023 Plan contains a number of provisions that we believe are consistent with the interests of our stockholders and good corporate governance and compensation practices, including:</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No evergreen provision;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No option repricing without stockholder approval;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No “liberal” change in control definition;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No dividends on unvested awards;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No excise tax gross ups;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No automatic single trigger acceleration on a change in control;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Minimum exercise price;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Limits on non-employee director cash and equity compensation;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ability to clawback awards under our clawback policies and/or any recoupment requirements imposed under applicable law or listing standards.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Purpose of the Proposed Plan Amendment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2023 Plan enables us to offer equity awards to attract and retain talented employees, directors, consultants, independent contractors, and advisors and further align their interests and those of our stockholders by continuing to link a portion of their compensation with our company performance. The Plan Amendment is intended to enable us to continue to achieve these objectives.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Share Increase</w:t>
      </w:r>
      <w:r>
        <w:rPr>
          <w:rFonts w:ascii="Times New Roman;sans-serif" w:hAnsi="Times New Roman;sans-serif"/>
          <w:b w:val="false"/>
          <w:color w:val="000000"/>
          <w:sz w:val="20"/>
        </w:rPr>
        <w:t xml:space="preserve">. As discussed above, we are requesting approval of an increase of 5,000,000 shares for the 2023 Plan to cover anticipated equity awards, such as those for new hires, refresh awards, potential special retention needs, merger and acquisition activities and non-employee director grants.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approved by our stockholders, the Plan Amendment will be effective on the date of stockholder approval. We intend to register the additional shares authorized under the 2023 Plan under the Securities Act. If our stockholders do not approve the Plan Amendment, the 2023 Plan will continue without amendment.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Summary of the 2023 Plan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is a summary of the principal features of the 2023 Plan, and reflects the proposed Plan Amendment. This summary, however, does not purport to be a complete description of all of the provisions of the 2023 Plan. It is qualified in its entirety by reference to the full text of the 2023 Plan, as proposed to be amended, a copy of which is attached hereto as </w:t>
      </w:r>
      <w:r>
        <w:rPr>
          <w:rFonts w:ascii="Times New Roman;sans-serif" w:hAnsi="Times New Roman;sans-serif"/>
          <w:b w:val="false"/>
          <w:color w:val="000000"/>
          <w:sz w:val="20"/>
          <w:u w:val="single"/>
        </w:rPr>
        <w:t>Appendix A.</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Background; Purpose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2023 Plan was adopted by our Board of Directors on April 12, 2023, and became effective on June 8, 2023 (the “Effective Date”), the date it was approved by our stockholders, and will terminate 10 years after the date approved by our Board of Directors. The purpose of the 2023 Plan is to provide incentives to attract, retain and motivate eligible persons whose present and potential contributions are important to our success.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Eligibility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Employees, officers, directors, consultants, independent contractors, and advisors of Veracyte or any parent, subsidiary or affiliate of Veracyte are eligible to receive awards. As of March 31, 2024, we had five executive officers (as such term is defined under Rule 16a-1(f)), seven non-employee directors and approximately 829 other employees and other service providers who would be eligible to participate in the 2023 Plan.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Administration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Plan will be administered by the Compensation Committee, all of the members of which are non-employee directors under applicable federal securities laws and outside directors as defined under applicable federal tax laws. The Compensation Committee will act as the plan administrator and have the authority to construe and interpret the 2023 Plan,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awards, determine the terms and conditions of awards and make all other determinations necessary or advisable for the administration of the 2023 Plan (subject to the limitations set forth in the 2023 Plan). However, our Board of Directors establishes the terms for the grant of awards to non-employee directors as discussed above under “—</w:t>
      </w:r>
      <w:r>
        <w:rPr>
          <w:rFonts w:ascii="Times New Roman;sans-serif" w:hAnsi="Times New Roman;sans-serif"/>
          <w:b w:val="false"/>
          <w:i/>
          <w:color w:val="000000"/>
          <w:sz w:val="20"/>
        </w:rPr>
        <w:t>Director Compensation</w:t>
      </w:r>
      <w:r>
        <w:rPr>
          <w:color w:val="000000"/>
        </w:rPr>
        <w:t>”</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Reserve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stockholders approve the Plan Amendment, there will be a cumulative total of 10,306,156 shares of common stock authorized under the 2023 Plan from its original effectiveness through the effectiveness of the Plan Amendment, subject to adjustment only to reflect stock splits and similar events.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shares underlying awards granted under the 2023 Plan will become available for grant under the 2023 Plan: (a) shares subject to issuance upon exercise of a stock option or stock appreciation right granted under the 2023 Plan but which cease to be subject to the option or stock appreciation right for any reason other than exercise of the stock option or stock appreciation right; (b) shares subject to awards granted under the 2023 Plan that are forfeited or are repurchased by us at the original issue price; (c) shares subject to awards granted under the 2023 Plan that otherwise terminate without such shares being issued; (d) shares surrendered pursuant to a stockholder-approved Exchange Program, and (e) shares that are used to pay the exercise price of an award or withheld to satisfy the tax withholding obligations related to an award.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shares underlying awards granted under the 2013 Plan will become available for grant under the 2023 Plan: (a) shares that are subject to awards granted under the 2013 Plan that cease to be subject to such awards by forfeiture or otherwise after the Effective Date, (b) shares issued under the 2013 Plan, including shares issued pursuant to the exercise of stock options, that are forfeited after the Effective Date, (c) shares issued under the 2013 Plan that are repurchased by us at the original issue price after the Effective Date, (d) shares that are subject to awards granted under the 2013 Plan that are settled in cash after the Effective Date; and (e) shares that are subject to awards granted under the 2013 Plan that are used to pay the exercise price of an award or withheld to satisfy the tax withholding obligations related to an award after the Effective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Shares that otherwise become available for grant and issuance shall not include shares subject to awards that initially became available because of our substitution or assumption of awards granted by another company in connection with an acquisition of such company, or otherwise, as permitted under the 2023 Plan.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Equitable Adjustments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is typical in equity plans, in the event of a change in our common stock via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Veracyte without consideration, proportionate adjustments will be made to the number and class of shares reserved for issuance and future grant under the 2023 Plan (including the maximum number and class of ISOs (as defined below)) and the applicable exercise prices of and number and class of shares subject to outstanding awards, subject to any required action by the Board of Directors or our stockholders.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2023 Plan will permit us to grant the following types of awards: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Stock Options</w:t>
      </w:r>
      <w:r>
        <w:rPr>
          <w:rFonts w:ascii="Times New Roman;sans-serif" w:hAnsi="Times New Roman;sans-serif"/>
          <w:b w:val="false"/>
          <w:color w:val="000000"/>
          <w:sz w:val="20"/>
        </w:rPr>
        <w:t xml:space="preserve">. The 2023 Plan provides for the grant of Incentive Stock Options (“ISOs”) and Non-qualified Stock Options (“NQSOs”). ISOs may be granted only to our employees or employees of our parent, subsidiaries and affiliates. NQSOs may be granted to eligible employees, consultants and directors of any of our parent, subsidiaries or affiliates. We are able to issue no more than 15,000,000 shares pursuant to the grant of ISOs under the 2023 Plan. The Compensation Committee determines the terms of each option award, provided that ISOs are subject to statutory limitations. The Compensation Committee also determines the exercise price for a stock option, provided that the exercise price of an option may not be less than the fair market value of our common stock on the date of grant (with certain additional requirements for certain ISOs).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Options granted under the 2023 Plan vest at the rate and/or subject to performance requirements specified by the Compensation Committee and such vesting schedule is set forth in the stock option agreement to which such stock option grant relates. The Compensation Committee determines the term of stock options granted under the 2023 Plan, up to a term of ten years (with certain additional requirements for certain ISOs).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Restricted Stock Units.</w:t>
      </w:r>
      <w:r>
        <w:rPr>
          <w:color w:val="000000"/>
        </w:rPr>
        <w:t xml:space="preserve"> </w:t>
      </w:r>
      <w:r>
        <w:rPr>
          <w:rFonts w:ascii="Times New Roman;sans-serif" w:hAnsi="Times New Roman;sans-serif"/>
          <w:b w:val="false"/>
          <w:color w:val="000000"/>
          <w:sz w:val="20"/>
        </w:rPr>
        <w:t>RSUs represent the right to receive shares of our common stock at a specified date in the future, subject to forfeiture of such right due to termination of employment or failure to achieve specified performance goals. RSUs do not have exercise price. If the RSUs have not been forfeited, then on the date specified in the award agreement we will deliver to the holder of the RSUs shares of our common stock, cash or a combination of our common stock and cash as specified in the applicable award agreement. The Compensation Committee determines the term of RSUs granted under the 2023 Plan, up to a term of ten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A restricted stock award is an offer by us to sell shares of our common stock subject to restrictions that the Compensation 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Stock Bonus Awards.</w:t>
      </w:r>
      <w:r>
        <w:rPr>
          <w:color w:val="000000"/>
        </w:rPr>
        <w:t xml:space="preserve"> </w:t>
      </w:r>
      <w:r>
        <w:rPr>
          <w:rFonts w:ascii="Times New Roman;sans-serif" w:hAnsi="Times New Roman;sans-serif"/>
          <w:b w:val="false"/>
          <w:color w:val="000000"/>
          <w:sz w:val="20"/>
        </w:rPr>
        <w:t>A stock bonus is an award of shares of our common stock for past or future services to us. Stock bonuses can be granted as additional compensation for performance and, therefore, are not issued in exchange for cash. The Compensation Committee determines the number of shares to be issued as stock bonus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are subject to repurchase by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Stock Appreciation Rights.</w:t>
      </w:r>
      <w:r>
        <w:rPr>
          <w:color w:val="000000"/>
        </w:rPr>
        <w:t xml:space="preserve"> </w:t>
      </w:r>
      <w:r>
        <w:rPr>
          <w:rFonts w:ascii="Times New Roman;sans-serif" w:hAnsi="Times New Roman;sans-serif"/>
          <w:b w:val="false"/>
          <w:color w:val="000000"/>
          <w:sz w:val="20"/>
        </w:rPr>
        <w:t>Stock appreciation rights provide for a payment, or payments, in cash or shares of our common stock to the holder based upon the difference between the fair market value of our common stock on the date of exercise and the stated exercise price of the stock appreciation right. Stock appreciation rights may vest based on time or achievement of performance goals. The Compensation Committee determines the term of stock appreciation rights granted under the 2023 Plan, up to a term of ten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Performance Awards.</w:t>
      </w:r>
      <w:r>
        <w:rPr>
          <w:color w:val="000000"/>
        </w:rPr>
        <w:t xml:space="preserve"> </w:t>
      </w:r>
      <w:r>
        <w:rPr>
          <w:rFonts w:ascii="Times New Roman;sans-serif" w:hAnsi="Times New Roman;sans-serif"/>
          <w:b w:val="false"/>
          <w:color w:val="000000"/>
          <w:sz w:val="20"/>
        </w:rPr>
        <w:t>A performance award is an award of a cash bonus or a bonus denominated in shares or units that is subject to performance factors. The award of performance shares may be settled in cash or by issuance of those shares (which may consist of restricted stock). These awards are subject to forfeiture because of termination of employment or failure to achieve the performance conditions.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Factors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may establish performance goals from the performance criteria set forth in the 2023 Plan, which include the following: profit before tax; billings; revenue; net revenue or return on operating revenue; earnings (which may include earnings before interest and taxes, earnings before taxes, net earnings, stock-based compensation expenses, depreciation, and amortization); operating income; operating margin; operating profit; controllable operating profit or net operating profit; net profit; gross margin; cost, operating expenses or operating expenses as a percentage of revenue; net income; earning per share; total stockholder return or relative total stockholder return; market share or market segment share; return on assets or net assets; the company’s stock price; growth in stockholder value relative to a pre-determined index; return on equity; return on capital or on invested capital; cash flow (including free cash flow or operating cash flows) or cash flow margins; cash conversion cycle; economic value added; individual confidential business objectives; contract awards or backlog; overhead or other expense reduction; credit rating; strategic plan development and implementation; succession plan development and implementation; improvement in workforce diversity; customer indicators and/or satisfaction; new product invention or innovation; achievement of target levels of discovery and/or development of products and services, including but not limited to research or regulatory achievements; attainment of research and development milestones; third party coverage and/or reimbursement objectives; test volume metrics; improvements in productivity; bookings; attainment of objective operating goals and employee metrics; sales; expenses; balance of cash, cash equivalents, and marketable securities; completion of an identified special project; completion of a joint venture or other corporate transaction; employee satisfaction and/or retention; research and development expenses; working capital targets and changes in working capital; net new annual contract value; net expansion rate; and any other metric that is capable of measurement as determined by the Compensation Committee. The Compensation Committee may provide for one or more equitable adjustments to the performance criteria to preserve Compensation Committee’s original intent regarding such criteria at the time of the initial award grant, such as but not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adjustments in recognition of unusual or non-recurring items such as acquisition related activities or changes in applicable accounting rules.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Approval Required for Repricing, Exchange and Buyout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may not, without the approval of our stockholders, (i) reprice any Options or SARs, (ii) lower the exercise price per share of any award after it is granted or (iii) cancel any award when the exercise price per share exceeds the fair market value of one share in exchange for cash or another award.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Clawback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participant who receives an award will comply with any and all policies adopted by the company from time to time covering transactions in our securities by employees, officers and/or directors.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awards will be subject to clawback or recoupment pursuant to any compensation clawback or recoupment policy adopted by the Board of Directors or required by law during the term of the participant’s employment or other service, and in addition to any other remedies available under such policy and applicable law, we may require the cancellation of outstanding awards and the recoupment of any gains realized with respect to awards.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Restrictions on Dividends and Dividend Equivalents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will have no right to payment of stock dividends or stock distributions with respect to unvested shares, and any such dividends or stock distributions will be accrued and paid only at such time, if any, as such unvested shares become vested shares and are no longer subject to restrictions and risk of forfeiture.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Control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undergo a Corporate Transaction (as defined in the 2023 Plan), the 2023 Plan provides that outstanding awards shall be subject to the definitive agreement related thereto, and may be assumed, converted, replaced or substituted by the successor or acquiring entity, or by a parent or subsidiary of the successor or acquiring entity, for substantially equivalent awards (including, but not limited to, an award to acquire the same consideration paid to the stockholders pursuant to the Corporate Transaction), in each case after taking into account appropriate adjustments to the exercise price and the number and nature of shares subject to such awards as may be necessary or desirable under applicable law and the Internal Revenue Code, may be fully accelerated or may be settled for their intrinsic value (which may be determined to be zero). In the event such successor or acquiring corporation (if any) refuses to assume, convert, replace or substitute awards, or awards are not settled for their intrinsic value, pursuant to a Corporate Transaction, then such awards shall have their vesting accelerate as to all shares subject to such award (and any applicable right of repurchase fully lapse) immediately prior to the Corporate Transaction, with the acceleration of performance awards based on the greater of actual performance through the date of the Corporate Transaction or target performance, and then such awards will terminate.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Awards need not be treated similarly in a Corporate Transaction and treatment may vary from award to award and/or from participant to participant.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Corporate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Award Recipients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 laws in other countries in which we and our subsidiaries and affiliates operate or 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Transferability of Awards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Compensation Committee provides otherwise, the 2023 Plan does not allow for the transfer of awards, other than by will or the laws of descent and distribution, and generally only the recipient of an award may exercise it during his or her lifetime.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Grants to Non-Employee Directors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 are eligible to receive any type of award offered under the 2023 Plan except ISOs. No non-employee director may receive awards under the 2023 Plan that, when combined with cash compensation received for service as a non-employee director, exceeds $750,000 in value in any calendar year ($1,500,000 in the calendar year in which such non-employee director first joins the Board of Directors). Awards under the 2023 Plan may be granted to non-employee directors, may be automatically made pursuant to a policy adopted by the Board of Directors, or made from time to time as determined at the discretion of the Board of Directors.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and Termination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permitted to amend or terminate the 2023 Plan at any time, subject to stockholder approval where required. In addition, no amendment that is detrimental to a participant in the 2023 Plan may be made to an outstanding award without the consent of the affected participant unless such termination or amendment is necessary to comply with applicable, law, regulation or rule. The 2023 Plan will terminate ten years from April 12, 2023, the date the 2023 Plan was adopted by the Board of Directors.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Federal Income Tax Consequences.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general summary under current law of certain U.S. federal income tax consequences to participants who are citizens or individual residents of the United States relating to the types of equity awards that may be granted under the 2023 Plan. This summary deals with the general tax principles and is provided only for general information. Certain kinds of taxes, such as foreign taxes, state and local income taxes, payroll taxes and the alternative minimum tax, are not discussed.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Nonqualified Stock Options, Stock Appreciation Rights.</w:t>
      </w:r>
      <w:r>
        <w:rPr>
          <w:color w:val="000000"/>
        </w:rPr>
        <w:t xml:space="preserve"> </w:t>
      </w:r>
      <w:r>
        <w:rPr>
          <w:rFonts w:ascii="Times New Roman;sans-serif" w:hAnsi="Times New Roman;sans-serif"/>
          <w:b w:val="false"/>
          <w:color w:val="000000"/>
          <w:sz w:val="20"/>
        </w:rPr>
        <w:t>A recipient of an NQSO or stock appreciation right will not recognize taxable income upon 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common stock generally will be short‐term or long‐term capital gain or loss, depending on the length of time the recipient holds the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Incentive Stock Options.</w:t>
      </w:r>
      <w:r>
        <w:rPr>
          <w:color w:val="000000"/>
        </w:rPr>
        <w:t xml:space="preserve"> </w:t>
      </w:r>
      <w:r>
        <w:rPr>
          <w:rFonts w:ascii="Times New Roman;sans-serif" w:hAnsi="Times New Roman;sans-serif"/>
          <w:b w:val="false"/>
          <w:color w:val="000000"/>
          <w:sz w:val="20"/>
        </w:rPr>
        <w:t>Neither the grant nor the exercise of an ISO will generally result in any taxable income to the recipient, except that the alternative minimum tax may apply at the time of exercise. The recipient will recognize a capital gain or loss on a later sale or other disposition of such shares provided the he or she does not dispose of such shares within two years from the date the option was granted or within one year after the shares were acquired by the recipient. If the shares are not held for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common stock generally will be short‐term or long‐term capital gain or loss, depending on the length of time the recipient holds the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Restricted Stock Units.</w:t>
      </w:r>
      <w:r>
        <w:rPr>
          <w:color w:val="000000"/>
        </w:rPr>
        <w:t xml:space="preserve"> </w:t>
      </w:r>
      <w:r>
        <w:rPr>
          <w:rFonts w:ascii="Times New Roman;sans-serif" w:hAnsi="Times New Roman;sans-serif"/>
          <w:b w:val="false"/>
          <w:color w:val="000000"/>
          <w:sz w:val="20"/>
        </w:rPr>
        <w:t>A holder of RSUs does not recognize taxable income when the RSUs are granted. The recipient of the award generally will recognize ordinary income in each year in which the units vest in an amount equal to the fair market value of the shares of common stock received. Any gain or loss recognized on a subsequent disposition of the shares of common stock generally will be short‐term or long‐term capital gain or loss, depending on the length of time the recipient holds the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Other Awards</w:t>
      </w:r>
      <w:r>
        <w:rPr>
          <w:rFonts w:ascii="Times New Roman;sans-serif" w:hAnsi="Times New Roman;sans-serif"/>
          <w:b w:val="false"/>
          <w:color w:val="000000"/>
          <w:sz w:val="20"/>
        </w:rPr>
        <w:t>. The grant of restricted stock awards, stock bonus awards and performance shares will generally not be a taxable event. Generally, 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recognition as of the date of grant).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each of the foregoing cases, we will generally have a corresponding deduction at the time the participant recognizes ordinary income, subject to Section 162(m) of the Internal Revenue Code and the relevant income tax regulations.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the Compensation Committee believes that doing so is in the best interests of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ERISA Information.</w:t>
      </w:r>
      <w:r>
        <w:rPr>
          <w:color w:val="000000"/>
        </w:rPr>
        <w:t xml:space="preserve"> </w:t>
      </w:r>
      <w:r>
        <w:rPr>
          <w:rFonts w:ascii="Times New Roman;sans-serif" w:hAnsi="Times New Roman;sans-serif"/>
          <w:b w:val="false"/>
          <w:color w:val="000000"/>
          <w:sz w:val="20"/>
        </w:rPr>
        <w:t>The 2023 Plan is not subject to the provisions of the Employee Retirement Income Security Act of 1974, as amended.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New Plan Benefits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named executive officers and members of our Board of Directors have an interest in this proposal by virtue of them being eligible to receive equity awards under the Plan. No awards have been granted that are contingent on the approval of the Plan Amendment. Future awards under the 2023 Plan to executive officers, employees or other eligible participants are discretionary and cannot be determined at this time. Currently, our non-employee directors are entitled to receive cash and equity compensation for their service as directors as described above under “</w:t>
      </w:r>
      <w:r>
        <w:rPr>
          <w:color w:val="000000"/>
        </w:rPr>
        <w:t>—</w:t>
      </w:r>
      <w:r>
        <w:rPr>
          <w:rFonts w:ascii="Times New Roman;sans-serif" w:hAnsi="Times New Roman;sans-serif"/>
          <w:b w:val="false"/>
          <w:i/>
          <w:color w:val="000000"/>
          <w:sz w:val="20"/>
        </w:rPr>
        <w:t>Director Compensation</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History of Grants Under the Plan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shares subject to stock options or restricted stock unit awards granted under the 2023 Plan from its Effective Date, June 8, 2023, through March 31, 2024:</w:t>
      </w:r>
    </w:p>
    <w:p>
      <w:pPr>
        <w:pStyle w:val="TextBody"/>
        <w:bidi w:val="0"/>
        <w:spacing w:before="0" w:after="0"/>
        <w:jc w:val="left"/>
        <w:rPr/>
      </w:pPr>
      <w:r>
        <w:rPr/>
      </w:r>
    </w:p>
    <w:tbl>
      <w:tblPr>
        <w:tblW w:w="10030" w:type="dxa"/>
        <w:jc w:val="center"/>
        <w:tblInd w:w="0" w:type="dxa"/>
        <w:tblLayout w:type="fixed"/>
        <w:tblCellMar>
          <w:top w:w="28" w:type="dxa"/>
          <w:left w:w="28" w:type="dxa"/>
          <w:bottom w:w="28" w:type="dxa"/>
          <w:right w:w="28" w:type="dxa"/>
        </w:tblCellMar>
      </w:tblPr>
      <w:tblGrid>
        <w:gridCol w:w="2208"/>
        <w:gridCol w:w="1937"/>
        <w:gridCol w:w="1944"/>
        <w:gridCol w:w="109"/>
        <w:gridCol w:w="109"/>
        <w:gridCol w:w="109"/>
        <w:gridCol w:w="1057"/>
        <w:gridCol w:w="1057"/>
        <w:gridCol w:w="1500"/>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Underlying Awards</w:t>
              <w:br/>
              <w:t>(#)</w:t>
            </w:r>
          </w:p>
        </w:tc>
      </w:tr>
      <w:tr>
        <w:trPr/>
        <w:tc>
          <w:tcPr>
            <w:tcW w:w="6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229,448 </w:t>
            </w:r>
          </w:p>
        </w:tc>
        <w:tc>
          <w:tcPr>
            <w:tcW w:w="1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119,712 </w:t>
            </w:r>
          </w:p>
        </w:tc>
        <w:tc>
          <w:tcPr>
            <w:tcW w:w="1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Phillip Febbo, Chief Scientific and Chief Medical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272,030 </w:t>
            </w:r>
          </w:p>
        </w:tc>
        <w:tc>
          <w:tcPr>
            <w:tcW w:w="1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Leite, Chief Commercial Officer, CLIA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118,895 </w:t>
            </w:r>
          </w:p>
        </w:tc>
        <w:tc>
          <w:tcPr>
            <w:tcW w:w="1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Annie McGuire, EVP, General Counsel and Chief People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99,760 </w:t>
            </w:r>
          </w:p>
        </w:tc>
        <w:tc>
          <w:tcPr>
            <w:tcW w:w="1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executive officers (including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839,845 </w:t>
            </w:r>
          </w:p>
        </w:tc>
        <w:tc>
          <w:tcPr>
            <w:tcW w:w="1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non-employee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67,718 </w:t>
            </w:r>
          </w:p>
        </w:tc>
        <w:tc>
          <w:tcPr>
            <w:tcW w:w="1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employees (excluding current executive officers and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1,373,326 </w:t>
            </w:r>
          </w:p>
        </w:tc>
        <w:tc>
          <w:tcPr>
            <w:tcW w:w="1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common stock that may be issued under our equity compensation plans as of December 31,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56"/>
        <w:gridCol w:w="752"/>
        <w:gridCol w:w="748"/>
        <w:gridCol w:w="934"/>
        <w:gridCol w:w="499"/>
        <w:gridCol w:w="499"/>
        <w:gridCol w:w="499"/>
        <w:gridCol w:w="499"/>
        <w:gridCol w:w="510"/>
        <w:gridCol w:w="732"/>
        <w:gridCol w:w="732"/>
        <w:gridCol w:w="733"/>
        <w:gridCol w:w="488"/>
        <w:gridCol w:w="488"/>
        <w:gridCol w:w="277"/>
        <w:gridCol w:w="277"/>
        <w:gridCol w:w="277"/>
        <w:gridCol w:w="405"/>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op w:val="single" w:sz="8" w:space="0" w:color="000000"/>
              <w:left w:val="single" w:sz="8"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6"/>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 be issued upon exercise of outstanding options, warrants and rights</w:t>
              <w:br/>
              <w:t>(a)</w:t>
            </w:r>
          </w:p>
        </w:tc>
        <w:tc>
          <w:tcPr>
            <w:tcW w:w="2197"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of</w:t>
              <w:br/>
              <w:t>outstanding options, warrants and rights</w:t>
              <w:br/>
              <w:t>(1)</w:t>
            </w:r>
          </w:p>
        </w:tc>
        <w:tc>
          <w:tcPr>
            <w:tcW w:w="2212" w:type="dxa"/>
            <w:gridSpan w:val="6"/>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br/>
              <w:t>remaining available for</w:t>
              <w:br/>
              <w:t>future issuance under equity</w:t>
              <w:br/>
              <w:t>compensation plans (excluding</w:t>
              <w:br/>
              <w:t>securities reflected in column (a))</w:t>
            </w:r>
          </w:p>
        </w:tc>
      </w:tr>
      <w:tr>
        <w:trPr/>
        <w:tc>
          <w:tcPr>
            <w:tcW w:w="23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19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43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6,318,389 </w:t>
            </w:r>
          </w:p>
        </w:tc>
        <w:tc>
          <w:tcPr>
            <w:tcW w:w="4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w:t>
            </w:r>
          </w:p>
        </w:tc>
        <w:tc>
          <w:tcPr>
            <w:tcW w:w="97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6,383,912 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3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43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33"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6,318,389 </w:t>
            </w:r>
          </w:p>
        </w:tc>
        <w:tc>
          <w:tcPr>
            <w:tcW w:w="4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w:t>
            </w:r>
          </w:p>
        </w:tc>
        <w:tc>
          <w:tcPr>
            <w:tcW w:w="97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6,383,912 </w:t>
            </w:r>
          </w:p>
        </w:tc>
        <w:tc>
          <w:tcPr>
            <w:tcW w:w="2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    The weighted-average exercise price does not reflect the shares that will be issued in connection with the settlement of performance stock units and restricted stock units, since such units have no exercise price.</w:t>
      </w:r>
    </w:p>
    <w:p>
      <w:pPr>
        <w:pStyle w:val="TextBody"/>
        <w:bidi w:val="0"/>
        <w:spacing w:lineRule="auto" w:line="276"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    Excludes purchase rights accruing under the ESPP.</w:t>
      </w:r>
    </w:p>
    <w:p>
      <w:pPr>
        <w:pStyle w:val="TextBody"/>
        <w:bidi w:val="0"/>
        <w:spacing w:lineRule="auto" w:line="276"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    Consists of 5,194,399 shares available for issuance under our 2023 Plan, and 1,189,513 shares available for purchase under our ESPP.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the Approval of the Amendment to the Veracyte, Inc. 2023 Equity Incentive Plan.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bidi w:val="0"/>
        <w:spacing w:before="0" w:after="0"/>
        <w:jc w:val="center"/>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number of shares of common stock beneficially owned on March 31, 2024,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each person who is known by us to beneficially own 5% or more of our common stock;</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each of our named executive officers and directors;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all of our current executive officers and directors as a group.</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percentage ownership is based on 76,425,272 shares of common stock outstanding at March 31, 2024. In computing the number of shares of common stock beneficially owned by a person and the percentage ownership of that person, we deemed outstanding shares of common stock subject to options and RSUs held by that person that are currently exercisable or settleable or exercisable or settleable within 60 days of March 31, 2024. We did not deem these shares outstanding, however, for the purpose of computing the percentage ownership of any other person.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set forth below, the address of each beneficial owner is 6000 Shoreline Court, Suite 300, South San Francisco, California 94080.</w:t>
      </w:r>
    </w:p>
    <w:tbl>
      <w:tblPr>
        <w:tblW w:w="7721" w:type="dxa"/>
        <w:jc w:val="left"/>
        <w:tblInd w:w="0" w:type="dxa"/>
        <w:tblLayout w:type="fixed"/>
        <w:tblCellMar>
          <w:top w:w="28" w:type="dxa"/>
          <w:left w:w="28" w:type="dxa"/>
          <w:bottom w:w="28" w:type="dxa"/>
          <w:right w:w="28" w:type="dxa"/>
        </w:tblCellMar>
      </w:tblPr>
      <w:tblGrid>
        <w:gridCol w:w="969"/>
        <w:gridCol w:w="849"/>
        <w:gridCol w:w="849"/>
        <w:gridCol w:w="849"/>
        <w:gridCol w:w="849"/>
        <w:gridCol w:w="869"/>
        <w:gridCol w:w="488"/>
        <w:gridCol w:w="488"/>
        <w:gridCol w:w="316"/>
        <w:gridCol w:w="255"/>
        <w:gridCol w:w="256"/>
        <w:gridCol w:w="684"/>
      </w:tblGrid>
      <w:tr>
        <w:trPr/>
        <w:tc>
          <w:tcPr>
            <w:tcW w:w="96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Address of Beneficial Owner</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Beneficially</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Owned(1)</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Percentage of</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Beneficially</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Owned</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 Stockholders:</w:t>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 Investment Management LLC (2)</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7,655,603 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BlackRock, Inc. (3)</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7,161,866 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The Vanguard Group (4)</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7,118,211 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Wellington Management Group LLP (5)</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7,068,435 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Directors and Named Executive Officers:</w:t>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 (6)</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307,638 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 (7)</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Phillip Febbo</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Annie McGuire (8)</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Leite (9)</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Eliav Barr (10)</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Bishop (11)</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88,451 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Muna Bhanji (12)</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 (13)</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S. Epstein, M.D., M.S. (14)</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Evan Jones (15)</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 (16)</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and executive officers as a group (12 persons) (17)</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1,000,144 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55"/>
        <w:gridCol w:w="2891"/>
        <w:gridCol w:w="40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13G/A filed on January 29, 2024, ARK Investment Management LLC has sole voting power with respect to 7,471,899 shares, shared voting power with respect to 183,704 shares and sole dispositive power with respect to 7,655,603 shares of our common stock. The address of ARK Investment Management LLC is 200 Central Avenue, St. Petersburg, FL 33701.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7"/>
        <w:gridCol w:w="129"/>
        <w:gridCol w:w="131"/>
        <w:gridCol w:w="2918"/>
        <w:gridCol w:w="2844"/>
        <w:gridCol w:w="4036"/>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13G/A filed on January 24, 2024, BlackRock, Inc. has sole voting power with respect to 6,829,474 shares and sole dispositive power with respect to 7,161,866 shares of our common stock. The address of BlackRock, Inc. is 50 Hudson Yards, New York, NY 10001.</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13G/A filed on February 13, 2024, entities affiliated with The Vanguard Group have shared voting power with respect to 47,376 shares, sole dispositive power with respect to 6,995,420 shares, and shared dispositive power with respect 122,791 shares of our common stock. The address of The Vanguard Group is 100 Vanguard Blvd., Malvern, PA 19355.</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13G/A filed on February 8, 2024, Wellington Management Group LLP has shared voting power with respect to 5,807,117 shares and shared dispositive power with respect to 7,068,435 shares of our common stock. The address of Wellington Management Group LLP is 280 Congress Street, Boston, MA 02210.</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113,586 shares of our common stock held by Mr. Stapley, and (ii) options to purchase 194,052 shares of our common stock held by Mr. Stapley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29,432 shares of our common stock held by Ms. Chambers, and (ii) options to purchase 101,735 shares of our common stock held by Ms. Chambers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13,106 shares of our common stock held by Ms. McGuire, and (ii) options to purchase 44,763 shares of our common stock held by Ms. McGuire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7,235 shares of our common stock held by Mr. Leite, and (ii) options to purchase 25,304 shares of our common stock held by Mr. Leite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6,907 shares of our common stock held by Dr. Barr.</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23,451 shares of our common stock held by Mr. Bishop, and (ii) options to purchase 65,000 shares of our common stock held by Mr. Bishop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18,840 shares of our common stock held by Ms. Bhanji.</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23,451 shares of our common stock held by Ms. Eastham, and (ii) options to purchase 60,000 shares of our common stock held by Ms. Eastham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23,451 shares of our common stock held by Dr. Epstein, and (ii) options to purchase 75,000 shares of our common stock held by Dr. Epstein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27,927 shares of our common stock held by Mr. Jones, (ii) options to purchase 60,000 shares of our common stock held by Mr. Jones that are exercisable within 60 days of March 31, 2024, and (iii) 35,173 shares held by jVen Capital, LLC, of which Mr. Jones is Managing Member.</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16,731 shares of our common stock held by Mr. Holstein, and (ii) options to purchase 35,000 shares of our common stock held by Mr. Holstein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339,290 shares of our common stock, and (ii) options to purchase 660,854 shares of our common stock that are exercisable within 60 days of March 31, 2024.</w:t>
            </w:r>
          </w:p>
        </w:tc>
      </w:tr>
      <w:tr>
        <w:trPr/>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that our executive officers, and directors and persons who own more than ten percent of a registered class of our common stock, file reports of ownership and changes in ownership with the SEC. Based solely on review of the copies of such forms filed electronically with the SEC, or written representations from certain reporting persons, we believe all applicable Section 16(a) reporting requirements were met on a timely basis during 2023 except for one Form 4 that was filed late by each of Evan Jones, director, Marc Stapley, Chief Executive Officer, Rebecca Chambers, Chief Financial Officer, Annie McGuire, Executive Vice President, General Counsel and Chief People Officer, and Jonathan Wygant, Chief Accounting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0"/>
        </w:rPr>
        <w:t>The names of our executive officers, their ages and their positions as of April 15, 2024 are shown below:</w:t>
      </w:r>
    </w:p>
    <w:tbl>
      <w:tblPr>
        <w:tblW w:w="5685" w:type="dxa"/>
        <w:jc w:val="center"/>
        <w:tblInd w:w="0" w:type="dxa"/>
        <w:tblLayout w:type="fixed"/>
        <w:tblCellMar>
          <w:top w:w="28" w:type="dxa"/>
          <w:left w:w="28" w:type="dxa"/>
          <w:bottom w:w="28" w:type="dxa"/>
          <w:right w:w="28" w:type="dxa"/>
        </w:tblCellMar>
      </w:tblPr>
      <w:tblGrid>
        <w:gridCol w:w="602"/>
        <w:gridCol w:w="528"/>
        <w:gridCol w:w="534"/>
        <w:gridCol w:w="145"/>
        <w:gridCol w:w="145"/>
        <w:gridCol w:w="146"/>
        <w:gridCol w:w="1047"/>
        <w:gridCol w:w="1047"/>
        <w:gridCol w:w="1491"/>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Age</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Phillip Febbo</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Scientific and Chief Medical Officer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Leite</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Commercial Officer, CLIA</w:t>
            </w:r>
          </w:p>
        </w:tc>
      </w:tr>
      <w:tr>
        <w:trPr/>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Annie McGuire</w:t>
            </w:r>
          </w:p>
        </w:tc>
        <w:tc>
          <w:tcPr>
            <w:tcW w:w="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5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Chief People Officer</w:t>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Officer Information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Mr. Stapley, please refer to “Proposal No. 1- Election of Directors.”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 xml:space="preserve">Rebecca Chambers </w:t>
      </w:r>
      <w:r>
        <w:rPr>
          <w:rFonts w:ascii="Times New Roman;sans-serif" w:hAnsi="Times New Roman;sans-serif"/>
          <w:b w:val="false"/>
          <w:color w:val="000000"/>
          <w:sz w:val="20"/>
          <w:shd w:fill="FFFFFF" w:val="clear"/>
        </w:rPr>
        <w:t>ha</w:t>
      </w:r>
      <w:r>
        <w:rPr>
          <w:rFonts w:ascii="Times New Roman;sans-serif" w:hAnsi="Times New Roman;sans-serif"/>
          <w:b w:val="false"/>
          <w:color w:val="000000"/>
          <w:sz w:val="20"/>
        </w:rPr>
        <w:t>s served as our Chief Financial Officer since July 2021. Ms. Chambers also leads our CLIA Operations team, helping to drive execution and consistency across our three CLIA sites. Prior to her appointment, Ms. Chambers served as Chief Financial Officer of Outset Medical, Inc., a medical technology company, from June 2019 to July 2021. Prior to that, Ms. Chambers served in a number of roles at Illumina, Inc., a genetic tools company, including as the Vice President, Financial Planning and Analysis from July 2017 to May 2019, as Vice President, Investor Relations and Treasury from April 2015 to June 2017, and as Senior Director, Investor Relations from October 2012 to April 2015. Previously, Ms. Chambers served as Head of Investor Relations and Corporate Communications at Myriad Genetics, Inc., a molecular diagnostic company, from January 2011 to October 2012, and Senior Manager, Investor Relations at Life Technologies, Inc., a biotechnology company, from May 2009 to December 2010. She also previously held positions with Bank of America, a financial services company, and Millennium Pharmaceuticals, a biopharmaceutical company. Ms. Chambers also currently serves on the board of Inari Medical, Inc., a medical device company focused on venous diseases. Ms. Chambers holds a B.S. from John Carroll University and an M.B.A. from The S.C. Johnson Graduate School of Management, Cornell University.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Phil Febbo</w:t>
      </w:r>
      <w:r>
        <w:rPr>
          <w:color w:val="000000"/>
        </w:rPr>
        <w:t xml:space="preserve"> </w:t>
      </w:r>
      <w:r>
        <w:rPr>
          <w:rFonts w:ascii="Times New Roman;sans-serif" w:hAnsi="Times New Roman;sans-serif"/>
          <w:b w:val="false"/>
          <w:color w:val="000000"/>
          <w:sz w:val="20"/>
        </w:rPr>
        <w:t>has served as our Chief Scientific Officer and Chief Medical Officer since October 2023. Previously, Dr. Febbo was the Chief Medical Officer at Illumina, Inc. from March 2018 to August 2023. Immediately before joining Illumina, Inc., Dr. Febbo served as CMO of Genomic Health, Inc. from August 2013 to March 2018. Prior to Genomic Health, Inc., Dr. Febbo was a Professor of Medicine and Urology at the University of California, San Francisco from. Dr. Febbo currently serves on the board of the Regan Udall Foundation for the FDA and has previously served on the board of the American College of Medical Genetics and Genomics Foundation from September 2018 to March 2023 and served as a Director on the board of Varian Medical Systems, Inc. from August 2019 to August 2021. Dr. Febbo holds a B.A. degree in Biology from Dartmouth College and an M.D. from UCSF. He completed his internal medicine residency at the Brigham and Women’s Hospital and his fellowship in oncology at the Dana-Farber Cancer Institute. While an Attending Physician in the Genitourinary Oncology Center at Dana-Farber and Instructor at Harvard Medical School, he spent five years as a post-doctoral fellow in Dr. Todd Golub's laboratory at Dana-Farber and the Whitehead Institute Center for Genomic Research of the Massachusetts Institute of Technology (now the Broad Institute).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John Leite, Ph.D.</w:t>
      </w:r>
      <w:r>
        <w:rPr>
          <w:color w:val="000000"/>
        </w:rPr>
        <w:t xml:space="preserve"> </w:t>
      </w:r>
      <w:r>
        <w:rPr>
          <w:rFonts w:ascii="Times New Roman;sans-serif" w:hAnsi="Times New Roman;sans-serif"/>
          <w:b w:val="false"/>
          <w:color w:val="000000"/>
          <w:sz w:val="20"/>
        </w:rPr>
        <w:t>has served as our Chief Commercial Officer, CLIA since September 2023 and as our Senior Vice President, General Manager, Pulmonology &amp; Market Access since September 2022. Dr. Leite leads all aspects of our CLIA diagnostic tests in thyroid cancer, pulmonology and urology, which include market development, product marketing, reimbursement, and sales. From November 2020 to September 2022, Dr. Leite served as Chief Business Officer for Venn Biosciences Corporation dba InterVenn Biosciences, a private-stage diagnostics company, where he was responsible for the company’s commercial, partnership and market access strategy. From 2014 to November 2020, Dr. Leite held various leadership positions at Illumina, Inc., where he initially served as Vice President, Oncology, Market Development and Product Development, and then as Vice President, Clinical Business Development. Previously, Dr. Leite served as Vice President of Commercial Strategy and Market Access at Genoptix Medical Laboratories. Dr. Leite holds a B.S. in Biochemistry from Rutgers University and a Ph.D. in Biochemistry and Molecular Genetics from the University of Pittsburgh School of Medicine. In addition, he completed post-doctoral work as a National Research Service Award Fellow at the California Institute of Technology.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Annie McGuire</w:t>
      </w:r>
      <w:r>
        <w:rPr>
          <w:color w:val="000000"/>
        </w:rPr>
        <w:t xml:space="preserve"> </w:t>
      </w:r>
      <w:r>
        <w:rPr>
          <w:rFonts w:ascii="Times New Roman;sans-serif" w:hAnsi="Times New Roman;sans-serif"/>
          <w:b w:val="false"/>
          <w:color w:val="000000"/>
          <w:sz w:val="20"/>
        </w:rPr>
        <w:t xml:space="preserve">has served as our General Counsel since February 2022 and our General Counsel and Chief People Officer since January 2023. Prior to joining Veracyte, Ms. McGuire served as General Counsel and Corporate Secretary at Rakuten Medical, Inc., a biotechnology company developing cellular therapies, from April 2021 to February 2022. 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McGuire previously served as Vice President, Legal of MyoKardia, Inc., a biotechnology company, from August 2020 to April 2021, through its acquisition by Bristol Myers Squibb. Prior to MyoKardia, Ms. McGuire served in several senior legal positions including executive compensation, employment, M&amp;A and healthcare, as well as serving as the head of compliance for the bone health and cardiovascular business unit, at Amgen, Inc., a global biopharmaceutical company, from June 2007 to August 2020. Ms. McGuire began her career as an associate at the law firm Proskauer Rose LLP in New York and is admitted to the New York Bar. Ms. McGuire holds a Bachelor’s Degree from Pace University and a Juris Doctor from New York Law School.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Compensation Discussion &amp; Analysis </w:t>
      </w:r>
    </w:p>
    <w:p>
      <w:pPr>
        <w:pStyle w:val="TextBody"/>
        <w:bidi w:val="0"/>
        <w:spacing w:before="0" w:after="6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(“CD&amp;A”) provides an overview of our executive compensation philosophy, the objectives of our executive compensation program and each compensation component that we provide. In addition, we explain how and why our Compensation Committee arrived at specific compensation policies and decisions involving our named executive officers for the year ended December 31, 2023. This CD&amp;A is intended to be read in conjunction with the immediately following tables, which include historical context of pay.</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executive officers constituted our Named Executive Officers (“NEOs”) for the year ended December 31, 2023:</w:t>
      </w:r>
    </w:p>
    <w:p>
      <w:pPr>
        <w:pStyle w:val="TextBody"/>
        <w:bidi w:val="0"/>
        <w:spacing w:before="0" w:after="0"/>
        <w:jc w:val="left"/>
        <w:rPr/>
      </w:pPr>
      <w:r>
        <w:rPr/>
      </w:r>
    </w:p>
    <w:tbl>
      <w:tblPr>
        <w:tblW w:w="7003" w:type="dxa"/>
        <w:jc w:val="center"/>
        <w:tblInd w:w="0" w:type="dxa"/>
        <w:tblLayout w:type="fixed"/>
        <w:tblCellMar>
          <w:top w:w="28" w:type="dxa"/>
          <w:left w:w="28" w:type="dxa"/>
          <w:bottom w:w="28" w:type="dxa"/>
          <w:right w:w="28" w:type="dxa"/>
        </w:tblCellMar>
      </w:tblPr>
      <w:tblGrid>
        <w:gridCol w:w="803"/>
        <w:gridCol w:w="704"/>
        <w:gridCol w:w="712"/>
        <w:gridCol w:w="1397"/>
        <w:gridCol w:w="1397"/>
        <w:gridCol w:w="1990"/>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Phillip Febbo(1)</w:t>
            </w:r>
          </w:p>
        </w:tc>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Scientific and Chief Medical Officer</w:t>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Leite(2)</w:t>
            </w:r>
          </w:p>
        </w:tc>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Commercial Officer, CLIA</w:t>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Annie McGuire</w:t>
            </w:r>
          </w:p>
        </w:tc>
        <w:tc>
          <w:tcPr>
            <w:tcW w:w="4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Chief People Officer</w:t>
            </w:r>
          </w:p>
        </w:tc>
      </w:tr>
      <w:tr>
        <w:trPr/>
        <w:tc>
          <w:tcPr>
            <w:tcW w:w="70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Dr. Febbo joined Veracyte on October 2, 2023</w:t>
            </w:r>
          </w:p>
        </w:tc>
      </w:tr>
      <w:tr>
        <w:trPr/>
        <w:tc>
          <w:tcPr>
            <w:tcW w:w="7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Dr. Leite was promoted to Chief Commercial Officer, CLIA on September 1, 2023</w:t>
            </w:r>
          </w:p>
        </w:tc>
      </w:tr>
    </w:tbl>
    <w:p>
      <w:pPr>
        <w:pStyle w:val="TextBody"/>
        <w:bidi w:val="0"/>
        <w:spacing w:before="10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Business Highlights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continued our strong performance through exceptional execution on the top line and bottom line through disciplined financial and budget management with our growth primarily driven by our Decipher and Afirma products. In addition, our acquisition of C2i Genomics, Inc. closed in the first quarter of 2024. We also expanded our leadership team with the promotion of Dr. Leite to Chief Commercial Officer, CLIA, in September 2023 and the addition of Dr. Phil Febbo as our new Chief Scientific and Chief Medical Officer in October 2023. Dr. Leite leads all aspects of our diagnostic tests in thyroid cancer and pulmonology, which include market development, product marketing, reimbursement, sales and lab operations. Dr. Febbo, a distinguished industry and academic leader, leads Veracyte’s global team of research and development, medical affairs, clinical affairs, quality, regulatory affairs, and lab director professionals to help advance novel tests that address important unmet patient-care needs in cancer.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and operational highlights of 2023 and recent developments include:</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97"/>
        <w:gridCol w:w="261"/>
        <w:gridCol w:w="263"/>
        <w:gridCol w:w="3021"/>
        <w:gridCol w:w="2626"/>
        <w:gridCol w:w="3737"/>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6" descr=""/>
                          <pic:cNvPicPr>
                            <a:picLocks noChangeAspect="1" noChangeArrowheads="1"/>
                          </pic:cNvPicPr>
                        </pic:nvPicPr>
                        <pic:blipFill>
                          <a:blip r:embed="rId7"/>
                          <a:stretch>
                            <a:fillRect/>
                          </a:stretch>
                        </pic:blipFill>
                        <pic:spPr bwMode="auto">
                          <a:xfrm>
                            <a:off x="0" y="0"/>
                            <a:ext cx="457200" cy="457200"/>
                          </a:xfrm>
                          <a:prstGeom prst="rect">
                            <a:avLst/>
                          </a:prstGeom>
                        </pic:spPr>
                      </pic:pic>
                    </a:graphicData>
                  </a:graphic>
                </wp:inline>
              </w:drawing>
            </w:r>
          </w:p>
        </w:tc>
        <w:tc>
          <w:tcPr>
            <w:tcW w:w="938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 xml:space="preserve">Total Revenues: </w:t>
            </w:r>
            <w:r>
              <w:rPr>
                <w:rFonts w:ascii="Times New Roman;sans-serif" w:hAnsi="Times New Roman;sans-serif"/>
                <w:b w:val="false"/>
                <w:color w:val="000000"/>
                <w:sz w:val="20"/>
              </w:rPr>
              <w:t>$361.1 million</w:t>
            </w:r>
            <w:r>
              <w:rPr>
                <w:color w:val="000000"/>
              </w:rPr>
              <w:t xml:space="preserve"> </w:t>
            </w:r>
            <w:r>
              <w:rPr>
                <w:rFonts w:ascii="Times New Roman;sans-serif" w:hAnsi="Times New Roman;sans-serif"/>
                <w:b w:val="false"/>
                <w:i/>
                <w:color w:val="000000"/>
                <w:sz w:val="20"/>
              </w:rPr>
              <w:t>(increase of 22% over 2022)</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color w:val="000000"/>
                <w:sz w:val="20"/>
              </w:rPr>
              <w:t xml:space="preserve">Testing Revenue: </w:t>
            </w:r>
            <w:r>
              <w:rPr>
                <w:rFonts w:ascii="Times New Roman;sans-serif" w:hAnsi="Times New Roman;sans-serif"/>
                <w:b w:val="false"/>
                <w:color w:val="000000"/>
                <w:sz w:val="20"/>
              </w:rPr>
              <w:t>$326.5 million</w:t>
            </w:r>
            <w:r>
              <w:rPr>
                <w:color w:val="000000"/>
              </w:rPr>
              <w:t xml:space="preserve"> </w:t>
            </w:r>
            <w:r>
              <w:rPr>
                <w:rFonts w:ascii="Times New Roman;sans-serif" w:hAnsi="Times New Roman;sans-serif"/>
                <w:b w:val="false"/>
                <w:i/>
                <w:color w:val="000000"/>
                <w:sz w:val="20"/>
              </w:rPr>
              <w:t>(increase of 30% over 2022)</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color w:val="000000"/>
                <w:sz w:val="20"/>
              </w:rPr>
              <w:t xml:space="preserve">Product Revenue: </w:t>
            </w:r>
            <w:r>
              <w:rPr>
                <w:rFonts w:ascii="Times New Roman;sans-serif" w:hAnsi="Times New Roman;sans-serif"/>
                <w:b w:val="false"/>
                <w:color w:val="000000"/>
                <w:sz w:val="20"/>
              </w:rPr>
              <w:t>$15.6 million</w:t>
            </w:r>
            <w:r>
              <w:rPr>
                <w:color w:val="000000"/>
              </w:rPr>
              <w:t xml:space="preserve"> </w:t>
            </w:r>
            <w:r>
              <w:rPr>
                <w:rFonts w:ascii="Times New Roman;sans-serif" w:hAnsi="Times New Roman;sans-serif"/>
                <w:b w:val="false"/>
                <w:i/>
                <w:color w:val="000000"/>
                <w:sz w:val="20"/>
              </w:rPr>
              <w:t>(increase of 33% over 2022)</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color w:val="000000"/>
                <w:sz w:val="20"/>
              </w:rPr>
              <w:t xml:space="preserve">Cash on Hand: </w:t>
            </w:r>
            <w:r>
              <w:rPr>
                <w:rFonts w:ascii="Times New Roman;sans-serif" w:hAnsi="Times New Roman;sans-serif"/>
                <w:b w:val="false"/>
                <w:color w:val="000000"/>
                <w:sz w:val="20"/>
              </w:rPr>
              <w:t>Generated $44.2 million of cash from operations and ended the year with $216.4 million of cash and cash equivalents</w:t>
            </w:r>
          </w:p>
          <w:p>
            <w:pPr>
              <w:pStyle w:val="TableContents"/>
              <w:bidi w:val="0"/>
              <w:spacing w:before="0" w:after="0"/>
              <w:jc w:val="left"/>
              <w:rPr/>
            </w:pPr>
            <w:r>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7" descr=""/>
                          <pic:cNvPicPr>
                            <a:picLocks noChangeAspect="1" noChangeArrowheads="1"/>
                          </pic:cNvPicPr>
                        </pic:nvPicPr>
                        <pic:blipFill>
                          <a:blip r:embed="rId8"/>
                          <a:stretch>
                            <a:fillRect/>
                          </a:stretch>
                        </pic:blipFill>
                        <pic:spPr bwMode="auto">
                          <a:xfrm>
                            <a:off x="0" y="0"/>
                            <a:ext cx="457200" cy="457200"/>
                          </a:xfrm>
                          <a:prstGeom prst="rect">
                            <a:avLst/>
                          </a:prstGeom>
                        </pic:spPr>
                      </pic:pic>
                    </a:graphicData>
                  </a:graphic>
                </wp:inline>
              </w:drawing>
            </w:r>
          </w:p>
        </w:tc>
        <w:tc>
          <w:tcPr>
            <w:tcW w:w="9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both"/>
              <w:rPr/>
            </w:pPr>
            <w:r>
              <w:rPr>
                <w:rFonts w:ascii="Times New Roman;sans-serif" w:hAnsi="Times New Roman;sans-serif"/>
                <w:b/>
                <w:color w:val="000000"/>
                <w:sz w:val="20"/>
              </w:rPr>
              <w:t xml:space="preserve">Grew test volume, driven by Decipher and Afirma, </w:t>
            </w:r>
            <w:r>
              <w:rPr>
                <w:rFonts w:ascii="Times New Roman;sans-serif" w:hAnsi="Times New Roman;sans-serif"/>
                <w:b w:val="false"/>
                <w:color w:val="000000"/>
                <w:sz w:val="20"/>
              </w:rPr>
              <w:t>to 126,977 in 2023 (increase of 24% over 2022)</w:t>
            </w:r>
          </w:p>
          <w:p>
            <w:pPr>
              <w:pStyle w:val="TableContents"/>
              <w:bidi w:val="0"/>
              <w:spacing w:before="0" w:after="0"/>
              <w:jc w:val="both"/>
              <w:rPr/>
            </w:pPr>
            <w:r>
              <w:rPr/>
            </w:r>
          </w:p>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test volume, and revenue, is primarily derived from Decipher and Afirma genomic testing. </w:t>
            </w:r>
          </w:p>
          <w:p>
            <w:pPr>
              <w:pStyle w:val="TableContents"/>
              <w:bidi w:val="0"/>
              <w:spacing w:before="0" w:after="0"/>
              <w:jc w:val="both"/>
              <w:rPr/>
            </w:pPr>
            <w:r>
              <w:rPr/>
            </w:r>
          </w:p>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Decipher Prostate test provides actionable information to help physicians and their patients make treatment decisions across the spectrum of localized prostate cancer. As the most validated gene expression prostate test, we continued to strengthen the body of evidence in 2023, adding 8 publications and 16 abstracts to the clinical-evidence library. </w:t>
            </w:r>
          </w:p>
          <w:p>
            <w:pPr>
              <w:pStyle w:val="TableContents"/>
              <w:bidi w:val="0"/>
              <w:spacing w:before="0" w:after="0"/>
              <w:jc w:val="both"/>
              <w:rPr/>
            </w:pPr>
            <w:r>
              <w:rPr/>
            </w:r>
          </w:p>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Afirma remains a market leader in thyroid diagnostics and saw positive advancements in 2023. We launched TERT promoter mutation testing for Afirma and introduced the Afirma GRID research tool to enable research that advances our molecular understanding of thyroid cancer.</w:t>
            </w:r>
          </w:p>
          <w:p>
            <w:pPr>
              <w:pStyle w:val="TableContents"/>
              <w:bidi w:val="0"/>
              <w:spacing w:before="0" w:after="0"/>
              <w:jc w:val="both"/>
              <w:rPr/>
            </w:pPr>
            <w:r>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8" descr=""/>
                          <pic:cNvPicPr>
                            <a:picLocks noChangeAspect="1" noChangeArrowheads="1"/>
                          </pic:cNvPicPr>
                        </pic:nvPicPr>
                        <pic:blipFill>
                          <a:blip r:embed="rId9"/>
                          <a:stretch>
                            <a:fillRect/>
                          </a:stretch>
                        </pic:blipFill>
                        <pic:spPr bwMode="auto">
                          <a:xfrm>
                            <a:off x="0" y="0"/>
                            <a:ext cx="457200" cy="457200"/>
                          </a:xfrm>
                          <a:prstGeom prst="rect">
                            <a:avLst/>
                          </a:prstGeom>
                        </pic:spPr>
                      </pic:pic>
                    </a:graphicData>
                  </a:graphic>
                </wp:inline>
              </w:drawing>
            </w:r>
          </w:p>
        </w:tc>
        <w:tc>
          <w:tcPr>
            <w:tcW w:w="9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Highlights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Introduced our multi-platform strategy to accelerate global expansion of our tests, and signed an agreement with Illumina, Inc. to develop certain of our tests as IVDs for use on their NextSeq 550Dx NGS instrument.</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Completed the acquisition of C2i Genomics, Inc. on February 5, 2024, adding whole-genome MRD capabilities to our novel Veracyte Diagnostics Platform and expanding our ability to serve patients across the cancer care continuum.</w:t>
            </w:r>
          </w:p>
        </w:tc>
      </w:tr>
    </w:tbl>
    <w:p>
      <w:pPr>
        <w:pStyle w:val="TextBody"/>
        <w:bidi w:val="0"/>
        <w:spacing w:before="0" w:after="0"/>
        <w:ind w:left="0" w:right="0" w:firstLine="72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2023 Compensation Highlights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Annual Cash Incentive Compensation Tied to Financial Performance. In 2023, our annual incentive award plan was simplified and designed to drive performance on key financial metrics - revenue and cash flow from operations. These metrics were achieved at 138.5%.</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Equity Mix. In 2023, our NEOs were granted a mix of performance-based restricted stock units (“PSUs”), time-based restricted stock units (“RSUs”) and stock options, with the equity mix consisting of 33% PSUs, 33% RSUs, and 34% Options. For 2024, our NEOs were granted a mix of performance-based equity reflecting a mix of 50% PSUs (at target) and 50% RSUs and no stock options. </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Introduced Profitability-Focused Metric to PSU Program. The 2023 PSUs introduced a new cash balance metric to our PSU program, in addition to a revenue metric, each to be measured over two and three year performance periods. Our performance against the revenue metric continues to be an important indicator of our strategic long-term growth, while our performance against the new cash balance metric drives improving profitability and durable growth.</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Pay Program Overview</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We believe that the design and structure of our pay program, and, in particular our incentive plans, support our business strategy and organizational objectives while successfully aligning executive focus and interest with that of stockholders. </w:t>
      </w:r>
      <w:r>
        <w:rPr>
          <w:rFonts w:ascii="Times New Roman;sans-serif" w:hAnsi="Times New Roman;sans-serif"/>
          <w:b w:val="false"/>
          <w:color w:val="000000"/>
          <w:sz w:val="20"/>
          <w:shd w:fill="FFFFFF" w:val="clear"/>
        </w:rPr>
        <w:t xml:space="preserve">Our compensation programs are designed to reward our executives for superior short- and long- term performance. </w:t>
      </w:r>
      <w:r>
        <w:rPr>
          <w:rFonts w:ascii="Times New Roman;sans-serif" w:hAnsi="Times New Roman;sans-serif"/>
          <w:b w:val="false"/>
          <w:color w:val="000000"/>
          <w:sz w:val="20"/>
        </w:rPr>
        <w:t>All pay elements, and the safeguards and governance features of the program, have been carefully chosen and implemented to align with our pay philosophy and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doing so, our Compensation Committee uses the following framework to achieve these objectives:</w:t>
      </w:r>
    </w:p>
    <w:tbl>
      <w:tblPr>
        <w:tblW w:w="10205" w:type="dxa"/>
        <w:jc w:val="left"/>
        <w:tblInd w:w="0" w:type="dxa"/>
        <w:tblLayout w:type="fixed"/>
        <w:tblCellMar>
          <w:top w:w="28" w:type="dxa"/>
          <w:left w:w="28" w:type="dxa"/>
          <w:bottom w:w="28" w:type="dxa"/>
          <w:right w:w="28" w:type="dxa"/>
        </w:tblCellMar>
      </w:tblPr>
      <w:tblGrid>
        <w:gridCol w:w="922"/>
        <w:gridCol w:w="812"/>
        <w:gridCol w:w="817"/>
        <w:gridCol w:w="2236"/>
        <w:gridCol w:w="2236"/>
        <w:gridCol w:w="3182"/>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pPr>
            <w:r>
              <w:rPr>
                <w:rFonts w:ascii="Times New Roman;sans-serif" w:hAnsi="Times New Roman;sans-serif"/>
                <w:b/>
                <w:sz w:val="20"/>
              </w:rPr>
              <w:br/>
            </w:r>
            <w:r>
              <w:rPr>
                <w:rFonts w:ascii="Times New Roman;sans-serif" w:hAnsi="Times New Roman;sans-serif"/>
                <w:b/>
                <w:color w:val="000000"/>
                <w:sz w:val="20"/>
              </w:rPr>
              <w:t>Base Salary</w:t>
            </w:r>
          </w:p>
        </w:tc>
        <w:tc>
          <w:tcPr>
            <w:tcW w:w="7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60"/>
              <w:ind w:left="0" w:right="0" w:hanging="360"/>
              <w:jc w:val="left"/>
              <w:rPr/>
            </w:pPr>
            <w:r>
              <w:rPr>
                <w:color w:val="000000"/>
              </w:rPr>
              <w:t>•</w:t>
            </w:r>
            <w:r>
              <w:rPr>
                <w:rFonts w:ascii="Times New Roman;sans-serif" w:hAnsi="Times New Roman;sans-serif"/>
                <w:b w:val="false"/>
                <w:color w:val="000000"/>
                <w:sz w:val="20"/>
              </w:rPr>
              <w:t>Base salaries are set to be competitive within our industry and are important in attracting and retaining talented executives.</w:t>
            </w:r>
          </w:p>
          <w:p>
            <w:pPr>
              <w:pStyle w:val="TableContents"/>
              <w:bidi w:val="0"/>
              <w:spacing w:lineRule="auto" w:line="276" w:before="0" w:after="60"/>
              <w:ind w:left="0" w:right="0" w:hanging="360"/>
              <w:jc w:val="left"/>
              <w:rPr/>
            </w:pPr>
            <w:r>
              <w:rPr>
                <w:color w:val="000000"/>
              </w:rPr>
              <w:t>•</w:t>
            </w:r>
            <w:r>
              <w:rPr>
                <w:rFonts w:ascii="Times New Roman;sans-serif" w:hAnsi="Times New Roman;sans-serif"/>
                <w:b w:val="false"/>
                <w:color w:val="000000"/>
                <w:sz w:val="20"/>
              </w:rPr>
              <w:t>Base salaries are fixed pay set with consideration for responsibilities, experience, individual contribution expectations and market data.</w:t>
            </w:r>
          </w:p>
        </w:tc>
      </w:tr>
      <w:tr>
        <w:trPr/>
        <w:tc>
          <w:tcPr>
            <w:tcW w:w="25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pPr>
            <w:r>
              <w:rPr>
                <w:rFonts w:ascii="Times New Roman;sans-serif" w:hAnsi="Times New Roman;sans-serif"/>
                <w:b/>
                <w:sz w:val="20"/>
              </w:rPr>
              <w:br/>
            </w:r>
            <w:r>
              <w:rPr>
                <w:rFonts w:ascii="Times New Roman;sans-serif" w:hAnsi="Times New Roman;sans-serif"/>
                <w:b/>
                <w:color w:val="000000"/>
                <w:sz w:val="20"/>
              </w:rPr>
              <w:t>Annual Cash Incentive Compensation</w:t>
            </w:r>
          </w:p>
        </w:tc>
        <w:tc>
          <w:tcPr>
            <w:tcW w:w="7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60"/>
              <w:ind w:left="0" w:right="0" w:hanging="360"/>
              <w:jc w:val="both"/>
              <w:rPr/>
            </w:pPr>
            <w:r>
              <w:rPr>
                <w:color w:val="000000"/>
              </w:rPr>
              <w:t>•</w:t>
            </w:r>
            <w:r>
              <w:rPr>
                <w:rFonts w:ascii="Times New Roman;sans-serif" w:hAnsi="Times New Roman;sans-serif"/>
                <w:b w:val="false"/>
                <w:color w:val="000000"/>
                <w:sz w:val="20"/>
              </w:rPr>
              <w:t>The annual cash incentive award plan is intended to motivate and reward our executives for the achievement of certain strategic goals of Veracyte set by our Board of Directors.</w:t>
            </w:r>
          </w:p>
          <w:p>
            <w:pPr>
              <w:pStyle w:val="TableContents"/>
              <w:bidi w:val="0"/>
              <w:spacing w:lineRule="auto" w:line="276" w:before="0" w:after="60"/>
              <w:ind w:left="0" w:right="0" w:hanging="360"/>
              <w:jc w:val="both"/>
              <w:rPr/>
            </w:pPr>
            <w:r>
              <w:rPr>
                <w:color w:val="000000"/>
              </w:rPr>
              <w:t>•</w:t>
            </w:r>
            <w:r>
              <w:rPr>
                <w:rFonts w:ascii="Times New Roman;sans-serif" w:hAnsi="Times New Roman;sans-serif"/>
                <w:b w:val="false"/>
                <w:color w:val="000000"/>
                <w:sz w:val="20"/>
              </w:rPr>
              <w:t>In 2023, our annual incentive award plan was simplified and designed to drive performance on key financial objectives, including revenue and cash flow from operations.</w:t>
            </w:r>
          </w:p>
        </w:tc>
      </w:tr>
      <w:tr>
        <w:trPr/>
        <w:tc>
          <w:tcPr>
            <w:tcW w:w="25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left"/>
              <w:rPr/>
            </w:pPr>
            <w:r>
              <w:rPr>
                <w:rFonts w:ascii="Times New Roman;sans-serif" w:hAnsi="Times New Roman;sans-serif"/>
                <w:b/>
                <w:sz w:val="20"/>
              </w:rPr>
              <w:br/>
            </w:r>
            <w:r>
              <w:rPr>
                <w:rFonts w:ascii="Times New Roman;sans-serif" w:hAnsi="Times New Roman;sans-serif"/>
                <w:b/>
                <w:color w:val="000000"/>
                <w:sz w:val="20"/>
              </w:rPr>
              <w:t>Long-Term Equity Incentive Compensation</w:t>
            </w:r>
          </w:p>
        </w:tc>
        <w:tc>
          <w:tcPr>
            <w:tcW w:w="76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60"/>
              <w:ind w:left="0" w:right="0" w:hanging="360"/>
              <w:jc w:val="both"/>
              <w:rPr/>
            </w:pPr>
            <w:r>
              <w:rPr>
                <w:color w:val="000000"/>
              </w:rPr>
              <w:t>•</w:t>
            </w:r>
            <w:r>
              <w:rPr>
                <w:rFonts w:ascii="Times New Roman;sans-serif" w:hAnsi="Times New Roman;sans-serif"/>
                <w:b w:val="false"/>
                <w:color w:val="000000"/>
                <w:sz w:val="20"/>
              </w:rPr>
              <w:t>Long-term equity awards incentivize executives to deliver long-term stockholder value, while also providing a retention vehicle for our top executive talent.</w:t>
            </w:r>
          </w:p>
          <w:p>
            <w:pPr>
              <w:pStyle w:val="TableContents"/>
              <w:bidi w:val="0"/>
              <w:spacing w:lineRule="auto" w:line="276" w:before="0" w:after="60"/>
              <w:ind w:left="0" w:right="0" w:hanging="360"/>
              <w:jc w:val="left"/>
              <w:rPr/>
            </w:pPr>
            <w:r>
              <w:rPr>
                <w:color w:val="000000"/>
              </w:rPr>
              <w:t>•</w:t>
            </w:r>
            <w:r>
              <w:rPr>
                <w:rFonts w:ascii="Times New Roman;sans-serif" w:hAnsi="Times New Roman;sans-serif"/>
                <w:b w:val="false"/>
                <w:color w:val="000000"/>
                <w:sz w:val="20"/>
              </w:rPr>
              <w:t>NEO equity awards are typically delivered as:</w:t>
            </w:r>
          </w:p>
          <w:p>
            <w:pPr>
              <w:pStyle w:val="TableContents"/>
              <w:bidi w:val="0"/>
              <w:spacing w:lineRule="auto" w:line="276" w:before="0" w:after="60"/>
              <w:ind w:left="0" w:right="0" w:hanging="360"/>
              <w:jc w:val="left"/>
              <w:rPr/>
            </w:pPr>
            <w:r>
              <w:rPr>
                <w:color w:val="000000"/>
              </w:rPr>
              <w:t>◦</w:t>
            </w:r>
            <w:r>
              <w:rPr>
                <w:rFonts w:ascii="Times New Roman;sans-serif" w:hAnsi="Times New Roman;sans-serif"/>
                <w:b w:val="false"/>
                <w:color w:val="000000"/>
                <w:sz w:val="20"/>
              </w:rPr>
              <w:t>PSUs (based on achievement of revenue and cash balance metrics over two and three year periods)</w:t>
            </w:r>
          </w:p>
          <w:p>
            <w:pPr>
              <w:pStyle w:val="TableContents"/>
              <w:bidi w:val="0"/>
              <w:spacing w:lineRule="auto" w:line="276" w:before="0" w:after="60"/>
              <w:ind w:left="0" w:right="0" w:hanging="360"/>
              <w:jc w:val="left"/>
              <w:rPr/>
            </w:pPr>
            <w:r>
              <w:rPr>
                <w:color w:val="000000"/>
              </w:rPr>
              <w:t>◦</w:t>
            </w:r>
            <w:r>
              <w:rPr>
                <w:rFonts w:ascii="Times New Roman;sans-serif" w:hAnsi="Times New Roman;sans-serif"/>
                <w:b w:val="false"/>
                <w:color w:val="000000"/>
                <w:sz w:val="20"/>
              </w:rPr>
              <w:t>RSUs (vesting over four years)</w:t>
            </w:r>
          </w:p>
          <w:p>
            <w:pPr>
              <w:pStyle w:val="TableContents"/>
              <w:bidi w:val="0"/>
              <w:spacing w:lineRule="auto" w:line="276" w:before="0" w:after="60"/>
              <w:ind w:left="0" w:right="0" w:hanging="360"/>
              <w:jc w:val="left"/>
              <w:rPr/>
            </w:pPr>
            <w:r>
              <w:rPr>
                <w:color w:val="000000"/>
              </w:rPr>
              <w:t>◦</w:t>
            </w:r>
            <w:r>
              <w:rPr>
                <w:rFonts w:ascii="Times New Roman;sans-serif" w:hAnsi="Times New Roman;sans-serif"/>
                <w:b w:val="false"/>
                <w:color w:val="000000"/>
                <w:sz w:val="20"/>
              </w:rPr>
              <w:t>Stock options (vesting over four years; no longer granted in 2024)</w:t>
            </w:r>
          </w:p>
        </w:tc>
      </w:tr>
    </w:tbl>
    <w:p>
      <w:pPr>
        <w:pStyle w:val="TextBody"/>
        <w:bidi w:val="0"/>
        <w:spacing w:before="0" w:after="0"/>
        <w:ind w:left="0" w:right="0" w:firstLine="36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2023 Target Pay Mix</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Consistent with our philosophy of aligning executive pay with Veracyte's short- and long-term performance, and to align the interests of management and stockholders, our compensation programs are designed such that the majority of executive compensation is in the form of </w:t>
      </w:r>
      <w:r>
        <w:rPr>
          <w:rFonts w:ascii="Times New Roman;sans-serif" w:hAnsi="Times New Roman;sans-serif"/>
          <w:b w:val="false"/>
          <w:color w:val="000000"/>
          <w:sz w:val="20"/>
          <w:shd w:fill="FFFFFF" w:val="clear"/>
        </w:rPr>
        <w:t>variable</w:t>
      </w:r>
      <w:r>
        <w:rPr>
          <w:rFonts w:ascii="Times New Roman;sans-serif" w:hAnsi="Times New Roman;sans-serif"/>
          <w:b w:val="false"/>
          <w:color w:val="000000"/>
          <w:sz w:val="20"/>
        </w:rPr>
        <w:t>, at-risk, incentive pay. For 2023, our Compensation Committee structured target pay packages for our Chief Executive Officer and NEOs was as follows:</w:t>
      </w:r>
    </w:p>
    <w:p>
      <w:pPr>
        <w:pStyle w:val="TextBody"/>
        <w:bidi w:val="0"/>
        <w:spacing w:before="120" w:after="120"/>
        <w:jc w:val="both"/>
        <w:rPr/>
      </w:pPr>
      <w:r>
        <w:rPr/>
        <w:drawing>
          <wp:inline distT="0" distB="0" distL="0" distR="0">
            <wp:extent cx="6515100" cy="19907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0"/>
                    <a:stretch>
                      <a:fillRect/>
                    </a:stretch>
                  </pic:blipFill>
                  <pic:spPr bwMode="auto">
                    <a:xfrm>
                      <a:off x="0" y="0"/>
                      <a:ext cx="6515100" cy="1990725"/>
                    </a:xfrm>
                    <a:prstGeom prst="rect">
                      <a:avLst/>
                    </a:prstGeom>
                  </pic:spPr>
                </pic:pic>
              </a:graphicData>
            </a:graphic>
          </wp:inline>
        </w:drawing>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Notes: Includes target annual cash-based incentives and the grant date fair value of annual equity grants, but excludes retention grants and new hire equity grants, if any. As such, Dr. Febbo was excluded from the NEO Pay Mix table due to receiving a new hire grant in 2023.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Compensation Governance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is responsible for oversight of Veracyte's compensation program and practices. The committee maintains a pay program defined by robust corporate governance and a commitment to stockholder interests.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ans-serif" w:hAnsi="Times New Roman;sans-serif"/>
          <w:b w:val="false"/>
          <w:color w:val="000000"/>
          <w:sz w:val="20"/>
        </w:rPr>
        <w:t xml:space="preserve">have committed to numerous </w:t>
      </w:r>
      <w:r>
        <w:rPr>
          <w:rFonts w:ascii="Times New Roman;sans-serif" w:hAnsi="Times New Roman;sans-serif"/>
          <w:b w:val="false"/>
          <w:color w:val="000000"/>
          <w:sz w:val="20"/>
          <w:shd w:fill="FFFFFF" w:val="clear"/>
        </w:rPr>
        <w:t>practices</w:t>
      </w:r>
      <w:r>
        <w:rPr>
          <w:color w:val="000000"/>
        </w:rPr>
        <w:t xml:space="preserve"> </w:t>
      </w:r>
      <w:r>
        <w:rPr>
          <w:rFonts w:ascii="Times New Roman;sans-serif" w:hAnsi="Times New Roman;sans-serif"/>
          <w:b w:val="false"/>
          <w:color w:val="000000"/>
          <w:sz w:val="20"/>
        </w:rPr>
        <w:t xml:space="preserve">and safeguards to ensure the compensation program does not misalign those interests. These include: </w:t>
      </w:r>
    </w:p>
    <w:p>
      <w:pPr>
        <w:pStyle w:val="TextBody"/>
        <w:bidi w:val="0"/>
        <w:spacing w:before="0" w:after="0"/>
        <w:ind w:left="0" w:right="0" w:firstLine="495"/>
        <w:jc w:val="both"/>
        <w:rPr/>
      </w:pPr>
      <w:r>
        <w:rPr/>
      </w:r>
    </w:p>
    <w:tbl>
      <w:tblPr>
        <w:tblW w:w="8713" w:type="dxa"/>
        <w:jc w:val="left"/>
        <w:tblInd w:w="0" w:type="dxa"/>
        <w:tblLayout w:type="fixed"/>
        <w:tblCellMar>
          <w:top w:w="28" w:type="dxa"/>
          <w:left w:w="28" w:type="dxa"/>
          <w:bottom w:w="28" w:type="dxa"/>
          <w:right w:w="28" w:type="dxa"/>
        </w:tblCellMar>
      </w:tblPr>
      <w:tblGrid>
        <w:gridCol w:w="618"/>
        <w:gridCol w:w="543"/>
        <w:gridCol w:w="548"/>
        <w:gridCol w:w="2051"/>
        <w:gridCol w:w="2051"/>
        <w:gridCol w:w="2902"/>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What We Do</w:t>
            </w:r>
          </w:p>
        </w:tc>
        <w:tc>
          <w:tcPr>
            <w:tcW w:w="7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Pay-for-performance philosophy and culture</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An appropriate mix of short and long-term incentives for our executives</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Responsible use of shares under our long-term incentive program</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Perform an annual risk assessment of our compensation program</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Maintain stock ownership guidelines for all executives and non-executive directors</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Double-trigger” change-in-control provisions</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Annually conduct Say-on-Pay vote</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Engage an independent compensation consultant</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Have an independent compensation committee</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Maintain a compensation recovery policy to ensure accountability</w:t>
            </w:r>
          </w:p>
        </w:tc>
      </w:tr>
      <w:tr>
        <w:trPr/>
        <w:tc>
          <w:tcPr>
            <w:tcW w:w="17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What We Don't Do</w:t>
            </w:r>
          </w:p>
        </w:tc>
        <w:tc>
          <w:tcPr>
            <w:tcW w:w="70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No excise tax gross-ups</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No excessive perquisites</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No repricing of stock option awards without stockholder approval</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No discounted stock option awards</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No hedging or pledging of our stock</w:t>
            </w:r>
          </w:p>
        </w:tc>
      </w:tr>
    </w:tbl>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Say-on-Pay Results</w:t>
      </w:r>
    </w:p>
    <w:p>
      <w:pPr>
        <w:pStyle w:val="TextBody"/>
        <w:bidi w:val="0"/>
        <w:spacing w:before="0" w:after="0"/>
        <w:ind w:left="0" w:right="0" w:firstLine="495"/>
        <w:jc w:val="both"/>
        <w:rPr/>
      </w:pPr>
      <w:r>
        <w:rPr/>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Veracyte received approximately 97.0% support from stockholders for our 2023 say-on-pay proposal. The Compensation Committee is appreciative of </w:t>
      </w:r>
      <w:r>
        <w:rPr>
          <w:rFonts w:ascii="Times New Roman;sans-serif" w:hAnsi="Times New Roman;sans-serif"/>
          <w:b w:val="false"/>
          <w:color w:val="000000"/>
          <w:sz w:val="20"/>
          <w:shd w:fill="FFFFFF" w:val="clear"/>
        </w:rPr>
        <w:t>this</w:t>
      </w:r>
      <w:r>
        <w:rPr>
          <w:color w:val="000000"/>
        </w:rPr>
        <w:t xml:space="preserve"> </w:t>
      </w:r>
      <w:r>
        <w:rPr>
          <w:rFonts w:ascii="Times New Roman;sans-serif" w:hAnsi="Times New Roman;sans-serif"/>
          <w:b w:val="false"/>
          <w:color w:val="000000"/>
          <w:sz w:val="20"/>
        </w:rPr>
        <w:t>support and believes it indicates that stockholders are supportive of our pay program structure and the alignment we have created between management and stockholder interests. The Compensation Committee will continue to consider the results of future stockholder votes, along with other forms of stockholder input and feedback, when structuring executive pay.</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Executive Compensation Philosophy and Objectives</w:t>
      </w:r>
    </w:p>
    <w:p>
      <w:pPr>
        <w:pStyle w:val="TextBody"/>
        <w:bidi w:val="0"/>
        <w:spacing w:before="0" w:after="0"/>
        <w:ind w:left="0" w:right="0" w:firstLine="495"/>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Compensation Determination Process</w:t>
      </w:r>
    </w:p>
    <w:p>
      <w:pPr>
        <w:pStyle w:val="TextBody"/>
        <w:bidi w:val="0"/>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Role of Compensation Committee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conducts an annual review of all components of executive compensation for all executive officers and approves compensation for all executive officers other than our Chief Executive Officer, for whom it recommends compensation to the Board of Directors. Chief Executive Officer compensation and overall bonus achievement are then approved by the independent members of our Board of Directors. The Compensation Committee also reviews and recommends non-employee directors’ compensation to the full Board of Directors on an annual basis. The Compensation Committee has the sole authority to select, retain, terminate and approve the fees and other retention terms of consultants as it deems appropriate to perform its duties.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Role of Management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Veracyte’s Chief Executive Officer is involved in the design and implementation of our executive compensation and is typically present at Compensation Committee meetings, except that the Chief Executive Officer is not present during any voting or deliberations on his compensation. In 2023, the Chief Executive Officer reviewed the analysis and recommendations of Aon’s Human Capital Solutions practice, a division of Aon plc (“Aon”), with the Compensation Committee and made recommendations regarding proposed salary, cash bonus opportunities and equity awards for our officers (other than himself). Management also participates in conducting annual risk assessments and ensuring that any risks involving compensation are properly mitigated. The Compensation Committee exercises its business judgment in accepting, rejecting and/or modifying any such executive compensation recommendations and approves all compensation and equity awards for all executive officers other than the Chief Executive Officer.</w:t>
      </w:r>
    </w:p>
    <w:p>
      <w:pPr>
        <w:pStyle w:val="TextBody"/>
        <w:bidi w:val="0"/>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Role of Independent Compensation Consultant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retains an independent compensation consultant to provide professional expertise regarding a variety of executive compensation and market practices. The Compensation Committee believes that working with an independent compensation consultant furthers our objectives to recruit and retain qualified executives, align their interests with those of stockholders and ensure that their compensation packages will appropriately motivate and reward ongoing achievement of business goals. The independent consultant assists the Compensation Committee in setting compensation and designing a comprehensive plan. In 2023, the Compensation Committee retained Aon to provide the following services: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Reviewing and modifying the compensation peer group;</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Evaluating executive and director market pay analysis;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 xml:space="preserve">Developing executive and director pay programs; </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Evaluating equity pay market analysis;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Examining the change in control and severance arrangement; and</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Updating certain proxy disclosures, including this CD&amp;A.</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annually evaluates the independent compensation consultant’s independence and performance under the applicable SEC and Nasdaq listing standards. The Compensation Committee conducted a specific review of its relationship with Aon in 2023, pursuant to the SEC rules and Nasdaq listing standards, and concluded that Aon’s work for the Compensation Committee did not raise any conflicts of interest.</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Use of Competitive Data</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assess the competitiveness of our executive compensation program and compensation levels, our Compensation Committee, with the assistance of Aon, examines the competitive compensation data for senior executives of our peer companies examining overall pay, and each pay element. The Compensation Committee uses a peer group to reference and analyze recent market data and understand the marketplace.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also considers other factors such as individual performance, experience, history and scope of responsibility, current market conditions and the specific needs of the business at critical points in time. The Compensation Committee uses its best business judgment in setting pay with the peer group data as a reference point rather than as specific benchmark. The Compensation Committee conducts an annual assessment of the peer group to ensure that it reflects Veracyte’s most current financial and sector-specific standing. </w:t>
      </w:r>
    </w:p>
    <w:p>
      <w:pPr>
        <w:pStyle w:val="TextBody"/>
        <w:bidi w:val="0"/>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2023 Peer Group</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Aon helped the Compensation Committee identify companies similar to us with respect to sector and market capitalization, as well as revenue and headcount, to provide a broad perspective on competitive pay levels and practices. The Compensation Committee also considers criteria from outside investors and the talent market when selecting the final criteria and list of companies.</w:t>
      </w:r>
      <w:r>
        <w:rPr>
          <w:color w:val="000000"/>
        </w:rPr>
        <w:t xml:space="preserve"> </w:t>
      </w:r>
      <w:r>
        <w:rPr>
          <w:rFonts w:ascii="Times New Roman;sans-serif" w:hAnsi="Times New Roman;sans-serif"/>
          <w:b w:val="false"/>
          <w:color w:val="000000"/>
          <w:sz w:val="20"/>
        </w:rPr>
        <w:t>The following criteria was applied in developing the peer group used for 2023 compensation decisions:</w:t>
      </w:r>
    </w:p>
    <w:p>
      <w:pPr>
        <w:pStyle w:val="TextBody"/>
        <w:bidi w:val="0"/>
        <w:spacing w:lineRule="auto" w:line="276" w:before="60" w:after="60"/>
        <w:ind w:left="0" w:right="0" w:hanging="360"/>
        <w:jc w:val="both"/>
        <w:rPr/>
      </w:pPr>
      <w:r>
        <w:rPr>
          <w:color w:val="000000"/>
        </w:rPr>
        <w:t>•</w:t>
      </w:r>
      <w:r>
        <w:rPr>
          <w:rFonts w:ascii="Times New Roman;sans-serif" w:hAnsi="Times New Roman;sans-serif"/>
          <w:b/>
          <w:color w:val="000000"/>
          <w:sz w:val="20"/>
        </w:rPr>
        <w:t>Sector</w:t>
      </w:r>
      <w:r>
        <w:rPr>
          <w:color w:val="000000"/>
        </w:rPr>
        <w:t xml:space="preserve"> </w:t>
      </w:r>
      <w:r>
        <w:rPr>
          <w:rFonts w:ascii="Times New Roman;sans-serif" w:hAnsi="Times New Roman;sans-serif"/>
          <w:b w:val="false"/>
          <w:color w:val="000000"/>
          <w:sz w:val="20"/>
        </w:rPr>
        <w:t>- Biotechnology/Pharmaceuticals, Life Sciences Tools and Services, and Health Care Equipment &amp; Supplies companies;</w:t>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0"/>
        </w:rPr>
        <w:t>Market Capitalization</w:t>
      </w:r>
      <w:r>
        <w:rPr>
          <w:color w:val="000000"/>
        </w:rPr>
        <w:t xml:space="preserve"> </w:t>
      </w:r>
      <w:r>
        <w:rPr>
          <w:rFonts w:ascii="Times New Roman;sans-serif" w:hAnsi="Times New Roman;sans-serif"/>
          <w:b w:val="false"/>
          <w:color w:val="000000"/>
          <w:sz w:val="20"/>
        </w:rPr>
        <w:t>- $500.0 million to $5.0 billion which was 0.3x to 3.0x;</w:t>
      </w:r>
    </w:p>
    <w:p>
      <w:pPr>
        <w:pStyle w:val="TextBody"/>
        <w:bidi w:val="0"/>
        <w:spacing w:lineRule="auto" w:line="288" w:before="60" w:after="60"/>
        <w:ind w:left="0" w:right="0" w:hanging="360"/>
        <w:jc w:val="both"/>
        <w:rPr/>
      </w:pPr>
      <w:r>
        <w:rPr>
          <w:color w:val="000000"/>
        </w:rPr>
        <w:t>•</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- 0.5x to 3x Veracyte's projected revenues; and</w:t>
      </w:r>
    </w:p>
    <w:p>
      <w:pPr>
        <w:pStyle w:val="TextBody"/>
        <w:bidi w:val="0"/>
        <w:spacing w:lineRule="auto" w:line="288" w:before="60" w:after="60"/>
        <w:ind w:left="0" w:right="0" w:hanging="360"/>
        <w:jc w:val="both"/>
        <w:rPr/>
      </w:pPr>
      <w:r>
        <w:rPr>
          <w:color w:val="000000"/>
        </w:rPr>
        <w:t>•</w:t>
      </w:r>
      <w:r>
        <w:rPr>
          <w:rFonts w:ascii="Times New Roman;sans-serif" w:hAnsi="Times New Roman;sans-serif"/>
          <w:b/>
          <w:color w:val="000000"/>
          <w:sz w:val="20"/>
        </w:rPr>
        <w:t>Headcoun</w:t>
      </w:r>
      <w:r>
        <w:rPr>
          <w:rFonts w:ascii="Times New Roman;sans-serif" w:hAnsi="Times New Roman;sans-serif"/>
          <w:b w:val="false"/>
          <w:color w:val="000000"/>
          <w:sz w:val="20"/>
        </w:rPr>
        <w:t>t - 500 to 2,000 full time employees.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Using these criteria, in September 2022 the following 18 companies were approved to comprise our 2023 peer group:</w:t>
      </w:r>
    </w:p>
    <w:p>
      <w:pPr>
        <w:pStyle w:val="TextBody"/>
        <w:bidi w:val="0"/>
        <w:spacing w:before="0" w:after="0"/>
        <w:jc w:val="both"/>
        <w:rPr/>
      </w:pPr>
      <w:r>
        <w:rPr/>
      </w:r>
    </w:p>
    <w:tbl>
      <w:tblPr>
        <w:tblW w:w="8263" w:type="dxa"/>
        <w:jc w:val="center"/>
        <w:tblInd w:w="0" w:type="dxa"/>
        <w:tblLayout w:type="fixed"/>
        <w:tblCellMar>
          <w:top w:w="28" w:type="dxa"/>
          <w:left w:w="28" w:type="dxa"/>
          <w:bottom w:w="28" w:type="dxa"/>
          <w:right w:w="28" w:type="dxa"/>
        </w:tblCellMar>
      </w:tblPr>
      <w:tblGrid>
        <w:gridCol w:w="1111"/>
        <w:gridCol w:w="980"/>
        <w:gridCol w:w="983"/>
        <w:gridCol w:w="859"/>
        <w:gridCol w:w="859"/>
        <w:gridCol w:w="861"/>
        <w:gridCol w:w="762"/>
        <w:gridCol w:w="762"/>
        <w:gridCol w:w="1086"/>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10x Genomics (TXG)*</w:t>
            </w:r>
          </w:p>
        </w:tc>
        <w:tc>
          <w:tcPr>
            <w:tcW w:w="2579"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Adaptive Biotechnologies (ADPT)</w:t>
            </w:r>
          </w:p>
        </w:tc>
        <w:tc>
          <w:tcPr>
            <w:tcW w:w="2610"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CareDx (CDNA)</w:t>
            </w:r>
          </w:p>
        </w:tc>
      </w:tr>
      <w:tr>
        <w:trPr/>
        <w:tc>
          <w:tcPr>
            <w:tcW w:w="3074"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Castle Biosciences (CSTL)</w:t>
            </w:r>
          </w:p>
        </w:tc>
        <w:tc>
          <w:tcPr>
            <w:tcW w:w="2579"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Codexis (CDXS)</w:t>
            </w:r>
          </w:p>
        </w:tc>
        <w:tc>
          <w:tcPr>
            <w:tcW w:w="2610"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Cytek Biosciences (CTKB)*</w:t>
            </w:r>
          </w:p>
        </w:tc>
      </w:tr>
      <w:tr>
        <w:trPr/>
        <w:tc>
          <w:tcPr>
            <w:tcW w:w="3074"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Sciences (EXAS)</w:t>
            </w:r>
          </w:p>
        </w:tc>
        <w:tc>
          <w:tcPr>
            <w:tcW w:w="2579"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Glaukos (GKOS)*</w:t>
            </w:r>
          </w:p>
        </w:tc>
        <w:tc>
          <w:tcPr>
            <w:tcW w:w="2610"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Guardant Health (GH)</w:t>
            </w:r>
          </w:p>
        </w:tc>
      </w:tr>
      <w:tr>
        <w:trPr/>
        <w:tc>
          <w:tcPr>
            <w:tcW w:w="3074"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Invitae (NVTA)</w:t>
            </w:r>
          </w:p>
        </w:tc>
        <w:tc>
          <w:tcPr>
            <w:tcW w:w="2579"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Myriad Genetics (MYGN)</w:t>
            </w:r>
          </w:p>
        </w:tc>
        <w:tc>
          <w:tcPr>
            <w:tcW w:w="2610"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NanoString Technologies (NSTG)</w:t>
            </w:r>
          </w:p>
        </w:tc>
      </w:tr>
      <w:tr>
        <w:trPr/>
        <w:tc>
          <w:tcPr>
            <w:tcW w:w="3074"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Natera (NTRA)</w:t>
            </w:r>
          </w:p>
        </w:tc>
        <w:tc>
          <w:tcPr>
            <w:tcW w:w="2579"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NeoGenomics (NEO)</w:t>
            </w:r>
          </w:p>
        </w:tc>
        <w:tc>
          <w:tcPr>
            <w:tcW w:w="2610" w:type="dxa"/>
            <w:gridSpan w:val="3"/>
            <w:tcBorders>
              <w:top w:val="single" w:sz="8"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Nevro (NVRO)*</w:t>
            </w:r>
          </w:p>
        </w:tc>
      </w:tr>
      <w:tr>
        <w:trPr/>
        <w:tc>
          <w:tcPr>
            <w:tcW w:w="3074" w:type="dxa"/>
            <w:gridSpan w:val="3"/>
            <w:tcBorders>
              <w:top w:val="single" w:sz="8" w:space="0" w:color="666666"/>
              <w:bottom w:val="single" w:sz="8" w:space="0" w:color="666666"/>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Pacific Biosciences of California (PACB)</w:t>
            </w:r>
          </w:p>
        </w:tc>
        <w:tc>
          <w:tcPr>
            <w:tcW w:w="2579" w:type="dxa"/>
            <w:gridSpan w:val="3"/>
            <w:tcBorders>
              <w:top w:val="single" w:sz="8" w:space="0" w:color="666666"/>
              <w:bottom w:val="single" w:sz="8" w:space="0" w:color="666666"/>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Twist Bioscience (TWST)</w:t>
            </w:r>
          </w:p>
        </w:tc>
        <w:tc>
          <w:tcPr>
            <w:tcW w:w="2610" w:type="dxa"/>
            <w:gridSpan w:val="3"/>
            <w:tcBorders>
              <w:top w:val="single" w:sz="8" w:space="0" w:color="666666"/>
              <w:bottom w:val="single" w:sz="8" w:space="0" w:color="666666"/>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Vericel (VCEL)</w:t>
            </w:r>
          </w:p>
        </w:tc>
      </w:tr>
    </w:tbl>
    <w:p>
      <w:pPr>
        <w:pStyle w:val="TextBody"/>
        <w:bidi w:val="0"/>
        <w:spacing w:lineRule="auto" w:line="26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New in 2023. In 2023, Berkeley Lights, Fluidigm, Maravai LifeSciences, OraSure Technologies, Personalis and Quanterix were removed from the 2022 peer list due to no longer fitting the criteria.</w:t>
      </w:r>
    </w:p>
    <w:p>
      <w:pPr>
        <w:pStyle w:val="TextBody"/>
        <w:bidi w:val="0"/>
        <w:spacing w:before="0" w:after="0"/>
        <w:jc w:val="left"/>
        <w:rPr/>
      </w:pPr>
      <w:r>
        <w:rPr/>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approval, Veracyte was near the 50th percentile for revenue and market capitalization, reinforcing the balance in the group of companies.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Consideration of Compensation Risk</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governance practices provide an appropriate framework for our executives to achieve our strategic goals without encouraging them to take excessive risks in their business decisions.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an annual basis, the Compensation Committee conducts a thorough risk assessment of our compensation programs and practices to analyze whether they encourage employees to take excessive or inappropriate risks. After conducting this analysis, the Compensation Committee concluded our compensation programs are, on balance, consistent with market practice and do not present material risks to us. The reasons for the Compensation Committee’s determination include the following: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structure our compensation programs to consist of both fixed and variable components. The fixed (or base salary) component of our compensation programs is designed to provide income independent of our stock price performance so that employees will not focus exclusively on stock price performance to the detriment of other important business metrics. The variable (cash bonus and equity) components of our compensation programs are designed to reward both short- and long-term company performance, which we believe discourages employees from taking actions that focus only on our short-term success and helps align our employees with our stockholders and on our longer-term success.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maintain internal controls over the measurement and calculation of financial information, which are designed to prevent this information from being manipulated by any employee, including our executive officers.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While we generally do not cap cash incentive awards for our sales commissions plans to maximize the incentive for our sales force to meet and exceed their revenue and other commercial objectives, we do maintain internal controls over the determination of sales incentive awards, which we believe helps prevent problematic behaviors.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employees are required to comply with our Code of Conduct, which covers, among other things, accuracy in keeping financial and business records.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As part of our Insider Trading Policy, we prohibit the trading of derivatives or hedging transactions involving our securities so that our Board, executive officers and all other employees cannot insulate themselves from the effects of poor stock price performance or engage in trading that is not aligned with value creation for our stockholders. </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Elements of Our Executive Compensation Program</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maintain a competitive and comprehensive pay package, we utilize three primary compensation vehicles to reward our executives: base salary, annual cash incentives, and long-term equity compensation. When setting our compensation practices, we ensure that our program will focus our executive officers on leading our entire organization toward achieving both short-term and long-term strategic, financial and operational goals, and increasing stockholder value, without encouraging excessive risk-taking.</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Base Salaries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 salaries serve to provide fixed cash compensation to our executive officers for performing their ongoing responsibilities. Base salaries for our executive officers are approved by the Compensation Committee upon the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joining us, and then reviewed and adjusted, as appropriate, by the Compensation Committee on an annual basis, in consultation with Aon and based on consideration of various factors, including:</w:t>
      </w:r>
    </w:p>
    <w:p>
      <w:pPr>
        <w:pStyle w:val="TextBody"/>
        <w:bidi w:val="0"/>
        <w:spacing w:before="0" w:after="0"/>
        <w:ind w:left="0" w:right="0" w:firstLine="495"/>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individual’s role and responsibilities;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Individual contribution and performance of the past year;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Overall experience and expertise;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Current Veracyte base salary;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Corporate performance;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Salaries for similar positions within our industry.</w:t>
      </w:r>
    </w:p>
    <w:p>
      <w:pPr>
        <w:pStyle w:val="TextBody"/>
        <w:bidi w:val="0"/>
        <w:spacing w:lineRule="auto" w:line="28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and, with respect to our Chief Executive Officer, the independent members of the Board of Directors, approved the following base salaries for our named executive officers in February 2023 in a similar manner, and at similar levels as our companywide practices. </w:t>
      </w:r>
    </w:p>
    <w:tbl>
      <w:tblPr>
        <w:tblW w:w="10205" w:type="dxa"/>
        <w:jc w:val="center"/>
        <w:tblInd w:w="0" w:type="dxa"/>
        <w:tblLayout w:type="fixed"/>
        <w:tblCellMar>
          <w:top w:w="28" w:type="dxa"/>
          <w:left w:w="28" w:type="dxa"/>
          <w:bottom w:w="28" w:type="dxa"/>
          <w:right w:w="28" w:type="dxa"/>
        </w:tblCellMar>
      </w:tblPr>
      <w:tblGrid>
        <w:gridCol w:w="1361"/>
        <w:gridCol w:w="1163"/>
        <w:gridCol w:w="1156"/>
        <w:gridCol w:w="756"/>
        <w:gridCol w:w="710"/>
        <w:gridCol w:w="690"/>
        <w:gridCol w:w="756"/>
        <w:gridCol w:w="710"/>
        <w:gridCol w:w="690"/>
        <w:gridCol w:w="645"/>
        <w:gridCol w:w="645"/>
        <w:gridCol w:w="923"/>
      </w:tblGrid>
      <w:tr>
        <w:trPr/>
        <w:tc>
          <w:tcPr>
            <w:tcW w:w="13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Executive</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br/>
              <w:t>Base Salary</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br/>
              <w:t>Base Salary</w:t>
            </w:r>
          </w:p>
        </w:tc>
        <w:tc>
          <w:tcPr>
            <w:tcW w:w="2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 Stapley</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$625,000</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$650,000</w:t>
            </w:r>
          </w:p>
        </w:tc>
        <w:tc>
          <w:tcPr>
            <w:tcW w:w="2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r>
      <w:tr>
        <w:trPr/>
        <w:tc>
          <w:tcPr>
            <w:tcW w:w="3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Rebecca Chambers(1)</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$463,500</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$510,000</w:t>
            </w:r>
          </w:p>
        </w:tc>
        <w:tc>
          <w:tcPr>
            <w:tcW w:w="2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Phillip Febbo(2)</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$550,000</w:t>
            </w:r>
          </w:p>
        </w:tc>
        <w:tc>
          <w:tcPr>
            <w:tcW w:w="2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3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John Leite(3)</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$450,000</w:t>
            </w:r>
          </w:p>
        </w:tc>
        <w:tc>
          <w:tcPr>
            <w:tcW w:w="2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3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Annie McGuire(4)</w:t>
            </w:r>
          </w:p>
        </w:tc>
        <w:tc>
          <w:tcPr>
            <w:tcW w:w="21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21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$440,000</w:t>
            </w:r>
          </w:p>
        </w:tc>
        <w:tc>
          <w:tcPr>
            <w:tcW w:w="221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10205"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Ms. Chambers’ assumed oversight of the US CLIA labs, billing, and customer service functions in October 2022, in addition to her role as CFO. Ms. Chambers’ salary was increased in consideration of the role expansion and annual salary review.</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(2) Dr. Febbo was hired as Chief Scientific and Chief Medical Officer effective October 2, 2023. His salary was approved in connection with his appointment.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60" w:after="4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(3) Dr. Leite was promoted from Senior Vice President, General Manager, Pulmonology &amp; Market Access to Chief Commercial Officer, CLIA effective September 1, 2023. Dr. Leite's salary was increased to $450,000 in connection to his promotion.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Ms. McGuire was promoted to Chief People Officer in addition to General Counsel effective January 1, 2023. Ms. McGuire’s salary increase is reflective of the promotion and annual salary review.</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2023 Annual Cash Incentives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executives, including our NEOs, with the opportunity to annually earn cash incentives to encourage the achievement of corporate objectives, and to reward those individuals who significantly impact our corporate results. Payments under our annual bonus plan are based on the achievement of corporate goals established by our Board of Directors. Actual performance against these metrics funds the annual bonus plan pool and threshold levels of performance must be met for the pool to be funded.</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NEOs participated in our 2023 annual bonus plan. Executive officers who participate in this plan have an established annual incentive target, which is equal to a percentage of their base salary. The actual earned annual incentive bonus, if any, is calculated based on the bonus plan pool funding, pre-established Company performance metrics and any adjustments for individual performance as assessed by the Compensation Committee (taking into consideration the assessment by the Chief Executive Officer) for the NEOs, and by the Board of Directors for the Chief Executive Officer. For 2023, our NEOs had the annual bonus target opportunities set forth in the table below. The target opportunities as a percentage of base salary for our incumbent NEOs were unchanged when compared to 2022. The maximum funding under the plan is 150% of target. </w:t>
      </w:r>
    </w:p>
    <w:p>
      <w:pPr>
        <w:pStyle w:val="TextBody"/>
        <w:bidi w:val="0"/>
        <w:spacing w:before="12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tbl>
      <w:tblPr>
        <w:tblW w:w="3958" w:type="dxa"/>
        <w:jc w:val="center"/>
        <w:tblInd w:w="0" w:type="dxa"/>
        <w:tblLayout w:type="fixed"/>
        <w:tblCellMar>
          <w:top w:w="28" w:type="dxa"/>
          <w:left w:w="28" w:type="dxa"/>
          <w:bottom w:w="28" w:type="dxa"/>
          <w:right w:w="28" w:type="dxa"/>
        </w:tblCellMar>
      </w:tblPr>
      <w:tblGrid>
        <w:gridCol w:w="630"/>
        <w:gridCol w:w="554"/>
        <w:gridCol w:w="555"/>
        <w:gridCol w:w="648"/>
        <w:gridCol w:w="648"/>
        <w:gridCol w:w="923"/>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7F7F7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2219" w:type="dxa"/>
            <w:gridSpan w:val="3"/>
            <w:tcBorders>
              <w:top w:val="single" w:sz="8" w:space="0" w:color="7F7F7F"/>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Target Annual Incentive</w:t>
              <w:br/>
              <w:t>(as % of base salary)</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 Stapley</w:t>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Rebecca Chambers</w:t>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Phillip Febbo</w:t>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Leite</w:t>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Annie McGuire</w:t>
            </w:r>
          </w:p>
        </w:tc>
        <w:tc>
          <w:tcPr>
            <w:tcW w:w="2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3958"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both"/>
        <w:rPr/>
      </w:pPr>
      <w:r>
        <w:rPr/>
      </w:r>
    </w:p>
    <w:p>
      <w:pPr>
        <w:pStyle w:val="TextBody"/>
        <w:bidi w:val="0"/>
        <w:spacing w:lineRule="auto" w:line="276" w:before="0" w:after="18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2023 Bonus Plan Awards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independent members of our Board of Directors, on the recommendation of the Compensation Committee, approved corporate goals for our 2023 annual bonus plan. Under the plan, eligible employees, including our NEOs, were eligible to receive a cash bonus if we achieved the corporate goals approved by our Board of Directors, as described in the table below. In late 2022 and early 2023, the Compensation Committee reviewed the structure of our previous annual bonus plan as well as the proposed 2023 annual bonus plan to determine whether it aligned to our growth strategy and corporate positioning. The Compensation Committee recognized the complexity of the previous annual goals, which were linked to pipeline/product development metrics, and clinical/biopharma metrics as well as financial metrics. The Compensation Committee further noted that management determined product portfolio decisions based on the long-term benefit to the company, rather than to drive annual benefits. Further, the Compensation Committee determined that goals related to pipeline/product development and clinical/biopharma advancements are well captured in the PSU program. As a result of this analysis, the Compensation Committee recommended, and the independent members of the full Board agreed, that our annual bonus plan should be simplified by focusing exclusively on metrics linked to revenue and responsible cash management performance. Additionally, in order to more clearly emphasize the imperative for growth and need to maintain cash reserves, the Compensation Committee elected to increase the potential maximum annual award from 125% to 150% of target. To balance this increase and ensure that the annual bonus program incentivized exceptional performance, the Compensation Committee also increased the required outperformance relative to the target performance level required to receive a maximum payout as compared to the 2022 target performance levels.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selected revenue as the primary financial performance measure to be used to determine annual cash bonuses as it is the best indicator of our growth in terms of aggregate test volume and sales, and successful execution of our annual operating plan. In addition, the Compensation Committee selected our cash balance as a second key measure to determine annual cash bonuses to provide an incentive to manage our cash expenditures and navigate toward eventual profitability as we continue to grow.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NEOs, the bonus pool could be funded from 0% to 150% based upon achieving certain annual revenue and ending cash balance goals as follows:</w:t>
      </w:r>
    </w:p>
    <w:tbl>
      <w:tblPr>
        <w:tblW w:w="3859" w:type="dxa"/>
        <w:jc w:val="center"/>
        <w:tblInd w:w="0" w:type="dxa"/>
        <w:tblLayout w:type="fixed"/>
        <w:tblCellMar>
          <w:top w:w="28" w:type="dxa"/>
          <w:left w:w="28" w:type="dxa"/>
          <w:bottom w:w="28" w:type="dxa"/>
          <w:right w:w="28" w:type="dxa"/>
        </w:tblCellMar>
      </w:tblPr>
      <w:tblGrid>
        <w:gridCol w:w="390"/>
        <w:gridCol w:w="342"/>
        <w:gridCol w:w="348"/>
        <w:gridCol w:w="280"/>
        <w:gridCol w:w="280"/>
        <w:gridCol w:w="281"/>
        <w:gridCol w:w="210"/>
        <w:gridCol w:w="210"/>
        <w:gridCol w:w="211"/>
        <w:gridCol w:w="245"/>
        <w:gridCol w:w="203"/>
        <w:gridCol w:w="183"/>
        <w:gridCol w:w="234"/>
        <w:gridCol w:w="194"/>
        <w:gridCol w:w="248"/>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080"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Goals</w:t>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Weighting</w:t>
            </w:r>
          </w:p>
        </w:tc>
        <w:tc>
          <w:tcPr>
            <w:tcW w:w="193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Funding Amount</w:t>
            </w:r>
          </w:p>
        </w:tc>
      </w:tr>
      <w:tr>
        <w:trPr/>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$325M</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$340M</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$370M</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Balance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$150M</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$160M</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$200M</w:t>
            </w:r>
          </w:p>
        </w:tc>
      </w:tr>
    </w:tbl>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2023, the annual incentive bonuses for the NEOs were determined based solely on Veracyte performance and did not include an individual performance multiplier. Actual annual performance bonus awards paid out under the plan could be greater or less than the NEOs' individual targets, as determined by the independent members of our Board of Directors at their discretion, considering the recommendation of the Compensation Committee. The Board of Directors did not exercise this discretion.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the independent members of our Board of Directors, on the recommendation of the Compensation Committee, determined 2023 performance and the resulting cash bonus awards. For 2023, our total revenue, adjusted for the effect of changes in foreign currency exchange rates, was $358.5 million, which exceeded our goal of $340 million (an increase over the 2022 goal of $284 million and actual result of $296.5 million). For 2023, our ending cash balance was $216.4 million which exceeded our goal of greater than $160 million (an increase over the 2022 goal of $140 million and actual result of $154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metric is calculated individually, and the sum of the calculations determines the potential bonus pool payout:</w:t>
      </w:r>
    </w:p>
    <w:tbl>
      <w:tblPr>
        <w:tblW w:w="10205" w:type="dxa"/>
        <w:jc w:val="center"/>
        <w:tblInd w:w="0" w:type="dxa"/>
        <w:tblLayout w:type="fixed"/>
        <w:tblCellMar>
          <w:top w:w="28" w:type="dxa"/>
          <w:left w:w="28" w:type="dxa"/>
          <w:bottom w:w="28" w:type="dxa"/>
          <w:right w:w="28" w:type="dxa"/>
        </w:tblCellMar>
      </w:tblPr>
      <w:tblGrid>
        <w:gridCol w:w="554"/>
        <w:gridCol w:w="487"/>
        <w:gridCol w:w="491"/>
        <w:gridCol w:w="300"/>
        <w:gridCol w:w="300"/>
        <w:gridCol w:w="301"/>
        <w:gridCol w:w="482"/>
        <w:gridCol w:w="482"/>
        <w:gridCol w:w="484"/>
        <w:gridCol w:w="387"/>
        <w:gridCol w:w="386"/>
        <w:gridCol w:w="388"/>
        <w:gridCol w:w="528"/>
        <w:gridCol w:w="528"/>
        <w:gridCol w:w="530"/>
        <w:gridCol w:w="254"/>
        <w:gridCol w:w="254"/>
        <w:gridCol w:w="258"/>
        <w:gridCol w:w="821"/>
        <w:gridCol w:w="821"/>
        <w:gridCol w:w="1169"/>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Metric</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Weighting</w:t>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Minimum (75%)</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Target (100%)</w:t>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Maximum (150%)</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2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Achievement (% of target payout)</w:t>
            </w:r>
          </w:p>
        </w:tc>
      </w:tr>
      <w:tr>
        <w:trPr/>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$325M</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$340M</w:t>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$370M</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$358.5M</w:t>
            </w:r>
          </w:p>
        </w:tc>
        <w:tc>
          <w:tcPr>
            <w:tcW w:w="2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131%</w:t>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Balance</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$150M</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$160M</w:t>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$200M</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$216.4M</w:t>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w:t>
            </w:r>
          </w:p>
        </w:tc>
      </w:tr>
      <w:tr>
        <w:trPr/>
        <w:tc>
          <w:tcPr>
            <w:tcW w:w="15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4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138.5%</w:t>
            </w:r>
          </w:p>
        </w:tc>
      </w:tr>
    </w:tbl>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a review of all goals and accomplishments, the independent members of our Board of Directors and Compensation Committee determined that the financial goals were achieved at 138.5%. Our NEOs’ earned annual incentives for 2023 were as follows:</w:t>
      </w:r>
    </w:p>
    <w:p>
      <w:pPr>
        <w:pStyle w:val="TextBody"/>
        <w:bidi w:val="0"/>
        <w:spacing w:before="120" w:after="12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563"/>
        <w:gridCol w:w="485"/>
        <w:gridCol w:w="486"/>
        <w:gridCol w:w="547"/>
        <w:gridCol w:w="447"/>
        <w:gridCol w:w="401"/>
        <w:gridCol w:w="928"/>
        <w:gridCol w:w="915"/>
        <w:gridCol w:w="862"/>
        <w:gridCol w:w="525"/>
        <w:gridCol w:w="435"/>
        <w:gridCol w:w="396"/>
        <w:gridCol w:w="547"/>
        <w:gridCol w:w="547"/>
        <w:gridCol w:w="549"/>
        <w:gridCol w:w="497"/>
        <w:gridCol w:w="439"/>
        <w:gridCol w:w="636"/>
      </w:tblGrid>
      <w:tr>
        <w:trPr/>
        <w:tc>
          <w:tcPr>
            <w:tcW w:w="56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53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545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Original FY 2023 Opportunity</w:t>
            </w:r>
          </w:p>
        </w:tc>
        <w:tc>
          <w:tcPr>
            <w:tcW w:w="3215" w:type="dxa"/>
            <w:gridSpan w:val="6"/>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r>
      <w:tr>
        <w:trPr/>
        <w:tc>
          <w:tcPr>
            <w:tcW w:w="1534" w:type="dxa"/>
            <w:gridSpan w:val="3"/>
            <w:vMerge w:val="continue"/>
            <w:tcBorders/>
            <w:tcMar>
              <w:top w:w="0" w:type="dxa"/>
              <w:left w:w="0" w:type="dxa"/>
              <w:bottom w:w="0" w:type="dxa"/>
              <w:right w:w="0" w:type="dxa"/>
            </w:tcMar>
            <w:vAlign w:val="center"/>
          </w:tcPr>
          <w:p>
            <w:pPr>
              <w:pStyle w:val="Normal"/>
              <w:bidi w:val="0"/>
              <w:jc w:val="left"/>
              <w:rPr/>
            </w:pPr>
            <w:r>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2023 Base Salary</w:t>
            </w:r>
          </w:p>
        </w:tc>
        <w:tc>
          <w:tcPr>
            <w:tcW w:w="2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2023 Target Bonus (as a % of base salary)</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Target Bonus ($)</w:t>
            </w:r>
          </w:p>
        </w:tc>
        <w:tc>
          <w:tcPr>
            <w:tcW w:w="1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Corporate Multiplier</w:t>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2023 Earned Bonus</w:t>
            </w:r>
          </w:p>
        </w:tc>
      </w:tr>
      <w:tr>
        <w:trPr/>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Marc Stapley</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2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1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$900,250</w:t>
            </w:r>
          </w:p>
        </w:tc>
      </w:tr>
      <w:tr>
        <w:trPr/>
        <w:tc>
          <w:tcPr>
            <w:tcW w:w="15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Rebecca Chambers</w:t>
            </w:r>
          </w:p>
        </w:tc>
        <w:tc>
          <w:tcPr>
            <w:tcW w:w="13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$510,000</w:t>
            </w:r>
          </w:p>
        </w:tc>
        <w:tc>
          <w:tcPr>
            <w:tcW w:w="2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3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$280,500</w:t>
            </w:r>
          </w:p>
        </w:tc>
        <w:tc>
          <w:tcPr>
            <w:tcW w:w="1643"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57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$388,493</w:t>
            </w:r>
          </w:p>
        </w:tc>
      </w:tr>
      <w:tr>
        <w:trPr/>
        <w:tc>
          <w:tcPr>
            <w:tcW w:w="15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Phillip Febbo(1)</w:t>
            </w:r>
          </w:p>
        </w:tc>
        <w:tc>
          <w:tcPr>
            <w:tcW w:w="13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$550,000</w:t>
            </w:r>
          </w:p>
        </w:tc>
        <w:tc>
          <w:tcPr>
            <w:tcW w:w="2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3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$302,500</w:t>
            </w:r>
          </w:p>
        </w:tc>
        <w:tc>
          <w:tcPr>
            <w:tcW w:w="1643"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57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$104,741</w:t>
            </w:r>
          </w:p>
        </w:tc>
      </w:tr>
      <w:tr>
        <w:trPr/>
        <w:tc>
          <w:tcPr>
            <w:tcW w:w="15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John Leite(2)</w:t>
            </w:r>
          </w:p>
        </w:tc>
        <w:tc>
          <w:tcPr>
            <w:tcW w:w="13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$450,000</w:t>
            </w:r>
          </w:p>
        </w:tc>
        <w:tc>
          <w:tcPr>
            <w:tcW w:w="2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3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$247,500</w:t>
            </w:r>
          </w:p>
        </w:tc>
        <w:tc>
          <w:tcPr>
            <w:tcW w:w="1643"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57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$264,433</w:t>
            </w:r>
          </w:p>
        </w:tc>
      </w:tr>
      <w:tr>
        <w:trPr/>
        <w:tc>
          <w:tcPr>
            <w:tcW w:w="15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Annie McGuire</w:t>
            </w:r>
          </w:p>
        </w:tc>
        <w:tc>
          <w:tcPr>
            <w:tcW w:w="13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$440,000</w:t>
            </w:r>
          </w:p>
        </w:tc>
        <w:tc>
          <w:tcPr>
            <w:tcW w:w="2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3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$242,000</w:t>
            </w:r>
          </w:p>
        </w:tc>
        <w:tc>
          <w:tcPr>
            <w:tcW w:w="1643"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57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$335,170</w:t>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(1) Dr. Febbo's bonus is pro-rated for his date of hire.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 Dr. Leite's bonus is pro-rated for time spent in the roles of Senior Vice President, General Manager, Pulmonology and Market Access and Chief Commercial Officer, CLIA in 2023.</w:t>
            </w:r>
          </w:p>
        </w:tc>
      </w:tr>
    </w:tbl>
    <w:p>
      <w:pPr>
        <w:pStyle w:val="TextBody"/>
        <w:bidi w:val="0"/>
        <w:spacing w:before="0" w:after="0"/>
        <w:jc w:val="left"/>
        <w:rPr/>
      </w:pPr>
      <w:r>
        <w:rPr/>
      </w:r>
    </w:p>
    <w:p>
      <w:pPr>
        <w:pStyle w:val="TextBody"/>
        <w:bidi w:val="0"/>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Equity Compensation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executive pay is delivered as long-term incentives in the form of equity awards, which are designed to align executive officers’ interests with stockholder interests, promote retention through the reward of long-term company performance, and encourage ownership in our company.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grant equity awards in the form of stock options, RSUs and PSUs. The Compensation Committee believes that certain targeted PSUs can provide an appropriate long-term incentive for our executive officers, as PSUs reward our executive officers only to the extent certain performance measures aligned with driving increased stockholder value are met. We believe that stock options, which are granted with exercise prices equal to the fair market value of our common stock on the date of grant and vest over a four-year period, provide an appropriate long-term incentive for our executive officers, as the stock options provide value only to the extent that our stock price increases above the exercise price set at the date of grant. Likewise, we believe that RSUs reward our executive officers with long-term stock price appreciation while simultaneously helping us retain our executive officers, as RSUs provide some value to the recipient even if the market price of our common stock declines following the grant date. In addition, because RSUs are usually granted in smaller amounts than stock options, RSUs allow us to offer a robust equity compensation program while also managing dilution.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Compensation Committee (and, in the case of our Chief Executive Officer, our Board of Directors), again granted PSUs to certain of our NEOs as a significant portion of their 2023 total equity compensation (“2023 PSUs”). The terms of these 2023 PSUs are described below.</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initially determines the size of equity grants by considering the executive officer’s position and market data of our peer group companies as provided by Aon. The Compensation Committee then takes into consideration each named executive officer’s recent performance history, his or her potential for future responsibility and criticality of his or her work to the long-term success of our company and the retention value of outstanding awards. The Compensation Committee has the discretion to give relative weight to each of these factors as it sets the size of the equity grant to appropriately create an opportunity for reward based on increasing stockholder value. For newly hired or promoted executive officers, the Compensation Committee also takes into consideration the value needed to induce the individual to accept the position and to drive substantial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2023 Equity Grants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independent members of the Board of Directors, on the recommendation of the Compensation Committee, approved annual equity awards to the NEOs to be granted in March consistent with past practice (except as noted below for newly hired or promoted NEOs), in the following amounts:</w:t>
      </w:r>
    </w:p>
    <w:tbl>
      <w:tblPr>
        <w:tblW w:w="10205" w:type="dxa"/>
        <w:jc w:val="center"/>
        <w:tblInd w:w="0" w:type="dxa"/>
        <w:tblLayout w:type="fixed"/>
        <w:tblCellMar>
          <w:top w:w="28" w:type="dxa"/>
          <w:left w:w="28" w:type="dxa"/>
          <w:bottom w:w="28" w:type="dxa"/>
          <w:right w:w="28" w:type="dxa"/>
        </w:tblCellMar>
      </w:tblPr>
      <w:tblGrid>
        <w:gridCol w:w="1457"/>
        <w:gridCol w:w="1261"/>
        <w:gridCol w:w="1273"/>
        <w:gridCol w:w="995"/>
        <w:gridCol w:w="995"/>
        <w:gridCol w:w="999"/>
        <w:gridCol w:w="514"/>
        <w:gridCol w:w="514"/>
        <w:gridCol w:w="524"/>
        <w:gridCol w:w="485"/>
        <w:gridCol w:w="485"/>
        <w:gridCol w:w="703"/>
      </w:tblGrid>
      <w:tr>
        <w:trPr/>
        <w:tc>
          <w:tcPr>
            <w:tcW w:w="14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3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Executive</w:t>
            </w:r>
          </w:p>
        </w:tc>
        <w:tc>
          <w:tcPr>
            <w:tcW w:w="2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br/>
              <w:t>(#)</w:t>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RSUs</w:t>
              <w:br/>
              <w:t>(#)</w:t>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PSUs</w:t>
              <w:br/>
              <w:t>(#)</w:t>
            </w:r>
          </w:p>
        </w:tc>
      </w:tr>
      <w:tr>
        <w:trPr/>
        <w:tc>
          <w:tcPr>
            <w:tcW w:w="3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 Stapley</w:t>
            </w:r>
          </w:p>
        </w:tc>
        <w:tc>
          <w:tcPr>
            <w:tcW w:w="2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128,869</w:t>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78,044</w:t>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78,044</w:t>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Rebecca Chambers</w:t>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42,956</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26,014</w:t>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26,014</w:t>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Phillip Febbo(1)</w:t>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85,858</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53,182</w:t>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53,182</w:t>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John Leite(2)</w:t>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25,268</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15,766</w:t>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19,135</w:t>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Annie McGuire</w:t>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38,660</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23,413</w:t>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23,413</w:t>
            </w:r>
          </w:p>
        </w:tc>
      </w:tr>
      <w:tr>
        <w:trPr/>
        <w:tc>
          <w:tcPr>
            <w:tcW w:w="3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52" w:before="0" w:after="60"/>
              <w:ind w:left="0" w:right="0" w:hanging="18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Dr. Febbo was granted his equity awards on October 2, 2023 in connection with the commencement of his employment as our Chief Scientific and Chief Medical Officer.</w:t>
            </w:r>
          </w:p>
          <w:p>
            <w:pPr>
              <w:pStyle w:val="TableContents"/>
              <w:bidi w:val="0"/>
              <w:spacing w:lineRule="auto" w:line="252" w:before="0" w:after="60"/>
              <w:ind w:left="0" w:right="0" w:hanging="18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Dr. Leite was granted his PSU awards on September 11, 2023 in connection with his promotion to Chief Commercial Officer, CLIA.</w:t>
            </w:r>
          </w:p>
        </w:tc>
      </w:tr>
    </w:tbl>
    <w:p>
      <w:pPr>
        <w:pStyle w:val="TextBody"/>
        <w:bidi w:val="0"/>
        <w:spacing w:lineRule="auto" w:line="288" w:before="120" w:after="120"/>
        <w:ind w:left="0" w:right="0" w:firstLine="720"/>
        <w:jc w:val="both"/>
        <w:rPr/>
      </w:pPr>
      <w:r>
        <w:rPr>
          <w:rFonts w:ascii="Times New Roman;sans-serif" w:hAnsi="Times New Roman;sans-serif"/>
          <w:b w:val="false"/>
          <w:i/>
          <w:color w:val="000000"/>
          <w:sz w:val="20"/>
        </w:rPr>
        <w:t>Time-Based Vesting Options &amp; RSUs</w:t>
      </w:r>
      <w:r>
        <w:rPr>
          <w:color w:val="000000"/>
        </w:rPr>
        <w:t xml:space="preserve">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option awards granted in March 2023 and new hire option awards granted to Dr. Febbo in October 2023 vest and become exercisable as to 25% of the shares on the first anniversary of the grant date, and the remaining shares vest at a rate of 1/48th of the total number of shares subject to the award for each month of continuous service thereafter (until the fourth anniversary of the date of grant).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RSU awards granted in March 2023 vest as to 1/4 on the first anniversary of March 2, 2023 and then in equal quarterly installments over the following 12 quarters, based on continuing service on each vesting date (until the fourth anniversary of the date of grant). The new hire RSUs granted to Dr. Febbo in October 2023 vest as to 1/4th on the first anniversary of December 2, 2023 and then in equal quarterly installments over the following 12 quarters, based on continuing service on each vesting date (until the fourth anniversary of the date of grant).</w:t>
      </w:r>
    </w:p>
    <w:p>
      <w:pPr>
        <w:pStyle w:val="TextBody"/>
        <w:bidi w:val="0"/>
        <w:spacing w:lineRule="auto" w:line="288" w:before="12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Performance-Based RSUs</w:t>
      </w:r>
    </w:p>
    <w:p>
      <w:pPr>
        <w:pStyle w:val="TextBody"/>
        <w:bidi w:val="0"/>
        <w:spacing w:lineRule="auto" w:line="288" w:before="120" w:after="120"/>
        <w:ind w:left="0" w:right="0" w:firstLine="720"/>
        <w:jc w:val="both"/>
        <w:rPr>
          <w:rFonts w:ascii="Times New Roman;sans-serif" w:hAnsi="Times New Roman;sans-serif"/>
          <w:b w:val="false"/>
          <w:color w:val="201F1E"/>
          <w:sz w:val="20"/>
        </w:rPr>
      </w:pPr>
      <w:r>
        <w:rPr>
          <w:rFonts w:ascii="Times New Roman;sans-serif" w:hAnsi="Times New Roman;sans-serif"/>
          <w:b w:val="false"/>
          <w:color w:val="201F1E"/>
          <w:sz w:val="20"/>
        </w:rPr>
        <w:t>In March 2023, we again granted PSUs to certain of our executive officers, referred to as the 2023 PSUs. In 2021 and 2022, our PSU awards included revenue as the sole performance metric. In 2023, we selected and continue to use revenue as a performance metric because we believe it is, and continues to be, an important indicator of our strategic long-term growth at this stage in our company’s maturity and it has been an important metric used by investors to assess the health and trajectory of our business. Further, in 2023, we incorporated an additional cash balance performance metric into this program to drive and reward improving profitability and durable growth, which is a key focus for the company.</w:t>
      </w:r>
    </w:p>
    <w:p>
      <w:pPr>
        <w:pStyle w:val="TextBody"/>
        <w:bidi w:val="0"/>
        <w:spacing w:lineRule="auto" w:line="288" w:before="120" w:after="120"/>
        <w:ind w:left="0" w:right="0" w:firstLine="720"/>
        <w:jc w:val="both"/>
        <w:rPr>
          <w:rFonts w:ascii="Times New Roman;sans-serif" w:hAnsi="Times New Roman;sans-serif"/>
          <w:b w:val="false"/>
          <w:color w:val="201F1E"/>
          <w:sz w:val="20"/>
        </w:rPr>
      </w:pPr>
      <w:r>
        <w:rPr>
          <w:rFonts w:ascii="Times New Roman;sans-serif" w:hAnsi="Times New Roman;sans-serif"/>
          <w:b w:val="false"/>
          <w:color w:val="201F1E"/>
          <w:sz w:val="20"/>
        </w:rPr>
        <w:t xml:space="preserve">Consistent with our 2022 PSU awards, the 2023 PSU awards are split into a two-year performance period and a three-year performance period to reward growth and execution over time. Forty percent of the total number of shares subject to the PSU granted in 2023, will be earned if the revenue and cash balance for the two-year period ending December 31, 2024 equals or exceeds a certain threshold and sixty percent of the total number of shares subject to the PSU will be earned if the revenue and cash balance for the three-year period ending December 31, 2025 equals or exceeds a higher threshold. Achievement between threshold, target and maximum levels of performance of each metric is interpolated, with a maximum achievement level of 150% of the target PSUs for each performance period. The officer must remain in service with Veracyte at the end of each of these performance periods and on the day that performance is measured to vest in any "achieved" portion of the 2023 PSUs. At the time these 2023 PSUs were awarded, the Compensation Committee and Board of Directors believed our primary and immediate focus should be on increased, sustained revenue growth across multiple time horizons and with increased attention to profitability. To that end, in addition to including short-term one-year revenue growth and cash balance goals in the 2023 annual bonus plan, the Compensation Committee felt the 2023 PSU’s two-year and three-year performance periods were the most appropriate length for our growth strategy and drive toward profitability. In the Compensation Committee’s opinion, this structure strikes a reasonable balance between investing for long-term growth and an ongoing focus on medium-term revenue increases, balances with cash management, given the dynamic changes in the diagnostic and testing marketplace. For purposes of the 2023 PSU awards, “revenue” means our total revenue calculated in accordance with U.S. Generally Accepted Accounting Principles ("U.S. GAAP"), as reported in our annual financial statements for the applicable year excluding adjustments for acquisitions or similar transactions and including adjustments for the impact of foreign currency exchange and decisions made by the Board to discontinue any of the company’s products for which projected revenue was included in the forecast on which the revenue target was based and “cash balance” means our cash and cash equivalents as of December 31 of the subject year calculated in accordance with U.S. GAAP, as reported in its annual financial statements for the subject year, excluding adjustments for acquisitions or similar transactions or the impact of foreign currency exchange and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201F1E"/>
          <w:sz w:val="20"/>
        </w:rPr>
      </w:pPr>
      <w:r>
        <w:rPr>
          <w:rFonts w:ascii="Times New Roman;sans-serif" w:hAnsi="Times New Roman;sans-serif"/>
          <w:b w:val="false"/>
          <w:color w:val="201F1E"/>
          <w:sz w:val="20"/>
        </w:rPr>
        <w:t>adjustments for capital raises, capital uses and the impact of acquisition-related contingent consideration obligations arising or occurring on or following the start of the applicable performance period.</w:t>
      </w:r>
    </w:p>
    <w:p>
      <w:pPr>
        <w:pStyle w:val="TextBody"/>
        <w:bidi w:val="0"/>
        <w:spacing w:lineRule="auto" w:line="288" w:before="12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Competitive Harm in Disclosing Thresholds</w:t>
      </w:r>
    </w:p>
    <w:p>
      <w:pPr>
        <w:pStyle w:val="TextBody"/>
        <w:bidi w:val="0"/>
        <w:spacing w:lineRule="auto" w:line="288" w:before="120" w:after="120"/>
        <w:ind w:left="0" w:right="0" w:firstLine="720"/>
        <w:jc w:val="both"/>
        <w:rPr/>
      </w:pPr>
      <w:r>
        <w:rPr>
          <w:rFonts w:ascii="Times New Roman;sans-serif" w:hAnsi="Times New Roman;sans-serif"/>
          <w:b w:val="false"/>
          <w:color w:val="201F1E"/>
          <w:sz w:val="20"/>
        </w:rPr>
        <w:t xml:space="preserve">We have not publicly disclosed the specific PSU performance thresholds because we believe advance disclosure of the thresholds could cause significant competitive harm to our business. The thresholds were purposefully set to be more aggressive than our disclosed guidance and long-term financial plan and are fully achievable only by outperforming such guidance and plan. If specific thresholds were disclosed, they could be treated as our new guidance or </w:t>
      </w:r>
      <w:r>
        <w:rPr>
          <w:rFonts w:ascii="Times New Roman;sans-serif" w:hAnsi="Times New Roman;sans-serif"/>
          <w:b w:val="false"/>
          <w:color w:val="000000"/>
          <w:sz w:val="20"/>
        </w:rPr>
        <w:t>long-term</w:t>
      </w:r>
      <w:r>
        <w:rPr>
          <w:color w:val="201F1E"/>
        </w:rPr>
        <w:t xml:space="preserve"> </w:t>
      </w:r>
      <w:r>
        <w:rPr>
          <w:rFonts w:ascii="Times New Roman;sans-serif" w:hAnsi="Times New Roman;sans-serif"/>
          <w:b w:val="false"/>
          <w:color w:val="201F1E"/>
          <w:sz w:val="20"/>
        </w:rPr>
        <w:t xml:space="preserve">financial plan, which would not align with (i) our purpose of </w:t>
      </w:r>
      <w:r>
        <w:rPr>
          <w:rFonts w:ascii="Times New Roman;sans-serif" w:hAnsi="Times New Roman;sans-serif"/>
          <w:b w:val="false"/>
          <w:color w:val="000000"/>
          <w:sz w:val="20"/>
        </w:rPr>
        <w:t>using</w:t>
      </w:r>
      <w:r>
        <w:rPr>
          <w:color w:val="201F1E"/>
        </w:rPr>
        <w:t xml:space="preserve"> </w:t>
      </w:r>
      <w:r>
        <w:rPr>
          <w:rFonts w:ascii="Times New Roman;sans-serif" w:hAnsi="Times New Roman;sans-serif"/>
          <w:b w:val="false"/>
          <w:color w:val="201F1E"/>
          <w:sz w:val="20"/>
        </w:rPr>
        <w:t>the PSU performance thresholds to encourage exceptional outperformance of our rigorous disclosed guidance and plan, and (ii) how we understand the role the PSU performance thresholds have in our long-term business and strategy. Disclosing the specific thresholds could also create a retention risk for our Chief Executive Officer and other Named Executive Officers, who are crucial to the execution of our next phase of growth by giving insight into the retentive value of the PSU awards. Companies competing for our top executive talent could use the thresholds’ rigor and the significant challenge of achieving the full award, depending on how many tranches have been earned and what remains of the performance period, to undercut the value of the PSU awards by offering a sign-on bonus or a more easily achievable compensation package to induce our Named Executive Officers to leave Veracyte. While we are not disclosing the thresholds in advance, we plan to appropriately disclose applicable achievements in a fiscal year in the following year’s proxy statement.</w:t>
      </w: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2024 Equity Awards</w:t>
      </w:r>
    </w:p>
    <w:p>
      <w:pPr>
        <w:pStyle w:val="TextBody"/>
        <w:bidi w:val="0"/>
        <w:spacing w:lineRule="auto" w:line="288" w:before="120" w:after="120"/>
        <w:ind w:left="0" w:right="0" w:firstLine="720"/>
        <w:jc w:val="both"/>
        <w:rPr>
          <w:rFonts w:ascii="Times New Roman;sans-serif" w:hAnsi="Times New Roman;sans-serif"/>
          <w:b w:val="false"/>
          <w:color w:val="201F1E"/>
          <w:sz w:val="20"/>
        </w:rPr>
      </w:pPr>
      <w:r>
        <w:rPr>
          <w:rFonts w:ascii="Times New Roman;sans-serif" w:hAnsi="Times New Roman;sans-serif"/>
          <w:b w:val="false"/>
          <w:color w:val="201F1E"/>
          <w:sz w:val="20"/>
        </w:rPr>
        <w:t>In March 2024, we again granted PSUs to certain of our executive officers, referred to as the 2024 PSUs, which are split into a two-year performance period and a three-year performance period, and based upon achievement of revenue and cash balance metrics. To enhance the retention value of our long-term equity program and to drive sustained stockholder value growth, the 2024 PSUs also include a time-based service requirement such that any “achieved” PSUs will vest approximately one year after the end of the applicable performance period, subject to the officer’s continued service to Veracyte.</w:t>
      </w:r>
    </w:p>
    <w:p>
      <w:pPr>
        <w:pStyle w:val="TextBody"/>
        <w:bidi w:val="0"/>
        <w:spacing w:lineRule="auto" w:line="276"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Prior Year PSUs – Achievement</w:t>
      </w:r>
    </w:p>
    <w:p>
      <w:pPr>
        <w:pStyle w:val="TextBody"/>
        <w:bidi w:val="0"/>
        <w:spacing w:lineRule="auto" w:line="288" w:before="120" w:after="120"/>
        <w:ind w:left="0" w:right="0" w:firstLine="720"/>
        <w:jc w:val="both"/>
        <w:rPr>
          <w:rFonts w:ascii="Times New Roman;sans-serif" w:hAnsi="Times New Roman;sans-serif"/>
          <w:b w:val="false"/>
          <w:color w:val="201F1E"/>
          <w:sz w:val="20"/>
        </w:rPr>
      </w:pPr>
      <w:r>
        <w:rPr>
          <w:rFonts w:ascii="Times New Roman;sans-serif" w:hAnsi="Times New Roman;sans-serif"/>
          <w:b w:val="false"/>
          <w:color w:val="201F1E"/>
          <w:sz w:val="20"/>
        </w:rPr>
        <w:t>The following table and footnotes summarizes PSU awards that were eligible to be achieved during 2023.</w:t>
      </w:r>
    </w:p>
    <w:tbl>
      <w:tblPr>
        <w:tblW w:w="10205" w:type="dxa"/>
        <w:jc w:val="center"/>
        <w:tblInd w:w="0" w:type="dxa"/>
        <w:tblLayout w:type="fixed"/>
        <w:tblCellMar>
          <w:top w:w="28" w:type="dxa"/>
          <w:left w:w="28" w:type="dxa"/>
          <w:bottom w:w="28" w:type="dxa"/>
          <w:right w:w="28" w:type="dxa"/>
        </w:tblCellMar>
      </w:tblPr>
      <w:tblGrid>
        <w:gridCol w:w="332"/>
        <w:gridCol w:w="291"/>
        <w:gridCol w:w="293"/>
        <w:gridCol w:w="514"/>
        <w:gridCol w:w="514"/>
        <w:gridCol w:w="516"/>
        <w:gridCol w:w="1837"/>
        <w:gridCol w:w="1837"/>
        <w:gridCol w:w="1843"/>
        <w:gridCol w:w="651"/>
        <w:gridCol w:w="651"/>
        <w:gridCol w:w="92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hanging="18"/>
              <w:jc w:val="center"/>
              <w:rPr>
                <w:rFonts w:ascii="Times New Roman;sans-serif" w:hAnsi="Times New Roman;sans-serif"/>
                <w:b/>
                <w:color w:val="000000"/>
                <w:sz w:val="20"/>
              </w:rPr>
            </w:pPr>
            <w:r>
              <w:rPr>
                <w:rFonts w:ascii="Times New Roman;sans-serif" w:hAnsi="Times New Roman;sans-serif"/>
                <w:b/>
                <w:color w:val="000000"/>
                <w:sz w:val="20"/>
              </w:rPr>
              <w:t>PSU Awards</w:t>
              <w:br/>
              <w:t>(Year of Grant)</w:t>
            </w:r>
          </w:p>
        </w:tc>
        <w:tc>
          <w:tcPr>
            <w:tcW w:w="15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Period</w:t>
            </w:r>
          </w:p>
        </w:tc>
        <w:tc>
          <w:tcPr>
            <w:tcW w:w="55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Metric</w:t>
            </w:r>
          </w:p>
        </w:tc>
        <w:tc>
          <w:tcPr>
            <w:tcW w:w="22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Achievement</w:t>
              <w:br/>
              <w:t>(%)</w:t>
            </w:r>
          </w:p>
        </w:tc>
      </w:tr>
      <w:tr>
        <w:trPr/>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hanging="18"/>
              <w:jc w:val="left"/>
              <w:rPr>
                <w:rFonts w:ascii="Times New Roman;sans-serif" w:hAnsi="Times New Roman;sans-serif"/>
                <w:b/>
                <w:color w:val="000000"/>
                <w:sz w:val="20"/>
              </w:rPr>
            </w:pPr>
            <w:r>
              <w:rPr>
                <w:rFonts w:ascii="Times New Roman;sans-serif" w:hAnsi="Times New Roman;sans-serif"/>
                <w:b/>
                <w:color w:val="000000"/>
                <w:sz w:val="20"/>
              </w:rPr>
              <w:t>2021 PSUs</w:t>
            </w:r>
          </w:p>
        </w:tc>
        <w:tc>
          <w:tcPr>
            <w:tcW w:w="15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 ended December 2023</w:t>
            </w:r>
          </w:p>
        </w:tc>
        <w:tc>
          <w:tcPr>
            <w:tcW w:w="55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calculated in accordance with U.S. GAAP (inclusive of Decipher Biosciences, Inc.’s products but exclusive of any revenue associated with other products or businesses acquired by Veracyte following the date of grant)</w:t>
            </w:r>
          </w:p>
        </w:tc>
        <w:tc>
          <w:tcPr>
            <w:tcW w:w="22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ans-serif" w:hAnsi="Times New Roman;sans-serif"/>
                <w:b w:val="false"/>
                <w:color w:val="000000"/>
                <w:sz w:val="20"/>
              </w:rPr>
              <w:t>0% of target level performance of $400 million in Revenue</w:t>
              <w:br/>
            </w:r>
            <w:r>
              <w:rPr>
                <w:rFonts w:ascii="Times New Roman;sans-serif" w:hAnsi="Times New Roman;sans-serif"/>
                <w:b w:val="false"/>
                <w:sz w:val="20"/>
              </w:rPr>
              <w:br/>
            </w:r>
            <w:r>
              <w:rPr>
                <w:rFonts w:ascii="Times New Roman;sans-serif" w:hAnsi="Times New Roman;sans-serif"/>
                <w:b w:val="false"/>
                <w:color w:val="000000"/>
                <w:sz w:val="20"/>
              </w:rPr>
              <w:t>0% PSUs earned or vested</w:t>
            </w:r>
          </w:p>
        </w:tc>
      </w:tr>
      <w:tr>
        <w:trPr/>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ind w:left="0" w:right="0" w:hanging="18"/>
              <w:jc w:val="left"/>
              <w:rPr>
                <w:rFonts w:ascii="Times New Roman;sans-serif" w:hAnsi="Times New Roman;sans-serif"/>
                <w:b/>
                <w:color w:val="000000"/>
                <w:sz w:val="20"/>
              </w:rPr>
            </w:pPr>
            <w:r>
              <w:rPr>
                <w:rFonts w:ascii="Times New Roman;sans-serif" w:hAnsi="Times New Roman;sans-serif"/>
                <w:b/>
                <w:color w:val="000000"/>
                <w:sz w:val="20"/>
              </w:rPr>
              <w:t>2022 PSUs(1)</w:t>
            </w:r>
          </w:p>
        </w:tc>
        <w:tc>
          <w:tcPr>
            <w:tcW w:w="15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 ended December 2023</w:t>
            </w:r>
          </w:p>
        </w:tc>
        <w:tc>
          <w:tcPr>
            <w:tcW w:w="55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calculated in accordance with U.S. GAAP, adjusted for certain acquisitions and dispositions</w:t>
            </w:r>
          </w:p>
        </w:tc>
        <w:tc>
          <w:tcPr>
            <w:tcW w:w="222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pPr>
            <w:r>
              <w:rPr>
                <w:rFonts w:ascii="Times New Roman;sans-serif" w:hAnsi="Times New Roman;sans-serif"/>
                <w:b w:val="false"/>
                <w:color w:val="000000"/>
                <w:sz w:val="20"/>
              </w:rPr>
              <w:t>148% of target level performance of $350 million in Revenue</w:t>
              <w:br/>
            </w:r>
            <w:r>
              <w:rPr>
                <w:rFonts w:ascii="Times New Roman;sans-serif" w:hAnsi="Times New Roman;sans-serif"/>
                <w:b w:val="false"/>
                <w:sz w:val="20"/>
              </w:rPr>
              <w:br/>
            </w:r>
            <w:r>
              <w:rPr>
                <w:rFonts w:ascii="Times New Roman;sans-serif" w:hAnsi="Times New Roman;sans-serif"/>
                <w:b w:val="false"/>
                <w:color w:val="000000"/>
                <w:sz w:val="20"/>
              </w:rPr>
              <w:t>Max of 125% PSUs earned; vested in March 2024</w:t>
            </w:r>
          </w:p>
        </w:tc>
      </w:tr>
    </w:tbl>
    <w:p>
      <w:pPr>
        <w:pStyle w:val="TextBody"/>
        <w:bidi w:val="0"/>
        <w:spacing w:lineRule="auto" w:line="288" w:before="120" w:after="120"/>
        <w:ind w:left="0" w:right="0" w:hanging="270"/>
        <w:jc w:val="both"/>
        <w:rPr>
          <w:rFonts w:ascii="Times New Roman;sans-serif" w:hAnsi="Times New Roman;sans-serif"/>
          <w:b w:val="false"/>
          <w:color w:val="201F1E"/>
          <w:sz w:val="20"/>
        </w:rPr>
      </w:pPr>
      <w:r>
        <w:rPr>
          <w:rFonts w:ascii="Times New Roman;sans-serif" w:hAnsi="Times New Roman;sans-serif"/>
          <w:b w:val="false"/>
          <w:color w:val="201F1E"/>
          <w:sz w:val="20"/>
        </w:rPr>
        <w:t>(1) 2022 PSUs (Performance Period ending December 31, 2023) – Achievement of the revenue two-year performance metric was measured based on maximum performance of $363 million at or above which 125% of the PSU would be achieved. Any achieved PSUs vested upon the date the achievement was certified by the Compensation Committee during the first quarter of 2024, subject to the officer’s continued service to Veracyte.</w:t>
      </w:r>
    </w:p>
    <w:p>
      <w:pPr>
        <w:pStyle w:val="TextBody"/>
        <w:bidi w:val="0"/>
        <w:spacing w:before="120" w:after="12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Additional Compensation Practices and Policies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Compensation Recovery Policy</w:t>
      </w:r>
    </w:p>
    <w:p>
      <w:pPr>
        <w:pStyle w:val="TextBody"/>
        <w:bidi w:val="0"/>
        <w:spacing w:before="0" w:after="0"/>
        <w:jc w:val="left"/>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23, 2023, our Board of Directors adopted a compensation recovery policy (the “Clawback Policy”) intended to comply with the requirements of the Dodd-Frank Wall Street Reform and Consumer Protection Act, as implemented by Nasdaq rules and the SEC’s rules and regulations. The Clawback Policy requires us to recover certain incentive-based compensation (as defined in the Clawback Policy) paid or granted to our officers, and such additional employees as may be identified from time to time, in the event we are required to prepare an accounting restatement due to our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noncompliance with any financial reporting requirement under the securities laws. The policy requires each person covered thereby to reimburse or forfeit to us all incentive-based compensation received by them prior to the restatement that exceeds the amount they would have received had their incentive-based compensation been calculated based on the financial restatement. The recovery period extends up to three years prior to the date that it is, or reasonably should have been, concluded that we are required to prepare a restatement. The Clawback Policy applies to incentive-based compensation that is received (as defined in the Clawback Policy) after the effective date of the applicable Nasdaq rules. Per applicable requirements, the Clawback Policy is enforced without consideration of responsibility or fault or lack thereof. The full text of the Clawback Policy is included as Exhibit 97.1 to our Annual Report on Form 10-K for the year ended December 31,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Hedging, Derivative Securities Transactions, Short Selling, and Pledging</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Under our Insider Trading Policy, our employees (including our executive officers) and the non-employee members of our Board of Directors are prohibited from engaging in hedging or monetization transactions involving our securities, such as zero-cost collars and forward sale contracts and </w:t>
      </w:r>
      <w:r>
        <w:rPr>
          <w:rFonts w:ascii="Times New Roman;sans-serif" w:hAnsi="Times New Roman;sans-serif"/>
          <w:b w:val="false"/>
          <w:color w:val="201F1E"/>
          <w:sz w:val="20"/>
        </w:rPr>
        <w:t>may</w:t>
      </w:r>
      <w:r>
        <w:rPr>
          <w:color w:val="000000"/>
        </w:rPr>
        <w:t xml:space="preserve"> </w:t>
      </w:r>
      <w:r>
        <w:rPr>
          <w:rFonts w:ascii="Times New Roman;sans-serif" w:hAnsi="Times New Roman;sans-serif"/>
          <w:b w:val="false"/>
          <w:color w:val="000000"/>
          <w:sz w:val="20"/>
        </w:rPr>
        <w:t>not contribute our securities to exchange funds that could be interpreted as having the effect of hedging in our securities. Further, our employees (including executive officers) and the non-employee members of our Board of Directors are prohibited from engaging in transactions involving options or other derivative securities on our securities, such as puts and calls, whether on an exchange or in any other market and from engaging in short sales of our securities, including short sales “against the box.”</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Also, under our Insider Trading Policy, our employees (including our executive officers) and the non-employee members of our Board of Directors are prohibited from using or pledging our securities as collateral in a margin account or as collateral for a loan unless the pledge has been </w:t>
      </w:r>
      <w:r>
        <w:rPr>
          <w:rFonts w:ascii="Times New Roman;sans-serif" w:hAnsi="Times New Roman;sans-serif"/>
          <w:b w:val="false"/>
          <w:color w:val="201F1E"/>
          <w:sz w:val="20"/>
        </w:rPr>
        <w:t>approved</w:t>
      </w:r>
      <w:r>
        <w:rPr>
          <w:color w:val="000000"/>
        </w:rPr>
        <w:t xml:space="preserve"> </w:t>
      </w:r>
      <w:r>
        <w:rPr>
          <w:rFonts w:ascii="Times New Roman;sans-serif" w:hAnsi="Times New Roman;sans-serif"/>
          <w:b w:val="false"/>
          <w:color w:val="000000"/>
          <w:sz w:val="20"/>
        </w:rPr>
        <w:t>by the designated compliance administrator pursuant to the Insider Trading Policy, which approval is limited to situations where the subject individual has demonstrated the financial capacity to repay the loan without resorting to the pledged securities).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Executive and Board Stock Ownership Guidelines</w: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We maintain stock ownership guidelines for our executive officers and members of our Board of Directors. Under these guidelines, the Chief Executive Officer and each </w:t>
      </w:r>
      <w:r>
        <w:rPr>
          <w:rFonts w:ascii="Times New Roman;sans-serif" w:hAnsi="Times New Roman;sans-serif"/>
          <w:b w:val="false"/>
          <w:color w:val="201F1E"/>
          <w:sz w:val="20"/>
        </w:rPr>
        <w:t>other</w:t>
      </w:r>
      <w:r>
        <w:rPr>
          <w:color w:val="000000"/>
        </w:rPr>
        <w:t xml:space="preserve"> </w:t>
      </w:r>
      <w:r>
        <w:rPr>
          <w:rFonts w:ascii="Times New Roman;sans-serif" w:hAnsi="Times New Roman;sans-serif"/>
          <w:b w:val="false"/>
          <w:color w:val="000000"/>
          <w:sz w:val="20"/>
        </w:rPr>
        <w:t xml:space="preserve">individual serving as a C-Level executive officer and each member of our Board of Directors must achieve the requirement within five years of becoming subject to the guidelines. We believe these stock ownership guidelines create alignment between our executive officers and members of the Board of Directors and the long-term performance of the Company. </w:t>
      </w:r>
    </w:p>
    <w:tbl>
      <w:tblPr>
        <w:tblW w:w="7363" w:type="dxa"/>
        <w:jc w:val="center"/>
        <w:tblInd w:w="0" w:type="dxa"/>
        <w:tblLayout w:type="fixed"/>
        <w:tblCellMar>
          <w:top w:w="28" w:type="dxa"/>
          <w:left w:w="28" w:type="dxa"/>
          <w:bottom w:w="28" w:type="dxa"/>
          <w:right w:w="28" w:type="dxa"/>
        </w:tblCellMar>
      </w:tblPr>
      <w:tblGrid>
        <w:gridCol w:w="1933"/>
        <w:gridCol w:w="1694"/>
        <w:gridCol w:w="1712"/>
        <w:gridCol w:w="593"/>
        <w:gridCol w:w="593"/>
        <w:gridCol w:w="838"/>
      </w:tblGrid>
      <w:tr>
        <w:trPr/>
        <w:tc>
          <w:tcPr>
            <w:tcW w:w="193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7F7F7F"/>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c>
          <w:tcPr>
            <w:tcW w:w="2024" w:type="dxa"/>
            <w:gridSpan w:val="3"/>
            <w:tcBorders>
              <w:top w:val="single" w:sz="8" w:space="0" w:color="7F7F7F"/>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Requirement</w:t>
            </w:r>
          </w:p>
        </w:tc>
      </w:tr>
      <w:tr>
        <w:trPr/>
        <w:tc>
          <w:tcPr>
            <w:tcW w:w="5339" w:type="dxa"/>
            <w:gridSpan w:val="3"/>
            <w:tcBorders>
              <w:top w:val="single" w:sz="8" w:space="0" w:color="7F7F7F"/>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2024" w:type="dxa"/>
            <w:gridSpan w:val="3"/>
            <w:tcBorders>
              <w:top w:val="single" w:sz="8" w:space="0" w:color="7F7F7F"/>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3x base salary</w:t>
            </w:r>
          </w:p>
        </w:tc>
      </w:tr>
      <w:tr>
        <w:trPr/>
        <w:tc>
          <w:tcPr>
            <w:tcW w:w="5339" w:type="dxa"/>
            <w:gridSpan w:val="3"/>
            <w:tcBorders>
              <w:top w:val="single" w:sz="8" w:space="0" w:color="7F7F7F"/>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C-Level Executive Officers other than Chief Executive Officer</w:t>
            </w:r>
          </w:p>
        </w:tc>
        <w:tc>
          <w:tcPr>
            <w:tcW w:w="2024" w:type="dxa"/>
            <w:gridSpan w:val="3"/>
            <w:tcBorders>
              <w:top w:val="single" w:sz="8" w:space="0" w:color="7F7F7F"/>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1x base salary</w:t>
            </w:r>
          </w:p>
        </w:tc>
      </w:tr>
      <w:tr>
        <w:trPr/>
        <w:tc>
          <w:tcPr>
            <w:tcW w:w="5339" w:type="dxa"/>
            <w:gridSpan w:val="3"/>
            <w:tcBorders>
              <w:top w:val="single" w:sz="8" w:space="0" w:color="7F7F7F"/>
              <w:bottom w:val="single" w:sz="8" w:space="0" w:color="7F7F7F"/>
            </w:tcBorders>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Non-Employee Members of the Board of Directors</w:t>
            </w:r>
          </w:p>
        </w:tc>
        <w:tc>
          <w:tcPr>
            <w:tcW w:w="2024" w:type="dxa"/>
            <w:gridSpan w:val="3"/>
            <w:tcBorders>
              <w:top w:val="single" w:sz="8" w:space="0" w:color="7F7F7F"/>
              <w:bottom w:val="single" w:sz="8" w:space="0" w:color="7F7F7F"/>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3x annual cash retainer</w:t>
            </w:r>
          </w:p>
        </w:tc>
      </w:tr>
    </w:tbl>
    <w:p>
      <w:pPr>
        <w:pStyle w:val="TextBody"/>
        <w:bidi w:val="0"/>
        <w:spacing w:before="0" w:after="0"/>
        <w:ind w:left="0" w:right="0" w:firstLine="36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determining stock ownership levels, the following forms of equity interests are included: shares owned by the officer directly, or held in trust for the benefit of, the officer or director or his or her immediate family members residing in same household or through trusts; and the “In-the-Money” value of vested stock option awards. Unvested stock options, unvested restricted stock units and unvested performance stock units are not included. The applicable guidelines must be met within the earliest of five years from: (i) joining Veracyte, (ii) promotion to a C-Level executive officer or (iii) establishment of the guidelines in February 2021. As of December 31, 2023, all non-employee directors and all of our current executive officers who are subject to these requirements were in compliance with our stock ownership guidelines, other than those executive officers whose employment began in 2022 or more recent years, each of whom has sufficient time remaining to meet the required ownership level.</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Tax and Accounting Considerations</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Deductibility of Executive Compensation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may take into consideration the accounting and tax treatment of the compensation and benefit arrangements for of our Named Executive Officers. These considerations are in addition to those described above that were material to the pay decisions for the most recent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Compensation Committee considers the deductibility of awards as one factor in determining executive compensation, the Compensation Committee also looks at other factors in making its decisions and retains the flexibility to award compensation that it determines to be consistent with the goals of our executive compensation program even if the awards are not deductible by us for tax purposes. </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Taxation of “Parachute” Payments and Deferred Compensation.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Sections 280G and 4999 of the Internal Revenue Code provide that named executive officers and directors who hold significant equity interests and certain other service providers may be subject to an excise tax if they receive payments or benefits in connection with a change in control of our Company that exceed certain prescribed limits, and that we (or a successor) may forfeit a deduction on the amounts subject to this additional tax. Section 409A of the Internal Revenue Code imposes significant additional taxes in the event that an employee, including a named executive officer, director, or service provider receives “nonqualified deferred compensation” that does not satisfy the conditions of Section 409A.</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agreed and are not otherwise obligated to provide any named executive officer with a “gross-up” or other reimbursement payment for any tax liability that he or she might owe as a result of the application of Sections 280G, 4999 or 409A of the Internal Revenue Code. </w:t>
      </w:r>
    </w:p>
    <w:p>
      <w:pPr>
        <w:pStyle w:val="TextBody"/>
        <w:bidi w:val="0"/>
        <w:spacing w:lineRule="auto" w:line="268" w:before="0" w:after="0"/>
        <w:jc w:val="both"/>
        <w:rPr/>
      </w:pPr>
      <w:r>
        <w:rPr>
          <w:rFonts w:ascii="Times New Roman;sans-serif" w:hAnsi="Times New Roman;sans-serif"/>
          <w:b/>
          <w:color w:val="000000"/>
          <w:sz w:val="20"/>
        </w:rPr>
        <w:t>Accounting for Stock-Based Compensation</w:t>
      </w:r>
      <w:r>
        <w:rPr>
          <w:rFonts w:ascii="Times New Roman;sans-serif" w:hAnsi="Times New Roman;sans-serif"/>
          <w:b w:val="false"/>
          <w:i/>
          <w:color w:val="000000"/>
          <w:sz w:val="20"/>
        </w:rPr>
        <w:t xml:space="preserve">.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follow the FASB ASC Topic 718 for our stock-based compensation awards. ASC 718 requires companies to calculate the grant date “fair value” of their stock-based awards using a variety of assumptions. This calculation is performed for accounting purposes and reported in the compensation tables that accompany this CD&amp;A, even though recipients may never realize any value from their awards. ASC 718 also requires companies to recognize the compensation cost of their stock-based awards in their statements of operations over the period that the recipient of the award is required to render service in exchange for the award.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Report of the Compensation Committee </w:t>
      </w:r>
    </w:p>
    <w:p>
      <w:pPr>
        <w:pStyle w:val="TextBody"/>
        <w:bidi w:val="0"/>
        <w:spacing w:before="0" w:after="0"/>
        <w:ind w:left="0" w:right="0" w:firstLine="495"/>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or the Exchange Act.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reviewed and discussed with management the Compensation Discussion and Analysis required by Securities and Exchange Commission regulations. Based on its review and discussions, the Compensation Committee recommended to the Board of Directors that the Compensation Discussion and Analysis be included in this proxy statement and, through incorporation by reference, in our Annual Report on Form 10-K for the fiscal year ended December 31, 2023.</w:t>
      </w:r>
    </w:p>
    <w:p>
      <w:pPr>
        <w:pStyle w:val="TextBody"/>
        <w:bidi w:val="0"/>
        <w:spacing w:before="0" w:after="0"/>
        <w:ind w:left="0" w:right="0" w:firstLine="720"/>
        <w:jc w:val="both"/>
        <w:rPr/>
      </w:pPr>
      <w:r>
        <w:rPr/>
      </w:r>
    </w:p>
    <w:tbl>
      <w:tblPr>
        <w:tblW w:w="5805" w:type="dxa"/>
        <w:jc w:val="left"/>
        <w:tblInd w:w="0" w:type="dxa"/>
        <w:tblLayout w:type="fixed"/>
        <w:tblCellMar>
          <w:top w:w="28" w:type="dxa"/>
          <w:left w:w="28" w:type="dxa"/>
          <w:bottom w:w="28" w:type="dxa"/>
          <w:right w:w="28" w:type="dxa"/>
        </w:tblCellMar>
      </w:tblPr>
      <w:tblGrid>
        <w:gridCol w:w="1856"/>
        <w:gridCol w:w="1633"/>
        <w:gridCol w:w="2316"/>
      </w:tblGrid>
      <w:tr>
        <w:trPr/>
        <w:tc>
          <w:tcPr>
            <w:tcW w:w="185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Submitted by The Compensation Committee of the Board of Directors</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 (Chair)</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Bishop</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Epstein M.D., M.S.</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0"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lineRule="auto" w:line="288" w:before="0" w:after="3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concerning compensation awarded to, earned by, or paid to each of our named executive officers for 2021, 2022 and 2023.</w:t>
      </w:r>
    </w:p>
    <w:tbl>
      <w:tblPr>
        <w:tblW w:w="10205" w:type="dxa"/>
        <w:jc w:val="center"/>
        <w:tblInd w:w="0" w:type="dxa"/>
        <w:tblLayout w:type="fixed"/>
        <w:tblCellMar>
          <w:top w:w="28" w:type="dxa"/>
          <w:left w:w="28" w:type="dxa"/>
          <w:bottom w:w="28" w:type="dxa"/>
          <w:right w:w="28" w:type="dxa"/>
        </w:tblCellMar>
      </w:tblPr>
      <w:tblGrid>
        <w:gridCol w:w="267"/>
        <w:gridCol w:w="121"/>
        <w:gridCol w:w="121"/>
        <w:gridCol w:w="218"/>
        <w:gridCol w:w="218"/>
        <w:gridCol w:w="220"/>
        <w:gridCol w:w="268"/>
        <w:gridCol w:w="268"/>
        <w:gridCol w:w="161"/>
        <w:gridCol w:w="380"/>
        <w:gridCol w:w="380"/>
        <w:gridCol w:w="228"/>
        <w:gridCol w:w="460"/>
        <w:gridCol w:w="309"/>
        <w:gridCol w:w="231"/>
        <w:gridCol w:w="523"/>
        <w:gridCol w:w="400"/>
        <w:gridCol w:w="294"/>
        <w:gridCol w:w="560"/>
        <w:gridCol w:w="380"/>
        <w:gridCol w:w="302"/>
        <w:gridCol w:w="427"/>
        <w:gridCol w:w="427"/>
        <w:gridCol w:w="428"/>
        <w:gridCol w:w="480"/>
        <w:gridCol w:w="480"/>
        <w:gridCol w:w="481"/>
        <w:gridCol w:w="444"/>
        <w:gridCol w:w="445"/>
        <w:gridCol w:w="284"/>
      </w:tblGrid>
      <w:tr>
        <w:trPr/>
        <w:tc>
          <w:tcPr>
            <w:tcW w:w="2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16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and Principal Position</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98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Salary ($)</w:t>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Bonus ($)(1)</w:t>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Stock Awards ($)(2)</w:t>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Option Awards ($)(2)</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Non-Equity</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Incentive Plan</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Compensation ($)(3)</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All Other Compensation ($)(4)</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Total ($)</w:t>
            </w:r>
          </w:p>
        </w:tc>
      </w:tr>
      <w:tr>
        <w:trPr/>
        <w:tc>
          <w:tcPr>
            <w:tcW w:w="11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Marc Stapley</w:t>
            </w:r>
          </w:p>
        </w:tc>
        <w:tc>
          <w:tcPr>
            <w:tcW w:w="5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2023 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650,000 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3,703,968 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1,927,416 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900,250 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7,184,634 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Chief Executive Officer</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625,000 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2,206,626 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1,475,796 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625,000 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4,935,422 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2,569,723 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2,521,717 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297,500 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5,741,940 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Rebecca Chambers</w:t>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510,000 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1,234,624 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642,467 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388,493 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2,778,584 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Chief Financial Officer</w:t>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463,500 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1,406,185 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1,144,161 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305,910 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3,322,756 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204,807 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1,741,684 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1,237,510 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95,036 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3,382,037 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Phillip Febbo</w:t>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137,500 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2,335,753 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1,206,047 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104,741 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3,787,041 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Chief Scientific and Chief Medical Officer</w:t>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John Leite</w:t>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421,067 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858,051 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377,918 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264,433 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1,924,469 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Chief Commercial Officer, CLIA</w:t>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Annie McGuire</w:t>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440,000 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1,111,181 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578,214 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335,170 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16,553 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2,481,118 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General Counsel and Chief People Officer</w:t>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334,872 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933,955 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946,422 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154,041 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77,765 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2,447,055 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69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The amounts in this column represent a sign-on bonus of $100,000 paid to Ms. Chambers in 2021.</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696" w:type="dxa"/>
            <w:gridSpan w:val="27"/>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14"/>
              </w:rPr>
            </w:pPr>
            <w:r>
              <w:rPr>
                <w:rFonts w:ascii="Times New Roman;sans-serif" w:hAnsi="Times New Roman;sans-serif"/>
                <w:b w:val="false"/>
                <w:color w:val="000000"/>
                <w:sz w:val="14"/>
              </w:rPr>
              <w:t>Amounts represent the aggregate fair value of the awards computed as of the grant date of each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2023. There can be no assurance that option awards will be exercised or that RSUs or PSUs will settle (in which case no value will be realized by the individual) or that the value on exercise of options or settlement of RSUs or PSUs will approximate the fair value as computed in accordance with Topic 718. We computed the grant date fair value of PSU awards based on our achievement of the PSU awards' performance conditions at 100% of target. If the PSUs were instead valued based on the maximum outcome of the applicable performance condition (i.e., based on maximum level performance), the total amount for the PSU awards reported in this column for 2023 would increase as follows: Mr. Stapley from $1,851,984 to $2,777,976; Ms. Chambers from $617,312 to $925,968; Dr. Febbo from $1,167,877 to $1,751,815; Dr. Leite from $483,924 to $725,886; and Ms. McGuire from $555,590 to $833,386.</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969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The amounts reported in the Non-Equity Incentive Plan Compensation column for 2023 represent annual cash bonuses paid to the Named Executive Officers as described in “—Compensation Discussion and Analysis—2023 Annual Cash Incentives.”</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9696" w:type="dxa"/>
            <w:gridSpan w:val="27"/>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14"/>
              </w:rPr>
            </w:pPr>
            <w:r>
              <w:rPr>
                <w:rFonts w:ascii="Times New Roman;sans-serif" w:hAnsi="Times New Roman;sans-serif"/>
                <w:b w:val="false"/>
                <w:color w:val="000000"/>
                <w:sz w:val="14"/>
              </w:rPr>
              <w:t>Other income includes matching contributions to 401(k) plans in an amount up to $3,000 per year. Other income for Ms. McGuire also includes assistance with housing expenses and tax gross-up paid for such expenses totaling $11,000 in housing expenses and $3,553 in tax gross-up for 2023 and $50,000 in housing expenses and $24,707 in tax gross-up for 2022.</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Grants of Plan-Based Awards Table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concerning each grant of an award made in 2023 for each of our named executive officers under any plan. This information supplements the information about these awards set forth in the Summary Compensation Table.</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303"/>
        <w:gridCol w:w="201"/>
        <w:gridCol w:w="178"/>
        <w:gridCol w:w="230"/>
        <w:gridCol w:w="173"/>
        <w:gridCol w:w="175"/>
        <w:gridCol w:w="154"/>
        <w:gridCol w:w="154"/>
        <w:gridCol w:w="155"/>
        <w:gridCol w:w="433"/>
        <w:gridCol w:w="142"/>
        <w:gridCol w:w="142"/>
        <w:gridCol w:w="433"/>
        <w:gridCol w:w="142"/>
        <w:gridCol w:w="142"/>
        <w:gridCol w:w="439"/>
        <w:gridCol w:w="147"/>
        <w:gridCol w:w="142"/>
        <w:gridCol w:w="113"/>
        <w:gridCol w:w="113"/>
        <w:gridCol w:w="113"/>
        <w:gridCol w:w="406"/>
        <w:gridCol w:w="146"/>
        <w:gridCol w:w="139"/>
        <w:gridCol w:w="374"/>
        <w:gridCol w:w="139"/>
        <w:gridCol w:w="139"/>
        <w:gridCol w:w="406"/>
        <w:gridCol w:w="174"/>
        <w:gridCol w:w="139"/>
        <w:gridCol w:w="372"/>
        <w:gridCol w:w="281"/>
        <w:gridCol w:w="282"/>
        <w:gridCol w:w="401"/>
        <w:gridCol w:w="329"/>
        <w:gridCol w:w="331"/>
        <w:gridCol w:w="293"/>
        <w:gridCol w:w="259"/>
        <w:gridCol w:w="261"/>
        <w:gridCol w:w="514"/>
        <w:gridCol w:w="237"/>
        <w:gridCol w:w="359"/>
      </w:tblGrid>
      <w:tr>
        <w:trPr/>
        <w:tc>
          <w:tcPr>
            <w:tcW w:w="3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Future Payouts Under Non-Equity Incentive Plan Awards (1)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Future Payouts Under Equity Incentive Plan Awards(2)</w:t>
            </w:r>
          </w:p>
        </w:tc>
        <w:tc>
          <w:tcPr>
            <w:tcW w:w="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 Other Stock Awards: Number of Shares of Stock or Units (#)</w:t>
            </w:r>
          </w:p>
        </w:tc>
        <w:tc>
          <w:tcPr>
            <w:tcW w:w="10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 Other Option Awards: Number of Securities Underlying Options (#)</w:t>
            </w:r>
          </w:p>
        </w:tc>
        <w:tc>
          <w:tcPr>
            <w:tcW w:w="8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Exercise or Base Price of Option Awards ($/Share)</w:t>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Grant Date Fair Value of Stock and Option Awards ($)(3)</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Name</w:t>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Type of Award</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Grant Date</w:t>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Threshold ($)</w:t>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Target ($)</w:t>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Maximum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Threshold (#)</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Target (#)</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Maximum (#)</w:t>
            </w:r>
          </w:p>
        </w:tc>
        <w:tc>
          <w:tcPr>
            <w:tcW w:w="935" w:type="dxa"/>
            <w:gridSpan w:val="3"/>
            <w:vMerge w:val="continue"/>
            <w:tcBorders/>
            <w:tcMar>
              <w:top w:w="0" w:type="dxa"/>
              <w:left w:w="0" w:type="dxa"/>
              <w:bottom w:w="0" w:type="dxa"/>
              <w:right w:w="0" w:type="dxa"/>
            </w:tcMar>
            <w:vAlign w:val="center"/>
          </w:tcPr>
          <w:p>
            <w:pPr>
              <w:pStyle w:val="Normal"/>
              <w:bidi w:val="0"/>
              <w:jc w:val="left"/>
              <w:rPr/>
            </w:pPr>
            <w:r>
              <w:rPr/>
            </w:r>
          </w:p>
        </w:tc>
        <w:tc>
          <w:tcPr>
            <w:tcW w:w="1061" w:type="dxa"/>
            <w:gridSpan w:val="3"/>
            <w:vMerge w:val="continue"/>
            <w:tcBorders/>
            <w:tcMar>
              <w:top w:w="0" w:type="dxa"/>
              <w:left w:w="0" w:type="dxa"/>
              <w:bottom w:w="0" w:type="dxa"/>
              <w:right w:w="0" w:type="dxa"/>
            </w:tcMar>
            <w:vAlign w:val="center"/>
          </w:tcPr>
          <w:p>
            <w:pPr>
              <w:pStyle w:val="Normal"/>
              <w:bidi w:val="0"/>
              <w:jc w:val="left"/>
              <w:rPr/>
            </w:pPr>
            <w:r>
              <w:rPr/>
            </w:r>
          </w:p>
        </w:tc>
        <w:tc>
          <w:tcPr>
            <w:tcW w:w="813" w:type="dxa"/>
            <w:gridSpan w:val="3"/>
            <w:vMerge w:val="continue"/>
            <w:tcBorders/>
            <w:tcMar>
              <w:top w:w="0" w:type="dxa"/>
              <w:left w:w="0" w:type="dxa"/>
              <w:bottom w:w="0" w:type="dxa"/>
              <w:right w:w="0" w:type="dxa"/>
            </w:tcMar>
            <w:vAlign w:val="center"/>
          </w:tcPr>
          <w:p>
            <w:pPr>
              <w:pStyle w:val="Normal"/>
              <w:bidi w:val="0"/>
              <w:jc w:val="left"/>
              <w:rPr/>
            </w:pPr>
            <w:r>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Marc Stapley</w:t>
            </w:r>
          </w:p>
        </w:tc>
        <w:tc>
          <w:tcPr>
            <w:tcW w:w="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w:t>
            </w:r>
          </w:p>
        </w:tc>
        <w:tc>
          <w:tcPr>
            <w:tcW w:w="4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487,500 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650,000 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975,000 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Options(4)</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128,869 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23.73 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1,927,416 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RSUs(5)</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78,044 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1,851,984 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PSUs(6)</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58,533 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78,044 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117,066 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1,851,984 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Rebecca Chambers</w:t>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210,375 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280,500 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420,750 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vMerge w:val="continue"/>
            <w:tcBorders/>
            <w:tcMar>
              <w:top w:w="0" w:type="dxa"/>
              <w:left w:w="0" w:type="dxa"/>
              <w:bottom w:w="0" w:type="dxa"/>
              <w:right w:w="0" w:type="dxa"/>
            </w:tcMar>
            <w:vAlign w:val="center"/>
          </w:tcPr>
          <w:p>
            <w:pPr>
              <w:pStyle w:val="Normal"/>
              <w:bidi w:val="0"/>
              <w:jc w:val="left"/>
              <w:rPr/>
            </w:pPr>
            <w:r>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Options(4)</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42,956 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23.73 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642,467 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RSUs(5)</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26,014 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617,312 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PSUs(6)</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19,511 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26,014 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39,021 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617,312 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Phillip Febbo</w:t>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226,875 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302,500 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453,750 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vMerge w:val="continue"/>
            <w:tcBorders/>
            <w:tcMar>
              <w:top w:w="0" w:type="dxa"/>
              <w:left w:w="0" w:type="dxa"/>
              <w:bottom w:w="0" w:type="dxa"/>
              <w:right w:w="0" w:type="dxa"/>
            </w:tcMar>
            <w:vAlign w:val="center"/>
          </w:tcPr>
          <w:p>
            <w:pPr>
              <w:pStyle w:val="Normal"/>
              <w:bidi w:val="0"/>
              <w:jc w:val="left"/>
              <w:rPr/>
            </w:pPr>
            <w:r>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Options(4)</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10/2/2023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85,858 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1,206,047 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RSUs(5)</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10/2/2023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53,182 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1,167,877 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PSUs(6)</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10/2/2023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39,887 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53,182 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79,773 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1,167,877 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John Leite</w:t>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185,625 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247,500 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371,250 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vMerge w:val="continue"/>
            <w:tcBorders/>
            <w:tcMar>
              <w:top w:w="0" w:type="dxa"/>
              <w:left w:w="0" w:type="dxa"/>
              <w:bottom w:w="0" w:type="dxa"/>
              <w:right w:w="0" w:type="dxa"/>
            </w:tcMar>
            <w:vAlign w:val="center"/>
          </w:tcPr>
          <w:p>
            <w:pPr>
              <w:pStyle w:val="Normal"/>
              <w:bidi w:val="0"/>
              <w:jc w:val="left"/>
              <w:rPr/>
            </w:pPr>
            <w:r>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Options(4)</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25,268 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27.80 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377,918 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RSUs(5)</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15,766 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374,127 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PSUs(6)</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9/11/2023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14,351 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19,135 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28,703 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483,924 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Annie McGuire</w:t>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181,500 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242,000 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363,000 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vMerge w:val="continue"/>
            <w:tcBorders/>
            <w:tcMar>
              <w:top w:w="0" w:type="dxa"/>
              <w:left w:w="0" w:type="dxa"/>
              <w:bottom w:w="0" w:type="dxa"/>
              <w:right w:w="0" w:type="dxa"/>
            </w:tcMar>
            <w:vAlign w:val="center"/>
          </w:tcPr>
          <w:p>
            <w:pPr>
              <w:pStyle w:val="Normal"/>
              <w:bidi w:val="0"/>
              <w:jc w:val="left"/>
              <w:rPr/>
            </w:pPr>
            <w:r>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Options(4)</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38,660 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23.73 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578,214 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RSUs(5)</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23,413 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555,590 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PSUs(6)</w:t>
            </w:r>
          </w:p>
        </w:tc>
        <w:tc>
          <w:tcPr>
            <w:tcW w:w="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3/6/2023</w:t>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17,560 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23,413 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35,120 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555,590 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(1) Reflects threshold, target and maximum cash bonus amounts for 2023 performance under our 2023 bonus plan, as described in “—Compensation Discussion and Analysis-2023 Bonus Plan Awards.” These amounts do not necessarily correspond to the actual amounts that were received by our named executive officers.</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(2) Reflects threshold, target and maximum amounts for 2023 PSUs awards, as described in “—Compensation Discussion and Analysis—Equity Compensation.” </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(3) The amounts reported in this column represent the grant date fair value of each award as computed in accordance with ASC 718. Note that the amounts reported in these columns reflect the accounting cost for these awards and do not correspond to the actual economic value that may be received by our named executive officers from the awards. In particular, amounts in this column include the grant date fair value of the 2023 PSUs granted to our named executive officers during the year ended December 31, 2023, as computed in accordance with ASC 718, assuming the probable outcome of related performance conditions, which we have expected to be achieved at 100% of target for each of the 2023 PSUs.</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(4) The stock option vests at a rate of 1/4th of the total number of shares of common stock underlying the stock option on the one-year anniversary of the vesting commencement date, and vests at a rate of 1/48th of the total number of shares of common stock underlying the stock option each month following such one-year anniversary. The stock option is subject to acceleration upon certain events as described in “—Potential Payments upon Termination or Change in Control.”</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(5) The RSUs vest at a rate of 1/4th of the total number of RSUs on the one-year anniversary of the vesting commencement date, and vest at a rate of 1/16th of the total number of RSUs on each quarter thereafter. The RSUs are subject to acceleration upon certain events as described in “—Potential Payments upon Termination or Change in Control.”</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(6) 40% of the total number of PSUs will vest subject to and upon the certification of achievement of the performance metric for the performance period ending December 31, 2024 and 60% of the total number of PSUs will vest subject to and upon the certification of achievement of the performance metric for the performance period ending December 31, 2025 and the continued service of the applicable executive. The PSUs are subject to acceleration upon certain events as described in “—Potential Payments upon Termination or Change in Control.”</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2023 Outstanding Equity Awards at Fiscal Year-End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concerning the outstanding and unexercised stock options, outstanding RSUs and outstanding PSUs that have not vested for each named executive officer as of December 31, 2023.</w:t>
      </w:r>
    </w:p>
    <w:tbl>
      <w:tblPr>
        <w:tblW w:w="10205" w:type="dxa"/>
        <w:jc w:val="center"/>
        <w:tblInd w:w="0" w:type="dxa"/>
        <w:tblLayout w:type="fixed"/>
        <w:tblCellMar>
          <w:top w:w="28" w:type="dxa"/>
          <w:left w:w="28" w:type="dxa"/>
          <w:bottom w:w="28" w:type="dxa"/>
          <w:right w:w="28" w:type="dxa"/>
        </w:tblCellMar>
      </w:tblPr>
      <w:tblGrid>
        <w:gridCol w:w="376"/>
        <w:gridCol w:w="237"/>
        <w:gridCol w:w="206"/>
        <w:gridCol w:w="186"/>
        <w:gridCol w:w="186"/>
        <w:gridCol w:w="187"/>
        <w:gridCol w:w="208"/>
        <w:gridCol w:w="198"/>
        <w:gridCol w:w="198"/>
        <w:gridCol w:w="198"/>
        <w:gridCol w:w="198"/>
        <w:gridCol w:w="202"/>
        <w:gridCol w:w="260"/>
        <w:gridCol w:w="217"/>
        <w:gridCol w:w="214"/>
        <w:gridCol w:w="185"/>
        <w:gridCol w:w="185"/>
        <w:gridCol w:w="186"/>
        <w:gridCol w:w="235"/>
        <w:gridCol w:w="235"/>
        <w:gridCol w:w="236"/>
        <w:gridCol w:w="295"/>
        <w:gridCol w:w="295"/>
        <w:gridCol w:w="296"/>
        <w:gridCol w:w="109"/>
        <w:gridCol w:w="109"/>
        <w:gridCol w:w="109"/>
        <w:gridCol w:w="249"/>
        <w:gridCol w:w="249"/>
        <w:gridCol w:w="250"/>
        <w:gridCol w:w="700"/>
        <w:gridCol w:w="120"/>
        <w:gridCol w:w="120"/>
        <w:gridCol w:w="120"/>
        <w:gridCol w:w="120"/>
        <w:gridCol w:w="120"/>
        <w:gridCol w:w="302"/>
        <w:gridCol w:w="302"/>
        <w:gridCol w:w="303"/>
        <w:gridCol w:w="662"/>
        <w:gridCol w:w="152"/>
        <w:gridCol w:w="152"/>
        <w:gridCol w:w="152"/>
        <w:gridCol w:w="152"/>
        <w:gridCol w:w="234"/>
      </w:tblGrid>
      <w:tr>
        <w:trPr/>
        <w:tc>
          <w:tcPr>
            <w:tcW w:w="3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12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Underlying Unexercised</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Options (#) Exercisable</w:t>
            </w:r>
          </w:p>
        </w:tc>
        <w:tc>
          <w:tcPr>
            <w:tcW w:w="12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Underlying</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Options (#)</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Unexercisable (1)</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Price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Expiration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13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Market Value of Shares or Units of Stock That Have Not Vested ($)(3)</w:t>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Equity Incentive Plan Awards: Number of Unearned Shares or Units of Stock That Have Not Vested </w:t>
              <w:br/>
              <w:t>(#)</w:t>
            </w:r>
          </w:p>
        </w:tc>
        <w:tc>
          <w:tcPr>
            <w:tcW w:w="15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 Awards: Market Value or Payout Value of Unearned Shares or Units of Stock That Have Not Vested ($) (4)</w:t>
            </w:r>
          </w:p>
        </w:tc>
      </w:tr>
      <w:tr>
        <w:trPr/>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 Stapley</w:t>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6/1/2021</w:t>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86,281</w:t>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51,770</w:t>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$36.60</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17,553</w:t>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$482,883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45,073</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57,953</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$26.02</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43,583</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$1,198,968</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18,844</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$518,398</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3/6/2023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128,869</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$23.73</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78,044</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$2,146,990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78,044</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$2,146,990</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Rebecca Chambers</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7/19/2021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40,479</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26,521</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$36.59</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14,875</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$409,211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vMerge w:val="continue"/>
            <w:tcBorders/>
            <w:tcMar>
              <w:top w:w="0" w:type="dxa"/>
              <w:left w:w="0" w:type="dxa"/>
              <w:bottom w:w="0" w:type="dxa"/>
              <w:right w:w="0" w:type="dxa"/>
            </w:tcMar>
            <w:vAlign w:val="center"/>
          </w:tcPr>
          <w:p>
            <w:pPr>
              <w:pStyle w:val="Normal"/>
              <w:bidi w:val="0"/>
              <w:jc w:val="left"/>
              <w:rPr/>
            </w:pPr>
            <w:r>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16,525</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21,248</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$26.02</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15,978</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$439,555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6,909</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$190,067</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16,221</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20,275</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$27.90</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12,486</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$343,490</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3/6/2023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42,956</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$23.73</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26,014</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$715,645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26,014</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$715,645</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Phillip Febbo</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10/2/2023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85,858</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$21.96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53,182</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$1,463,037</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53,182</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$1,463,037</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John Leite</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9/1/2022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13,451</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29,593</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$19.81</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17,669</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$486,074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vMerge w:val="continue"/>
            <w:tcBorders/>
            <w:tcMar>
              <w:top w:w="0" w:type="dxa"/>
              <w:left w:w="0" w:type="dxa"/>
              <w:bottom w:w="0" w:type="dxa"/>
              <w:right w:w="0" w:type="dxa"/>
            </w:tcMar>
            <w:vAlign w:val="center"/>
          </w:tcPr>
          <w:p>
            <w:pPr>
              <w:pStyle w:val="Normal"/>
              <w:bidi w:val="0"/>
              <w:jc w:val="left"/>
              <w:rPr/>
            </w:pPr>
            <w:r>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3/6/2023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25,268</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$23.73</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15,766</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$433,723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9/11/2023</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19,135</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$526,404</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Annie McGuire</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2/28/2022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19,329</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22,846</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$27.80</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12,857</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$353,696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819" w:type="dxa"/>
            <w:gridSpan w:val="3"/>
            <w:vMerge w:val="continue"/>
            <w:tcBorders/>
            <w:tcMar>
              <w:top w:w="0" w:type="dxa"/>
              <w:left w:w="0" w:type="dxa"/>
              <w:bottom w:w="0" w:type="dxa"/>
              <w:right w:w="0" w:type="dxa"/>
            </w:tcMar>
            <w:vAlign w:val="center"/>
          </w:tcPr>
          <w:p>
            <w:pPr>
              <w:pStyle w:val="Normal"/>
              <w:bidi w:val="0"/>
              <w:jc w:val="left"/>
              <w:rPr/>
            </w:pPr>
            <w:r>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8,110</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10,138</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$27.90</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6,243</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$171,745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3/6/2023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38,660</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$23.73</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23,413</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$644,092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23,413</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$644,092</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Except as otherwise noted, options become exercisable as to 25% of the shares on the first anniversary of the vesting commencement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“—Potential Payments upon Termination or Change in Control”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stock option vests at a rate of 1/3rd of the total number of shares of common stock underlying the stock option on the one-year anniversary of the vesting commencement date, and vests at a rate of 1/36th of the total number of shares of common stock underlying the stock option each month following such one-year anniversary. The stock option is subject to acceleration upon certain events as described in “—Potential Payments upon Termination or Change in Control”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Based on a price of $27.51 per share, which was the closing price per share of our common stock as reported by The Nasdaq Global Market on December 29, 2023. Except as otherwise noted, RSUs vest and settle as to 25% of the units on the first anniversary of the vesting commencement date, and the remaining RSUs vest and settle at a rate of 1/16th of the total number of shares subject to the units each quarter thereafter. The RSUs are subject to acceleration upon certain specified events; for more information, see “—Potential Payments upon Termination or Change in Control”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Based on a price of $27.51 per share, which was the closing price per share of our common stock as reported by The Nasdaq Global Market on December 29, 2023 and assuming the PSU awards' performance conditions are achieved at 100% of target. The PSUs are subject to acceleration upon certain specified events; for more information, see “—Potential Payments upon Termination or Change in Control”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For the 2022 PSUs, 1/3 of the total number of PSUs were eligible to be earned and vest subject to and upon certification of achievement of the performance metric for the performance period ending December 31, 2023 (the "2023 Tranche") and 2/3 of the total number of PSUs will vest subject to and upon the certification of achievement of the performance metric for the performance period ending December 31, 2024 and the continued service of the applicable executive. The 2022 PSUs vest between 75% and 125% of the total grant based on the achievement of the performance metrics. If the 2022 PSUs were instead valued based on the maximum outcome of the applicable performance condition (i.e., based on maximum level performance), the total amount for the 2022 PSU awards reported in this column as of December 31, 2023 would increase as follows: Mr. Stapley from $777,653 to $972,066 and Ms. Chambers from $285,114 to $356,392. The 2023 Tranche was earned at maximum achievement and the resulting PSUs are included under the column titled “Number of Shares or Units of Stock That Have Not Vested”; they vested in March 2024. The performance period for the 2024 Tranche has not yet concluded its PSU are included under the column titled “Equity Incentive Plan Awards: Number of Unearned Shares or Units of Stock That Have Not Vested.”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81"/>
        <w:gridCol w:w="2850"/>
        <w:gridCol w:w="40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40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For the 2023 PSUs, 40% of the total number of PSUs will vest subject to and upon certification of achievement of the performance metric for the performance period ending December 31, 2024 and 60% of the total number of PSUs will vest subject to and upon the certification of achievement of the performance metric for the performance period ending December 31, 2025 and the continued service of the applicable executive. The 2023 PSUs vest between 75% and 150% of the total grant based on the achievement of the performance metrics. If the 2023 PSUs were instead valued based on the maximum outcome of the applicable performance condition (i.e., based on maximum level performance), the total amount for the 2023 PSU awards reported in this column as of December 31, 2023 would increase as follows: Mr. Stapley from $2,146,990 to $3,220,486, Ms. Chambers from $715,645 to $1,073,468, Dr. Febbo from $1,463,037 to $2,194,555, Dr. Leite from $526,404 to $789,606; and Ms. McGuire from $644,092 to $966,137.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RSUs vest at a rate of 1/3rd of the total number of RSUs on the one-year anniversary of the vesting commencement date, and vest at a rate of 1/12th of the total number of RSUs on each quarter thereafter. The RSUs are subject to acceleration upon certain events as described in “—Potential Payments upon Termination or Change in Control”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 Exercises and Stock Vested Table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each of our named executive officers, the number of shares of our common stock acquired upon the exercise of stock options or vesting and settlement of RSUs and PSUs during 2023 and the aggregate value realized upon the exercise of stock options and the vesting and settlement of RSUs and PSUs.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80"/>
        <w:gridCol w:w="387"/>
        <w:gridCol w:w="375"/>
        <w:gridCol w:w="783"/>
        <w:gridCol w:w="783"/>
        <w:gridCol w:w="786"/>
        <w:gridCol w:w="631"/>
        <w:gridCol w:w="631"/>
        <w:gridCol w:w="641"/>
        <w:gridCol w:w="109"/>
        <w:gridCol w:w="109"/>
        <w:gridCol w:w="109"/>
        <w:gridCol w:w="819"/>
        <w:gridCol w:w="770"/>
        <w:gridCol w:w="773"/>
        <w:gridCol w:w="661"/>
        <w:gridCol w:w="558"/>
        <w:gridCol w:w="800"/>
      </w:tblGrid>
      <w:tr>
        <w:trPr/>
        <w:tc>
          <w:tcPr>
            <w:tcW w:w="4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2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Acquired on Exercise (#)</w:t>
            </w:r>
          </w:p>
        </w:tc>
        <w:tc>
          <w:tcPr>
            <w:tcW w:w="1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Realized on Exercise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Acquired on Vesting (#)</w:t>
            </w:r>
          </w:p>
        </w:tc>
        <w:tc>
          <w:tcPr>
            <w:tcW w:w="2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Realized on Vesting ($) (2)</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 Stapley</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36,436 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927,584 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Rebecca Chambers</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26,486 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687,414 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Phillip Febbo</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John Leite</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8,030 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214,144 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Annie McGuire</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14,457 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370,806 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value realized on exercise is calculated as the difference between the fair market value of our common stock on the date of exercise and the applicable exercise price of those options.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value realized upon the vesting and settlement of an RSU or PSU is based on the closing price on the Nasdaq Global Market of a share of common stock on the date prior to the day of vesting.</w:t>
            </w:r>
          </w:p>
        </w:tc>
      </w:tr>
    </w:tbl>
    <w:p>
      <w:pPr>
        <w:pStyle w:val="TextBody"/>
        <w:bidi w:val="0"/>
        <w:spacing w:before="0" w:after="0"/>
        <w:ind w:left="0" w:right="0" w:firstLine="72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Employment or Letter Agreements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Marc Stapley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employment agreement with Mr. Stapley, our Chief Executive Officer, on May 7, 2021. The agreement provides for base salary, subject to periodic review. Under the employment agreement, Mr. Stapley is also eligible to earn a bonus based on criteria and terms and conditions as may be established by our Board of Directors as well as a grant of restricted stock, stock options and performance-based stock units. We have also entered into a change of control and severance agreement with Mr. Stapley that provides for certain payments and benefits upon a qualifying termination of employment. See “—Potential Payments upon Termination or Change in Control” below for more information. </w:t>
      </w:r>
    </w:p>
    <w:p>
      <w:pPr>
        <w:pStyle w:val="TextBody"/>
        <w:bidi w:val="0"/>
        <w:spacing w:before="0" w:after="0"/>
        <w:ind w:left="0" w:right="0" w:firstLine="72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Rebecca Chambers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amended and restated offer letter with Ms. Chambers, our Chief Financial Officer, on August 15, 2021. The letter provides for base salary, subject to periodic review. Under the employment agreement, Ms. Chambers is also eligible to earn a bonus based on criteria and terms and conditions as may be established by our Board of Directors, as well as a grant of restricted stock units, stock options and performance-based stock units. We have also entered into a change of control and severance agreement with Ms. Chambers that provides for certain payments and benefits upon a qualifying termination of employment. See “—Potential Payments upon Termination or Change in Control” below for more information.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Phillip Febbo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offer letter with Dr. Febbo, our Chief Scientific Officer and Chief Medical, on September 11, 2023. The letter provides for base salary, subject to periodic review. Pursuant to the offer letter, Dr. Febbo is eligible for a bonus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criteria and terms and conditions as may be established by our Board of Directors, as well as equity grants subject to approval by our Board of Directors. We have also entered into a change of control and severance agreement with Dr. Febbo that provides for certain payments and benefits upon a qualifying termination of employment. See “—Potential Payments upon Termination or Change in Control” below for more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John Leite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 promotion letter with Dr. Leite, our Chief Commercial Officer, CLIA, on August 22, 2023. The letter provides for base salary, subject to periodic review. Dr. Leite is also eligible for an increased target bonus based on criteria and terms and conditions as may be established by our Board of Directors. The promotion letter also provided a grant of 2023 PSUs under the same terms and performance as the PSUs granted to existing executive officers. We have also entered into a change of control and severance agreement with Dr. Leite that provides for certain payments and benefits upon a qualifying termination of employment. See “—Potential Payments upon Termination or Change in Control” below for more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Annie McGuire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an offer letter with Ms. McGuire, our General Counsel and Chief People Officer, on January 9, 2023. The letter provides for base salary, subject to periodic review. Pursuant to the offer letter, Ms. McGuire is also eligible to earn a bonus based on criteria and terms and conditions as may be established by our Board of Directors, as well as equity grants subject to approval by our Board of Directors. We have also entered into a change of control and severance agreement with Ms. McGuire that provides for certain payments and benefits upon a qualifying termination of employment. See “—Potential Payments upon Termination or Change in Control” below for more information.</w:t>
      </w:r>
    </w:p>
    <w:p>
      <w:pPr>
        <w:pStyle w:val="TextBody"/>
        <w:bidi w:val="0"/>
        <w:spacing w:before="0" w:after="0"/>
        <w:ind w:left="0" w:right="0" w:firstLine="720"/>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Potential Payments upon Termination or Change in Control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change of control and severance agreements with each of our named executive officers.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agreements has an initial term of four years, which term automatically renews for additional one</w:t>
        <w:noBreakHyphen/>
        <w:t>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pStyle w:val="TextBody"/>
        <w:bidi w:val="0"/>
        <w:spacing w:lineRule="auto" w:line="288" w:before="240" w:after="283"/>
        <w:jc w:val="both"/>
        <w:rPr/>
      </w:pPr>
      <w:r>
        <w:rPr>
          <w:rFonts w:ascii="Times New Roman;sans-serif" w:hAnsi="Times New Roman;sans-serif"/>
          <w:b/>
          <w:i/>
          <w:color w:val="000000"/>
          <w:sz w:val="20"/>
        </w:rPr>
        <w:t>Outside of a Change in Control</w:t>
      </w:r>
      <w:r>
        <w:rPr>
          <w:color w:val="000000"/>
        </w:rPr>
        <w:t>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each of the agreements, if the named executive officer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Stapley: (i) 12 months of salary continuation from the termination date, (ii) a lump sum payment equal to his prorated annual bonus for the applicable performance period based on actual corporate performance and (iii) up to 12 months continuation coverage under the Consolidated Omnibus Budget Reconciliation Act of 1985, as amended (“COBRA”).</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Ms. Chambers, Dr. Febbo, Dr. Leite, and Ms. McGuire: (i) 6 months of salary continuation from the termination date and (ii) up to 6 months continuation coverage under COBRA.</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event that Dr. Febbo is terminated by us without “cause”, or terminates his employment for “good reason” during the first year of Dr. Febbo’s employment with us (and outside the change of control period), then in addition to the severance set forth above, the time-based stock option and time-based RSUs that he received in connection with the commencement of his employment in October 2023 shall vest as to (i) for the new hire RSU, the number of shares subject thereto that would have become vested on December 2, 2024 and (ii) for the new hire option, the number of shares subject thereto that would have become vested on the initial one-year cliff. The Compensation Committee determined that this additional acceleration benefit was reasonable and necessary to induce Dr. Febbo to accept employment with us.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During Change in Control Period</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each of these agreements, if the named executive officer is terminated by us without cause, or terminates his or her employment for good reason each during the change of control period, he or she is entitled to the following benefits: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Stapley: (i) a lump sum severance payment equal to 24 months of salary, (ii) a lump sum payment equal to 200% of the highest of his (A) annual target bonus for the year in which the change of control occurs, (B) annual target bonus for the year in which the termination occurs, or (C) actual bonus for the year prior to the year in which the termination occurs, (iii)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vesting equal to 100% of any outstanding equity awards (and with respect to equity awards subject to performance, assuming “target” level performance, unless provided otherwise in the applicable PSU agreement) and (iv) up to 24 months continuation coverage under COBRA.</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Ms. Chambers, Dr. Febbo, Dr. Leite, and Ms. McGuire: (i) a lump sum severance payment equal to 18 months of salary from the termination date, (ii) a lump sum payment equal to 150%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 unless provided otherwise in the applicable PSU agreement) and (iv) up to 18 months continuation coverage under COBRA.</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a change in control of the Company, the named executive officer may be subject to a reduction in compensation as a result of excise tax calculations under the best net after-tax severance approach pursuant to Section 4999 of the Code.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receipt of the above-described benefits is subject to the named executive officer executing a release of certain claims against us.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potential payments and benefits our NEOs would be entitled to upon termination of employment or a Change in Control ("CIC") under each situation listed below. The potential payments assume that the termination and/or termination resulting from a CIC occurred on December 31, 2023 and, where applicable, use the closing price of our Common Stock of $27.51 on December 29, 2023, the final trading day of the year. The table is merely an illustrative example of the impact of a hypothetical termination of employment or change in control and qualifying termination. The amounts that would actually be paid upon a termination of employment can only be determined at the time of such termination, based on the facts and circumstances then prevailing. The receipt of the above-described benefits is subject to the named executive officer executing a release of certain claims against us.</w:t>
      </w:r>
    </w:p>
    <w:tbl>
      <w:tblPr>
        <w:tblW w:w="10205" w:type="dxa"/>
        <w:jc w:val="center"/>
        <w:tblInd w:w="0" w:type="dxa"/>
        <w:tblLayout w:type="fixed"/>
        <w:tblCellMar>
          <w:top w:w="28" w:type="dxa"/>
          <w:left w:w="28" w:type="dxa"/>
          <w:bottom w:w="28" w:type="dxa"/>
          <w:right w:w="28" w:type="dxa"/>
        </w:tblCellMar>
      </w:tblPr>
      <w:tblGrid>
        <w:gridCol w:w="379"/>
        <w:gridCol w:w="241"/>
        <w:gridCol w:w="212"/>
        <w:gridCol w:w="553"/>
        <w:gridCol w:w="359"/>
        <w:gridCol w:w="201"/>
        <w:gridCol w:w="401"/>
        <w:gridCol w:w="401"/>
        <w:gridCol w:w="402"/>
        <w:gridCol w:w="443"/>
        <w:gridCol w:w="380"/>
        <w:gridCol w:w="337"/>
        <w:gridCol w:w="642"/>
        <w:gridCol w:w="258"/>
        <w:gridCol w:w="126"/>
        <w:gridCol w:w="580"/>
        <w:gridCol w:w="332"/>
        <w:gridCol w:w="255"/>
        <w:gridCol w:w="401"/>
        <w:gridCol w:w="401"/>
        <w:gridCol w:w="402"/>
        <w:gridCol w:w="588"/>
        <w:gridCol w:w="365"/>
        <w:gridCol w:w="366"/>
        <w:gridCol w:w="709"/>
        <w:gridCol w:w="281"/>
        <w:gridCol w:w="190"/>
      </w:tblGrid>
      <w:tr>
        <w:trPr/>
        <w:tc>
          <w:tcPr>
            <w:tcW w:w="3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Upon Qualifying Termination - No Change in Control</w:t>
            </w:r>
          </w:p>
        </w:tc>
        <w:tc>
          <w:tcPr>
            <w:tcW w:w="4870"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Upon Qualifying Termination - Change in Control</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11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Severance ($)(1)</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Continuation of Medical Benefits ($)</w:t>
            </w:r>
          </w:p>
        </w:tc>
        <w:tc>
          <w:tcPr>
            <w:tcW w:w="1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Accelerated Vesting ($)(2)</w:t>
            </w:r>
          </w:p>
        </w:tc>
        <w:tc>
          <w:tcPr>
            <w:tcW w:w="10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c>
          <w:tcPr>
            <w:tcW w:w="11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Severance ($)(1)</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Continuation of Medical Benefits ($)</w:t>
            </w:r>
          </w:p>
        </w:tc>
        <w:tc>
          <w:tcPr>
            <w:tcW w:w="1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Accelerated Vesting ($)(2)</w:t>
            </w:r>
          </w:p>
        </w:tc>
        <w:tc>
          <w:tcPr>
            <w:tcW w:w="11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 Stapley</w:t>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1,550,250 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38,969 </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1,589,219 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2,600,000 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77,938 </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7,432,130 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10,110,068 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Rebecca Chambers</w:t>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19,484 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274,484 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1,223,865 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58,453 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3,233,338 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4,515,656 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Phillip Febbo</w:t>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484,871 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759,871 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1,278,750 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3,402,586 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4,681,336 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John Leite</w:t>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19,484 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244,484 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1,046,250 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58,453 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1,769,580 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2,874,283 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Annie McGuire</w:t>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19,484 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239,484 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1,023,000 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58,453 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1,959,759 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3,041,212 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373"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cash severance amount related to base salary was determined based on the base salaries in effect on December 31, 2023. The cash severance amount related to annual cash bonus was determined based on the 2023 target bonus and for Ms. Chambers, based on the 2022 earned bonus.</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373"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value of accelerated vesting is calculated based on the per share closing price of our common stock on The Nasdaq Stock Market as of December 29, 2023, the final trading day of the year ($27.51) less, if applicable, the exercise price of each outstanding stock option. In addition, the value of the accelerated vesting of any outstanding PSUs for which the performance period has not yet ended is based upon “at target” achievement.</w:t>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 did not consider the pay versus performance disclosure below in making its pay decisions for any of the years shown.</w:t>
      </w:r>
    </w:p>
    <w:tbl>
      <w:tblPr>
        <w:tblW w:w="10205" w:type="dxa"/>
        <w:jc w:val="left"/>
        <w:tblInd w:w="0" w:type="dxa"/>
        <w:tblLayout w:type="fixed"/>
        <w:tblCellMar>
          <w:top w:w="28" w:type="dxa"/>
          <w:left w:w="28" w:type="dxa"/>
          <w:bottom w:w="28" w:type="dxa"/>
          <w:right w:w="28" w:type="dxa"/>
        </w:tblCellMar>
      </w:tblPr>
      <w:tblGrid>
        <w:gridCol w:w="173"/>
        <w:gridCol w:w="152"/>
        <w:gridCol w:w="156"/>
        <w:gridCol w:w="373"/>
        <w:gridCol w:w="373"/>
        <w:gridCol w:w="374"/>
        <w:gridCol w:w="373"/>
        <w:gridCol w:w="373"/>
        <w:gridCol w:w="374"/>
        <w:gridCol w:w="371"/>
        <w:gridCol w:w="371"/>
        <w:gridCol w:w="372"/>
        <w:gridCol w:w="372"/>
        <w:gridCol w:w="372"/>
        <w:gridCol w:w="373"/>
        <w:gridCol w:w="376"/>
        <w:gridCol w:w="376"/>
        <w:gridCol w:w="377"/>
        <w:gridCol w:w="374"/>
        <w:gridCol w:w="374"/>
        <w:gridCol w:w="375"/>
        <w:gridCol w:w="313"/>
        <w:gridCol w:w="148"/>
        <w:gridCol w:w="148"/>
        <w:gridCol w:w="312"/>
        <w:gridCol w:w="148"/>
        <w:gridCol w:w="149"/>
        <w:gridCol w:w="287"/>
        <w:gridCol w:w="287"/>
        <w:gridCol w:w="288"/>
        <w:gridCol w:w="264"/>
        <w:gridCol w:w="264"/>
        <w:gridCol w:w="39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w:t>
            </w:r>
          </w:p>
        </w:tc>
        <w:tc>
          <w:tcPr>
            <w:tcW w:w="112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Summary Compensation Table Total for Marc Stapley¹</w:t>
              <w:br/>
              <w:t>($)</w:t>
            </w:r>
          </w:p>
        </w:tc>
        <w:tc>
          <w:tcPr>
            <w:tcW w:w="112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Summary Compensation Table Total for Bonnie Anderson¹</w:t>
              <w:br/>
              <w:t>($)</w:t>
            </w:r>
          </w:p>
        </w:tc>
        <w:tc>
          <w:tcPr>
            <w:tcW w:w="111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Compensation Actually Paid to Marc Stapley</w:t>
            </w:r>
            <w:r>
              <w:rPr>
                <w:rFonts w:ascii="Times New Roman;sans-serif" w:hAnsi="Times New Roman;sans-serif"/>
                <w:b w:val="false"/>
                <w:color w:val="000000"/>
                <w:sz w:val="10"/>
              </w:rPr>
              <w:t>1,2,3</w:t>
            </w:r>
          </w:p>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Compensation Actually Paid to Bonnie Anderson</w:t>
            </w:r>
            <w:r>
              <w:rPr>
                <w:rFonts w:ascii="Times New Roman;sans-serif" w:hAnsi="Times New Roman;sans-serif"/>
                <w:b w:val="false"/>
                <w:color w:val="000000"/>
                <w:sz w:val="10"/>
              </w:rPr>
              <w:t>1,2,3</w:t>
            </w:r>
          </w:p>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9"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Average Summary Compensation Table Total for Non-PEO NEOs</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t>
            </w:r>
          </w:p>
        </w:tc>
        <w:tc>
          <w:tcPr>
            <w:tcW w:w="112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Average Compensation Actually Paid to Non-PEO NEOs</w:t>
            </w:r>
            <w:r>
              <w:rPr>
                <w:rFonts w:ascii="Times New Roman;sans-serif" w:hAnsi="Times New Roman;sans-serif"/>
                <w:b w:val="false"/>
                <w:color w:val="000000"/>
                <w:sz w:val="10"/>
              </w:rPr>
              <w:t>1,2,3</w:t>
            </w:r>
            <w:r>
              <w:rPr>
                <w:color w:val="000000"/>
              </w:rPr>
              <w:t xml:space="preserve"> </w:t>
            </w:r>
            <w:r>
              <w:rPr>
                <w:rFonts w:ascii="Times New Roman;sans-serif" w:hAnsi="Times New Roman;sans-serif"/>
                <w:b w:val="false"/>
                <w:color w:val="000000"/>
                <w:sz w:val="16"/>
              </w:rPr>
              <w:t>($)</w:t>
            </w:r>
          </w:p>
        </w:tc>
        <w:tc>
          <w:tcPr>
            <w:tcW w:w="12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Value of Initial Fixed $100 Investment based on:</w:t>
            </w:r>
            <w:r>
              <w:rPr>
                <w:rFonts w:ascii="Times New Roman;sans-serif" w:hAnsi="Times New Roman;sans-serif"/>
                <w:b w:val="false"/>
                <w:color w:val="000000"/>
                <w:sz w:val="10"/>
              </w:rPr>
              <w:t>4</w:t>
            </w:r>
          </w:p>
        </w:tc>
        <w:tc>
          <w:tcPr>
            <w:tcW w:w="86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Income ($ millions)</w:t>
            </w:r>
          </w:p>
        </w:tc>
        <w:tc>
          <w:tcPr>
            <w:tcW w:w="92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 </w:t>
              <w:br/>
              <w:t>($ millions)</w:t>
              <w:br/>
              <w:t>⁵</w:t>
            </w:r>
          </w:p>
        </w:tc>
      </w:tr>
      <w:tr>
        <w:trPr/>
        <w:tc>
          <w:tcPr>
            <w:tcW w:w="48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2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11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1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29"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2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6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TSR ($)</w:t>
            </w:r>
          </w:p>
        </w:tc>
        <w:tc>
          <w:tcPr>
            <w:tcW w:w="6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Peer Group TSR ($)</w:t>
            </w:r>
          </w:p>
        </w:tc>
        <w:tc>
          <w:tcPr>
            <w:tcW w:w="86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92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11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7,184,634</w:t>
            </w:r>
          </w:p>
        </w:tc>
        <w:tc>
          <w:tcPr>
            <w:tcW w:w="11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9,559,060</w:t>
            </w:r>
          </w:p>
        </w:tc>
        <w:tc>
          <w:tcPr>
            <w:tcW w:w="11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2,742,803</w:t>
            </w:r>
          </w:p>
        </w:tc>
        <w:tc>
          <w:tcPr>
            <w:tcW w:w="11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3,440,029</w:t>
            </w:r>
          </w:p>
        </w:tc>
        <w:tc>
          <w:tcPr>
            <w:tcW w:w="6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98.53</w:t>
            </w:r>
          </w:p>
        </w:tc>
        <w:tc>
          <w:tcPr>
            <w:tcW w:w="6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118.87</w:t>
            </w:r>
          </w:p>
        </w:tc>
        <w:tc>
          <w:tcPr>
            <w:tcW w:w="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9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361.1</w:t>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1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4,935,422</w:t>
            </w:r>
          </w:p>
        </w:tc>
        <w:tc>
          <w:tcPr>
            <w:tcW w:w="11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1,622,674</w:t>
            </w:r>
          </w:p>
        </w:tc>
        <w:tc>
          <w:tcPr>
            <w:tcW w:w="11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3,725,476</w:t>
            </w:r>
          </w:p>
        </w:tc>
        <w:tc>
          <w:tcPr>
            <w:tcW w:w="11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1,450,011</w:t>
            </w:r>
          </w:p>
        </w:tc>
        <w:tc>
          <w:tcPr>
            <w:tcW w:w="6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84.99</w:t>
            </w:r>
          </w:p>
        </w:tc>
        <w:tc>
          <w:tcPr>
            <w:tcW w:w="6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113.65</w:t>
            </w:r>
          </w:p>
        </w:tc>
        <w:tc>
          <w:tcPr>
            <w:tcW w:w="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9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296.5</w:t>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1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5,741,940</w:t>
            </w:r>
          </w:p>
        </w:tc>
        <w:tc>
          <w:tcPr>
            <w:tcW w:w="11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4,518,093</w:t>
            </w:r>
          </w:p>
        </w:tc>
        <w:tc>
          <w:tcPr>
            <w:tcW w:w="11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5,700,065</w:t>
            </w:r>
          </w:p>
        </w:tc>
        <w:tc>
          <w:tcPr>
            <w:tcW w:w="11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2,876,781</w:t>
            </w:r>
          </w:p>
        </w:tc>
        <w:tc>
          <w:tcPr>
            <w:tcW w:w="11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2,235,504</w:t>
            </w:r>
          </w:p>
        </w:tc>
        <w:tc>
          <w:tcPr>
            <w:tcW w:w="11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(434,017)</w:t>
            </w:r>
          </w:p>
        </w:tc>
        <w:tc>
          <w:tcPr>
            <w:tcW w:w="6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147.56</w:t>
            </w:r>
          </w:p>
        </w:tc>
        <w:tc>
          <w:tcPr>
            <w:tcW w:w="6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126.45</w:t>
            </w:r>
          </w:p>
        </w:tc>
        <w:tc>
          <w:tcPr>
            <w:tcW w:w="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(75.6)</w:t>
            </w:r>
          </w:p>
        </w:tc>
        <w:tc>
          <w:tcPr>
            <w:tcW w:w="9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219.5</w:t>
            </w:r>
          </w:p>
        </w:tc>
      </w:tr>
      <w:tr>
        <w:trPr/>
        <w:tc>
          <w:tcPr>
            <w:tcW w:w="4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11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1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4,571,345</w:t>
            </w:r>
          </w:p>
        </w:tc>
        <w:tc>
          <w:tcPr>
            <w:tcW w:w="11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15,466,734</w:t>
            </w:r>
          </w:p>
        </w:tc>
        <w:tc>
          <w:tcPr>
            <w:tcW w:w="11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2,200,189</w:t>
            </w:r>
          </w:p>
        </w:tc>
        <w:tc>
          <w:tcPr>
            <w:tcW w:w="11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5,837,075</w:t>
            </w:r>
          </w:p>
        </w:tc>
        <w:tc>
          <w:tcPr>
            <w:tcW w:w="6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175.29</w:t>
            </w:r>
          </w:p>
        </w:tc>
        <w:tc>
          <w:tcPr>
            <w:tcW w:w="6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126.42</w:t>
            </w:r>
          </w:p>
        </w:tc>
        <w:tc>
          <w:tcPr>
            <w:tcW w:w="8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(34.9)</w:t>
            </w:r>
          </w:p>
        </w:tc>
        <w:tc>
          <w:tcPr>
            <w:tcW w:w="92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117.5</w:t>
            </w:r>
          </w:p>
        </w:tc>
      </w:tr>
    </w:tbl>
    <w:p>
      <w:pPr>
        <w:pStyle w:val="TextBody"/>
        <w:bidi w:val="0"/>
        <w:spacing w:before="0" w:after="0"/>
        <w:jc w:val="left"/>
        <w:rPr/>
      </w:pPr>
      <w:r>
        <w:rPr/>
      </w:r>
    </w:p>
    <w:p>
      <w:pPr>
        <w:pStyle w:val="TextBody"/>
        <w:bidi w:val="0"/>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    Bonnie Anderson was our PEO until June 2021. Marc Stapley was our PEO from June 2021 to present. The individuals comprising the Non-PEO NEOs for each year presented are listed below.</w:t>
      </w:r>
    </w:p>
    <w:tbl>
      <w:tblPr>
        <w:tblW w:w="6522" w:type="dxa"/>
        <w:jc w:val="center"/>
        <w:tblInd w:w="0" w:type="dxa"/>
        <w:tblLayout w:type="fixed"/>
        <w:tblCellMar>
          <w:top w:w="28" w:type="dxa"/>
          <w:left w:w="28" w:type="dxa"/>
          <w:bottom w:w="28" w:type="dxa"/>
          <w:right w:w="28" w:type="dxa"/>
        </w:tblCellMar>
      </w:tblPr>
      <w:tblGrid>
        <w:gridCol w:w="554"/>
        <w:gridCol w:w="486"/>
        <w:gridCol w:w="489"/>
        <w:gridCol w:w="548"/>
        <w:gridCol w:w="548"/>
        <w:gridCol w:w="554"/>
        <w:gridCol w:w="547"/>
        <w:gridCol w:w="547"/>
        <w:gridCol w:w="555"/>
        <w:gridCol w:w="495"/>
        <w:gridCol w:w="495"/>
        <w:gridCol w:w="70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6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6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Kennedy</w:t>
            </w:r>
          </w:p>
        </w:tc>
        <w:tc>
          <w:tcPr>
            <w:tcW w:w="1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Kennedy</w:t>
            </w:r>
          </w:p>
        </w:tc>
        <w:tc>
          <w:tcPr>
            <w:tcW w:w="16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Giulia Kennedy</w:t>
            </w:r>
          </w:p>
        </w:tc>
        <w:tc>
          <w:tcPr>
            <w:tcW w:w="16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152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Giulia Kennedy</w:t>
            </w:r>
          </w:p>
        </w:tc>
        <w:tc>
          <w:tcPr>
            <w:tcW w:w="165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Giulia Kennedy</w:t>
            </w:r>
          </w:p>
        </w:tc>
        <w:tc>
          <w:tcPr>
            <w:tcW w:w="164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169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Phillip Febbo</w:t>
            </w:r>
          </w:p>
        </w:tc>
      </w:tr>
      <w:tr>
        <w:trPr/>
        <w:tc>
          <w:tcPr>
            <w:tcW w:w="152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Hanna</w:t>
            </w:r>
          </w:p>
        </w:tc>
        <w:tc>
          <w:tcPr>
            <w:tcW w:w="165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Erlinger III</w:t>
            </w:r>
          </w:p>
        </w:tc>
        <w:tc>
          <w:tcPr>
            <w:tcW w:w="164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Tina Nova</w:t>
            </w:r>
          </w:p>
        </w:tc>
        <w:tc>
          <w:tcPr>
            <w:tcW w:w="169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Leite</w:t>
            </w:r>
          </w:p>
        </w:tc>
      </w:tr>
      <w:tr>
        <w:trPr/>
        <w:tc>
          <w:tcPr>
            <w:tcW w:w="152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Erlinger III</w:t>
            </w:r>
          </w:p>
        </w:tc>
        <w:tc>
          <w:tcPr>
            <w:tcW w:w="165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Beverly Jane Alley</w:t>
            </w:r>
          </w:p>
        </w:tc>
        <w:tc>
          <w:tcPr>
            <w:tcW w:w="164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Annie McGuire</w:t>
            </w:r>
          </w:p>
        </w:tc>
        <w:tc>
          <w:tcPr>
            <w:tcW w:w="169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Annie McGuire</w:t>
            </w:r>
          </w:p>
        </w:tc>
      </w:tr>
      <w:tr>
        <w:trPr/>
        <w:tc>
          <w:tcPr>
            <w:tcW w:w="1529"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1649"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bidi w:val="0"/>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tbl>
      <w:tblPr>
        <w:tblW w:w="10205" w:type="dxa"/>
        <w:jc w:val="left"/>
        <w:tblInd w:w="0" w:type="dxa"/>
        <w:tblLayout w:type="fixed"/>
        <w:tblCellMar>
          <w:top w:w="28" w:type="dxa"/>
          <w:left w:w="28" w:type="dxa"/>
          <w:bottom w:w="28" w:type="dxa"/>
          <w:right w:w="28" w:type="dxa"/>
        </w:tblCellMar>
      </w:tblPr>
      <w:tblGrid>
        <w:gridCol w:w="195"/>
        <w:gridCol w:w="172"/>
        <w:gridCol w:w="174"/>
        <w:gridCol w:w="857"/>
        <w:gridCol w:w="857"/>
        <w:gridCol w:w="859"/>
        <w:gridCol w:w="919"/>
        <w:gridCol w:w="881"/>
        <w:gridCol w:w="884"/>
        <w:gridCol w:w="706"/>
        <w:gridCol w:w="668"/>
        <w:gridCol w:w="671"/>
        <w:gridCol w:w="689"/>
        <w:gridCol w:w="689"/>
        <w:gridCol w:w="98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25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Summary Compensation Table Total for Marc Stapley ($)</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Exclusion of Stock Awards and Option Awards for Marc Stapley ($)</w:t>
            </w:r>
          </w:p>
        </w:tc>
        <w:tc>
          <w:tcPr>
            <w:tcW w:w="2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Inclusion of Equity Values for Marc Stapley ($)</w:t>
            </w:r>
          </w:p>
        </w:tc>
        <w:tc>
          <w:tcPr>
            <w:tcW w:w="2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 to Marc Stapley ($)</w:t>
            </w:r>
          </w:p>
        </w:tc>
      </w:tr>
      <w:tr>
        <w:trPr/>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5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7,184,634</w:t>
            </w:r>
          </w:p>
        </w:tc>
        <w:tc>
          <w:tcPr>
            <w:tcW w:w="26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(5,631,384)</w:t>
            </w:r>
          </w:p>
        </w:tc>
        <w:tc>
          <w:tcPr>
            <w:tcW w:w="20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8,005,810</w:t>
            </w:r>
          </w:p>
        </w:tc>
        <w:tc>
          <w:tcPr>
            <w:tcW w:w="23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9,559,060</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856"/>
        <w:gridCol w:w="856"/>
        <w:gridCol w:w="859"/>
        <w:gridCol w:w="893"/>
        <w:gridCol w:w="851"/>
        <w:gridCol w:w="853"/>
        <w:gridCol w:w="721"/>
        <w:gridCol w:w="678"/>
        <w:gridCol w:w="681"/>
        <w:gridCol w:w="705"/>
        <w:gridCol w:w="705"/>
        <w:gridCol w:w="1006"/>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2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Summary Compensation Table Total for Non-PEO NEOs ($)</w:t>
            </w:r>
          </w:p>
        </w:tc>
        <w:tc>
          <w:tcPr>
            <w:tcW w:w="25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Exclusion of Stock Awards and Option Awards for Non-PEO NEOs ($)</w:t>
            </w:r>
          </w:p>
        </w:tc>
        <w:tc>
          <w:tcPr>
            <w:tcW w:w="20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Inclusion of Equity Values for Non-PEO NEOs ($)</w:t>
            </w:r>
          </w:p>
        </w:tc>
        <w:tc>
          <w:tcPr>
            <w:tcW w:w="24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Compensation Actually Paid to Non-PEO NEOs ($)</w:t>
            </w:r>
          </w:p>
        </w:tc>
      </w:tr>
      <w:tr>
        <w:trPr/>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5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2,742,803</w:t>
            </w:r>
          </w:p>
        </w:tc>
        <w:tc>
          <w:tcPr>
            <w:tcW w:w="25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(2,086,064)</w:t>
            </w:r>
          </w:p>
        </w:tc>
        <w:tc>
          <w:tcPr>
            <w:tcW w:w="20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2,783,290</w:t>
            </w:r>
          </w:p>
        </w:tc>
        <w:tc>
          <w:tcPr>
            <w:tcW w:w="241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3,440,029</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in the Inclusion of Equity Values in the tables above are derived from the amounts set forth in the following tables:</w:t>
      </w:r>
    </w:p>
    <w:tbl>
      <w:tblPr>
        <w:tblW w:w="10205" w:type="dxa"/>
        <w:jc w:val="left"/>
        <w:tblInd w:w="0" w:type="dxa"/>
        <w:tblLayout w:type="fixed"/>
        <w:tblCellMar>
          <w:top w:w="28" w:type="dxa"/>
          <w:left w:w="28" w:type="dxa"/>
          <w:bottom w:w="28" w:type="dxa"/>
          <w:right w:w="28" w:type="dxa"/>
        </w:tblCellMar>
      </w:tblPr>
      <w:tblGrid>
        <w:gridCol w:w="173"/>
        <w:gridCol w:w="152"/>
        <w:gridCol w:w="156"/>
        <w:gridCol w:w="609"/>
        <w:gridCol w:w="583"/>
        <w:gridCol w:w="585"/>
        <w:gridCol w:w="607"/>
        <w:gridCol w:w="540"/>
        <w:gridCol w:w="542"/>
        <w:gridCol w:w="590"/>
        <w:gridCol w:w="590"/>
        <w:gridCol w:w="592"/>
        <w:gridCol w:w="594"/>
        <w:gridCol w:w="594"/>
        <w:gridCol w:w="597"/>
        <w:gridCol w:w="480"/>
        <w:gridCol w:w="480"/>
        <w:gridCol w:w="482"/>
        <w:gridCol w:w="366"/>
        <w:gridCol w:w="366"/>
        <w:gridCol w:w="527"/>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w:t>
            </w:r>
          </w:p>
        </w:tc>
        <w:tc>
          <w:tcPr>
            <w:tcW w:w="17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Year-End Fair Value of Equity Awards Granted During Year That Remained Unvested as of Last Day of Year for Marc Stapley ($)</w:t>
            </w:r>
          </w:p>
        </w:tc>
        <w:tc>
          <w:tcPr>
            <w:tcW w:w="1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 in Fair Value from Last Day of Prior Year to Last Day of Year of Unvested Equity Awards for Marc Stapley ($)</w:t>
            </w:r>
          </w:p>
        </w:tc>
        <w:tc>
          <w:tcPr>
            <w:tcW w:w="17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Vesting-Date Fair Value of Equity Awards Granted During Year that Vested During Year for Marc Stapley ($)</w:t>
            </w:r>
          </w:p>
        </w:tc>
        <w:tc>
          <w:tcPr>
            <w:tcW w:w="1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 in Fair Value from Last Day of Prior Year to Vesting Date of Unvested Equity Awards that Vested During Year for Marc Stapley ($)</w:t>
            </w:r>
          </w:p>
        </w:tc>
        <w:tc>
          <w:tcPr>
            <w:tcW w:w="14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Last Day of Prior Year of Equity Awards Forfeited During Year for Marc Stapley ($)</w:t>
            </w:r>
          </w:p>
        </w:tc>
        <w:tc>
          <w:tcPr>
            <w:tcW w:w="12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 Inclusion of Equity Values for Marc Stapley ($)</w:t>
            </w:r>
          </w:p>
        </w:tc>
      </w:tr>
      <w:tr>
        <w:trPr/>
        <w:tc>
          <w:tcPr>
            <w:tcW w:w="4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17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6,534,764</w:t>
            </w:r>
          </w:p>
        </w:tc>
        <w:tc>
          <w:tcPr>
            <w:tcW w:w="1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1,383,452</w:t>
            </w:r>
          </w:p>
        </w:tc>
        <w:tc>
          <w:tcPr>
            <w:tcW w:w="17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7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87,594</w:t>
            </w:r>
          </w:p>
        </w:tc>
        <w:tc>
          <w:tcPr>
            <w:tcW w:w="14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2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8,005,810</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
        <w:gridCol w:w="152"/>
        <w:gridCol w:w="156"/>
        <w:gridCol w:w="603"/>
        <w:gridCol w:w="576"/>
        <w:gridCol w:w="578"/>
        <w:gridCol w:w="546"/>
        <w:gridCol w:w="546"/>
        <w:gridCol w:w="548"/>
        <w:gridCol w:w="591"/>
        <w:gridCol w:w="591"/>
        <w:gridCol w:w="592"/>
        <w:gridCol w:w="594"/>
        <w:gridCol w:w="594"/>
        <w:gridCol w:w="596"/>
        <w:gridCol w:w="496"/>
        <w:gridCol w:w="496"/>
        <w:gridCol w:w="498"/>
        <w:gridCol w:w="391"/>
        <w:gridCol w:w="364"/>
        <w:gridCol w:w="52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w:t>
            </w:r>
          </w:p>
        </w:tc>
        <w:tc>
          <w:tcPr>
            <w:tcW w:w="17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Year-End Fair Value of Equity Awards Granted During Year That Remained Unvested as of Last Day of Year for Non-PEO NEOs ($)</w:t>
            </w:r>
          </w:p>
        </w:tc>
        <w:tc>
          <w:tcPr>
            <w:tcW w:w="1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Change in Fair Value from Last Day of Prior Year to Last Day of Year of Unvested Equity Awards for Non-PEO NEOs ($)</w:t>
            </w:r>
          </w:p>
        </w:tc>
        <w:tc>
          <w:tcPr>
            <w:tcW w:w="1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Vesting-Date Fair Value of Equity Awards Granted During Year that Vested During Year for Non-PEO NEOs ($)</w:t>
            </w:r>
          </w:p>
        </w:tc>
        <w:tc>
          <w:tcPr>
            <w:tcW w:w="1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Change in Fair Value from Last Day of Prior Year to Vesting Date of Unvested Equity Awards that Vested During Year for Non-PEO NEOs ($)</w:t>
            </w:r>
          </w:p>
        </w:tc>
        <w:tc>
          <w:tcPr>
            <w:tcW w:w="14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Fair Value at Last Day of Prior Year of Equity Awards Forfeited During Year for Non-PEO NEOs ($)</w:t>
            </w:r>
          </w:p>
        </w:tc>
        <w:tc>
          <w:tcPr>
            <w:tcW w:w="12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 Average Inclusion of Equity Values for Non-PEO NEOs ($)</w:t>
            </w:r>
          </w:p>
        </w:tc>
      </w:tr>
      <w:tr>
        <w:trPr/>
        <w:tc>
          <w:tcPr>
            <w:tcW w:w="4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17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2,512,001</w:t>
            </w:r>
          </w:p>
        </w:tc>
        <w:tc>
          <w:tcPr>
            <w:tcW w:w="16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232,275</w:t>
            </w:r>
          </w:p>
        </w:tc>
        <w:tc>
          <w:tcPr>
            <w:tcW w:w="17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7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39,014</w:t>
            </w:r>
          </w:p>
        </w:tc>
        <w:tc>
          <w:tcPr>
            <w:tcW w:w="14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2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2,783,290</w:t>
            </w:r>
          </w:p>
        </w:tc>
      </w:tr>
    </w:tbl>
    <w:p>
      <w:pPr>
        <w:pStyle w:val="TextBody"/>
        <w:bidi w:val="0"/>
        <w:spacing w:before="0" w:after="0"/>
        <w:jc w:val="left"/>
        <w:rPr/>
      </w:pPr>
      <w:r>
        <w:rPr/>
      </w:r>
    </w:p>
    <w:p>
      <w:pPr>
        <w:pStyle w:val="TextBody"/>
        <w:bidi w:val="0"/>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Peer Group TSR set forth in this table utilizes the NASDAQ Biotechnology Index, which we also utilize in the stock performance graph required by Item 201(e) of Regulation S-K included in our Annual Report for the year ended December 31, 2023. The comparison assumes $100 was invested for the period starting December 31, 2019, through the end of the listed year in the company and in the NASDAQ Biotechnology Index, respectively. Historical stock performance is not necessarily indicative of future stock performance.</w:t>
      </w:r>
    </w:p>
    <w:p>
      <w:pPr>
        <w:pStyle w:val="TextBody"/>
        <w:bidi w:val="0"/>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5.    We determined Total Revenue to be the most important financial performance measure used to link Company performance to Compensation Actually Paid to our PEOs and Non-PEO NEOs in 2023. This performance measure may not have been the most important financial performance measure in prior years and we may determine a different financial performance measure to be the most important financial performance measure in future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Relationship Between Compensation Actually Paid and Performance</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charts show the relationship between Compensation Actually Paid, Total Stockholder Return, total revenue and net loss for 2020, 2021, 2022 and 2023. </w:t>
      </w:r>
    </w:p>
    <w:p>
      <w:pPr>
        <w:pStyle w:val="TextBody"/>
        <w:bidi w:val="0"/>
        <w:spacing w:before="0" w:after="0"/>
        <w:ind w:left="0" w:right="0" w:firstLine="495"/>
        <w:jc w:val="both"/>
        <w:rPr/>
      </w:pPr>
      <w:r>
        <w:rPr/>
      </w:r>
    </w:p>
    <w:p>
      <w:pPr>
        <w:pStyle w:val="TextBody"/>
        <w:bidi w:val="0"/>
        <w:spacing w:before="0" w:after="0"/>
        <w:jc w:val="center"/>
        <w:rPr/>
      </w:pPr>
      <w:r>
        <w:rPr/>
        <w:drawing>
          <wp:inline distT="0" distB="0" distL="0" distR="0">
            <wp:extent cx="6515100" cy="3705225"/>
            <wp:effectExtent l="0" t="0" r="0" b="0"/>
            <wp:docPr id="6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0" descr=""/>
                    <pic:cNvPicPr>
                      <a:picLocks noChangeAspect="1" noChangeArrowheads="1"/>
                    </pic:cNvPicPr>
                  </pic:nvPicPr>
                  <pic:blipFill>
                    <a:blip r:embed="rId11"/>
                    <a:stretch>
                      <a:fillRect/>
                    </a:stretch>
                  </pic:blipFill>
                  <pic:spPr bwMode="auto">
                    <a:xfrm>
                      <a:off x="0" y="0"/>
                      <a:ext cx="6515100" cy="3705225"/>
                    </a:xfrm>
                    <a:prstGeom prst="rect">
                      <a:avLst/>
                    </a:prstGeom>
                  </pic:spPr>
                </pic:pic>
              </a:graphicData>
            </a:graphic>
          </wp:inline>
        </w:drawing>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515100" cy="3705225"/>
            <wp:effectExtent l="0" t="0" r="0" b="0"/>
            <wp:docPr id="7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1" descr=""/>
                    <pic:cNvPicPr>
                      <a:picLocks noChangeAspect="1" noChangeArrowheads="1"/>
                    </pic:cNvPicPr>
                  </pic:nvPicPr>
                  <pic:blipFill>
                    <a:blip r:embed="rId12"/>
                    <a:stretch>
                      <a:fillRect/>
                    </a:stretch>
                  </pic:blipFill>
                  <pic:spPr bwMode="auto">
                    <a:xfrm>
                      <a:off x="0" y="0"/>
                      <a:ext cx="6515100" cy="3705225"/>
                    </a:xfrm>
                    <a:prstGeom prst="rect">
                      <a:avLst/>
                    </a:prstGeom>
                  </pic:spPr>
                </pic:pic>
              </a:graphicData>
            </a:graphic>
          </wp:inline>
        </w:drawing>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Tabular List of Most Important Financial and Non-Financial Performance Measures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and non-financial performance measures that the company considers to have been the most important in linking Compensation Actually Paid to our PEO and other NEOs for 2023 to Company performance. The measures in this table are not ranked.</w:t>
      </w:r>
    </w:p>
    <w:tbl>
      <w:tblPr>
        <w:tblW w:w="2939" w:type="dxa"/>
        <w:jc w:val="center"/>
        <w:tblInd w:w="0" w:type="dxa"/>
        <w:tblLayout w:type="fixed"/>
        <w:tblCellMar>
          <w:top w:w="28" w:type="dxa"/>
          <w:left w:w="28" w:type="dxa"/>
          <w:bottom w:w="28" w:type="dxa"/>
          <w:right w:w="28" w:type="dxa"/>
        </w:tblCellMar>
      </w:tblPr>
      <w:tblGrid>
        <w:gridCol w:w="940"/>
        <w:gridCol w:w="825"/>
        <w:gridCol w:w="117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r>
      <w:tr>
        <w:trPr/>
        <w:tc>
          <w:tcPr>
            <w:tcW w:w="293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Ending Cash Balance</w:t>
            </w:r>
          </w:p>
        </w:tc>
      </w:tr>
      <w:tr>
        <w:trPr/>
        <w:tc>
          <w:tcPr>
            <w:tcW w:w="293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Margin on Testing Revenue</w:t>
            </w:r>
          </w:p>
        </w:tc>
      </w:tr>
      <w:tr>
        <w:trPr/>
        <w:tc>
          <w:tcPr>
            <w:tcW w:w="2939"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CEO Pay Ratio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paragraphs that follow describe our methodology and the resulting CEO Pay Ratio.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Measurement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median employee using our employee population on December 31, 2023 (including all employees, whether employed on a full-time, part-time, seasonal or temporary basis). We did not include any contractors or other non-employee workers in our employee population.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Consistently Applied Compensation Measure (“CACM”)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for 2023, b) annual target cash incentive opportunity for 2023, and c) the grant date fair value for equity awards granted in 2023. Cash compensation for new hire employees that commenced employment in 2023 was annualized to reflect a full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Methodology and Pay Ratio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2023, the determination date, our principal executive officer was Mr. Marc Stapley, our Chief Executive Officer. For 2023, the total annual compensation for Mr. Stapley was $7,184,634. The total annual compensation of our median employee in 2023 was $143,268. The ratio of these two amounts is approximately 50:1.</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Limitations on Liability and Indemnification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contains provisions that eliminate the personal liability of our directors to the corporation or our stockholders for monetary damages for breach of fiduciary duty to the fullest extent permitted by the DGCL. Consequently, our directors are not personally liable to us or our stockholders for monetary damages for any breach of fiduciary duties as directors, except liability for:</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breach of the director’s duty of loyalty to us or our stockholders;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 or omission not in good faith or that involves intentional misconduct or a knowing violation of law;</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unlawful payments of dividends or unlawful stock repurchases or redemptions as provided in Section 174 of the DGCL;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transaction from which the director derived an improper personal benefit.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and our amended and restated bylaws require us to indemnify our directors and officers to the maximum extent not prohibited by the DGCL and allow us to indemnify other employees and agents as authorized by the Board of Directors or by the action of a committee of the Board of Directors or designated officers established by or designated in resolutions approved by the Board of Directors. Subject to certain limitations, our amended and restated bylaws also require us to advance expenses incurred by our directors and officers for the defense of any action for which indemnification is required or permitted.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and intend to continue to enter, into separate indemnification agreements with our directors, officers and certain other employees, in addition to the indemnification provided for in our Restated Certificate and amended and restated bylaws. These agreements, among other things, require us to indemnify our directors, officers and certain other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certain other employees for the defense of any action for which indemnification is required or permitted.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provisions of our Restated Certificate, amended and restated bylaws and indemnification agreements are necessary to attract and retain qualified directors, officers and employees. We also maintain directors’ and officers’ liability insurance.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limitation of liability and indemnification provisions in our Restated Certificate and amended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Rule 10b5-1 Sales Plans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 We recently amended our Insider Trading Policy to reflect the SEC’s new rules regarding Rule 10b5-1 plans. </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under the section titled “Proposal No. 4 Approval of Amendment to Veracyte, Inc. 2023 Equity Incentive Plan—Equity Compensation Plan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 OF THE BOARD OF DIRECTORS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acts pursuant to a written charter that was adopted by the Board of Directors. Each member of the audit committee qualifies as “independent” under the current listing requirements of The Nasdaq Stock Market.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Within this framework, the audit committee has reviewed and discussed with management our audited financial statements as of and for the year ended December 31, 2023. The audit committee has also discussed Auditing Standard No. 1301 adopted by the Public Company Accounting Oversight Board (United States) regarding “</w:t>
      </w:r>
      <w:r>
        <w:rPr>
          <w:rFonts w:ascii="Times New Roman;sans-serif" w:hAnsi="Times New Roman;sans-serif"/>
          <w:b w:val="false"/>
          <w:i/>
          <w:color w:val="000000"/>
          <w:sz w:val="20"/>
        </w:rPr>
        <w:t>Communications with Audit Committees</w:t>
      </w:r>
      <w:r>
        <w:rPr>
          <w:rFonts w:ascii="Times New Roman;sans-serif" w:hAnsi="Times New Roman;sans-serif"/>
          <w:b w:val="false"/>
          <w:color w:val="000000"/>
          <w:sz w:val="20"/>
        </w:rPr>
        <w: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pStyle w:val="TextBody"/>
        <w:bidi w:val="0"/>
        <w:spacing w:lineRule="auto" w:line="288" w:before="0" w:after="3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these reviews and discussions, the audit committee recommended to the Board of Directors that the audited financial statements be included in our Annual Report on Form 10-K for the year ended December 31, 2023.</w:t>
      </w:r>
    </w:p>
    <w:tbl>
      <w:tblPr>
        <w:tblW w:w="1859" w:type="dxa"/>
        <w:jc w:val="left"/>
        <w:tblInd w:w="0" w:type="dxa"/>
        <w:tblLayout w:type="fixed"/>
        <w:tblCellMar>
          <w:top w:w="28" w:type="dxa"/>
          <w:left w:w="28" w:type="dxa"/>
          <w:bottom w:w="28" w:type="dxa"/>
          <w:right w:w="28" w:type="dxa"/>
        </w:tblCellMar>
      </w:tblPr>
      <w:tblGrid>
        <w:gridCol w:w="595"/>
        <w:gridCol w:w="522"/>
        <w:gridCol w:w="742"/>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Audit Committee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 (Chair)</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24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compensation arrangements of our directors and named executive officers discussed elsewhere in this Proxy Statement, the following is a description of transactions since January 1, 2023, to which we have been or will be a party, and in which the amount involved exceeded or will exceed $120,000 and in which any of our directors,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officers, beneficial holders of more than 5% of our capital stock, or entities affiliated with, or immediate family members of, any of the foregoing, had or will have a direct or indirect material interest.</w:t>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Bonnie Anderson Consulting Agreement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June 9, 2023, we entered into a Consulting Agreement (the “Consulting Agreement”) with Bonnie Anderson, our former director, chairman and chief executive officer, to provide consulting services for up to 30 hours per quarter for a period of one year (the “Consulting Period”). Pursuant to the Consulting Agreement, Ms. Anderson receives quarterly compensation in the amount of $35,000, and her outstanding equity incentive awards will continue to vest (or, in the case of performance stock units, be eligible for achievement and vesting) during the Consulting Period. In the event Ms. Anderson is still providing services under the Consulting Agreement at the expiration of the Consulting Period (the “Expiration Date”), her unvested outstanding option grants and time-vesting restricted stock units will vest in full following the Expiration Date. Additionally, following the Expiration Date, the exercise period for Ms. Anderson’s outstanding vested option awards will be extended to June 9, 2027.</w:t>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 Approval</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 formal policy that our executive officers, directors, director nominees, holders of more than 5% of any class of our voting securities, and any member of the immediate family of and any entity affiliated with any of the foregoing persons, are not permitted to enter into a transaction in which we are or will be a party and in which the amount involved exceeds $120,000 without the prior consent of our audit committee. Any request for us to enter into such a transaction must first be presented to our audit committee, or if a member of our audit committee is involved in the transaction,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240"/>
        <w:jc w:val="center"/>
        <w:rPr>
          <w:rFonts w:ascii="Times New Roman;sans-serif" w:hAnsi="Times New Roman;sans-serif"/>
          <w:b/>
          <w:color w:val="000000"/>
          <w:sz w:val="20"/>
        </w:rPr>
      </w:pPr>
      <w:r>
        <w:rPr>
          <w:rFonts w:ascii="Times New Roman;sans-serif" w:hAnsi="Times New Roman;sans-serif"/>
          <w:b/>
          <w:color w:val="000000"/>
          <w:sz w:val="20"/>
        </w:rPr>
        <w:t>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Stockholder Proposals for the 2025 Annual Meeting</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stockholder wishes to present a proposal to be considered for inclusion in our proxy statement for the 2025 Annual Meeting of Stockholders, the proponent and the proposal must comply with the proxy proposal submission rules of the SEC as set forth in Rule 14a-8. One of the requirements is that the proposal be received by our Secretary no later than December 26, 2024. Proposals we receive after that date will not be included in the proxy statement. We urge stockholders to submit proposals by Certified Mail - Return Receipt Requested.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stockholder proposal not included in our proxy statement for the 2025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 earlier than 5:00 p.m. Eastern Time on February 12, 2025 and no later than 5:00 p.m. Eastern Time on March 14, 2025, or no earlier than 5:00 p.m. Eastern Time on the 120th day nor later than 5:00 p.m. Eastern Time on the 90th day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5:00 p.m. Eastern Time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including notices with respect to director nominations made in accordance with the SEC’s universal proxy rules, must set forth, as to each proposed matter, the information required by our Bylaws and must be made in the time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set forth above. The presiding officer of the meeting may refuse to acknowledge any matter not made in compliance with the foregoing procedure.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color w:val="000000"/>
        </w:rPr>
      </w:pPr>
      <w:r>
        <w:rPr>
          <w:color w:val="000000"/>
        </w:rPr>
        <w:t>“</w:t>
      </w:r>
      <w:r>
        <w:rPr>
          <w:rFonts w:ascii="Times New Roman;sans-serif" w:hAnsi="Times New Roman;sans-serif"/>
          <w:b/>
          <w:color w:val="000000"/>
          <w:sz w:val="20"/>
        </w:rPr>
        <w:t>Householding” - Stockholders Sharing the Same Last Name and Address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OTHER MATTERS AND AVAILABLE INFORMATION</w:t>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for the year ended December 31, 2023 are included in our Annual Report, which we provide to our stockholders at the same time as this Proxy Statement. We will furnish without charge, upon written request of any person who was a stockholder or beneficial owner of our common stock on the close of business on the Record Date, copies of exhibits to our Annual Report, but will charge a reasonable per page fee. Written requests should be sent to: Investor Relations, Veracyte, Inc., 6000 Shoreline Court, Suite 300, South San Francisco, California 94080. The Annual Report is also available under “SEC Filings” in the “Investors” section of our website at https://investor.veracyte.com/sec-filings.</w:t>
      </w:r>
    </w:p>
    <w:p>
      <w:pPr>
        <w:pStyle w:val="TextBody"/>
        <w:bidi w:val="0"/>
        <w:spacing w:before="0" w:after="0"/>
        <w:ind w:left="0" w:right="0" w:firstLine="720"/>
        <w:jc w:val="both"/>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APPENDIX A</w:t>
      </w:r>
    </w:p>
    <w:p>
      <w:pPr>
        <w:pStyle w:val="TextBody"/>
        <w:bidi w:val="0"/>
        <w:spacing w:before="0" w:after="120"/>
        <w:jc w:val="center"/>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2023 EQUITY INCENTIVE PLAN, AS AMENDED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(ADOPTED BY THE BOARD OF DIRECTORS ON APRIL 12, 2023, AS AMENDED [______], 2024)</w:t>
      </w:r>
    </w:p>
    <w:p>
      <w:pPr>
        <w:pStyle w:val="TextBody"/>
        <w:bidi w:val="0"/>
        <w:spacing w:lineRule="auto" w:line="288" w:before="240" w:after="240"/>
        <w:jc w:val="both"/>
        <w:rPr/>
      </w:pPr>
      <w:r>
        <w:rPr>
          <w:rFonts w:ascii="Times New Roman;sans-serif" w:hAnsi="Times New Roman;sans-serif"/>
          <w:b/>
          <w:color w:val="000000"/>
          <w:sz w:val="20"/>
        </w:rPr>
        <w:t>1.    </w:t>
      </w:r>
      <w:r>
        <w:rPr>
          <w:rFonts w:ascii="Times New Roman;sans-serif" w:hAnsi="Times New Roman;sans-serif"/>
          <w:b/>
          <w:color w:val="000000"/>
          <w:sz w:val="20"/>
          <w:u w:val="single"/>
        </w:rPr>
        <w:t>PURPOSE</w:t>
      </w:r>
      <w:r>
        <w:rPr>
          <w:rFonts w:ascii="Times New Roman;sans-serif" w:hAnsi="Times New Roman;sans-serif"/>
          <w:b w:val="false"/>
          <w:color w:val="000000"/>
          <w:sz w:val="20"/>
        </w:rPr>
        <w:t xml:space="preserve">. 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w:t>
      </w:r>
      <w:r>
        <w:rPr>
          <w:rFonts w:ascii="Times New Roman;sans-serif" w:hAnsi="Times New Roman;sans-serif"/>
          <w:b w:val="false"/>
          <w:color w:val="000000"/>
          <w:sz w:val="20"/>
          <w:u w:val="single"/>
        </w:rPr>
        <w:t>Section 28</w:t>
      </w:r>
      <w:r>
        <w:rPr>
          <w:rFonts w:ascii="Times New Roman;sans-serif" w:hAnsi="Times New Roman;sans-serif"/>
          <w:b w:val="false"/>
          <w:color w:val="000000"/>
          <w:sz w:val="20"/>
        </w:rPr>
        <w:t>.</w:t>
      </w:r>
    </w:p>
    <w:p>
      <w:pPr>
        <w:pStyle w:val="TextBody"/>
        <w:bidi w:val="0"/>
        <w:spacing w:lineRule="auto" w:line="288" w:before="240" w:after="283"/>
        <w:jc w:val="both"/>
        <w:rPr/>
      </w:pPr>
      <w:r>
        <w:rPr>
          <w:rFonts w:ascii="Times New Roman;sans-serif" w:hAnsi="Times New Roman;sans-serif"/>
          <w:b/>
          <w:color w:val="000000"/>
          <w:sz w:val="20"/>
        </w:rPr>
        <w:t>2.    </w:t>
      </w:r>
      <w:r>
        <w:rPr>
          <w:rFonts w:ascii="Times New Roman;sans-serif" w:hAnsi="Times New Roman;sans-serif"/>
          <w:b/>
          <w:color w:val="000000"/>
          <w:sz w:val="20"/>
          <w:u w:val="single"/>
        </w:rPr>
        <w:t>SHARES SUBJECT TO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2.1.    </w:t>
      </w:r>
      <w:r>
        <w:rPr>
          <w:rFonts w:ascii="Times New Roman;sans-serif" w:hAnsi="Times New Roman;sans-serif"/>
          <w:b w:val="false"/>
          <w:color w:val="000000"/>
          <w:sz w:val="20"/>
          <w:u w:val="single"/>
        </w:rPr>
        <w:t>Number of Shares Available</w:t>
      </w:r>
      <w:r>
        <w:rPr>
          <w:rFonts w:ascii="Times New Roman;sans-serif" w:hAnsi="Times New Roman;sans-serif"/>
          <w:b w:val="false"/>
          <w:color w:val="000000"/>
          <w:sz w:val="20"/>
        </w:rPr>
        <w:t xml:space="preserve">. Subject to </w:t>
      </w:r>
      <w:r>
        <w:rPr>
          <w:rFonts w:ascii="Times New Roman;sans-serif" w:hAnsi="Times New Roman;sans-serif"/>
          <w:b w:val="false"/>
          <w:color w:val="000000"/>
          <w:sz w:val="20"/>
          <w:u w:val="single"/>
        </w:rPr>
        <w:t>Sections 2.5 and 21</w:t>
      </w:r>
      <w:r>
        <w:rPr>
          <w:color w:val="000000"/>
        </w:rPr>
        <w:t xml:space="preserve"> </w:t>
      </w:r>
      <w:r>
        <w:rPr>
          <w:rFonts w:ascii="Times New Roman;sans-serif" w:hAnsi="Times New Roman;sans-serif"/>
          <w:b w:val="false"/>
          <w:color w:val="000000"/>
          <w:sz w:val="20"/>
        </w:rPr>
        <w:t xml:space="preserve">and any other applicable provisions hereof, the total number of Shares reserved and available for grant and issuance pursuant to this Plan is 10,306,156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(a) Shares that are subject to awards granted under the Prior Plan that cease to be subject to such awards by forfeiture or otherwise after the Effective Date, (b) Shares issued under the Prior Plan, including Shares issued pursuant to the exercise of 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under the Prior Plan that are used to pay the Exercise Price of an award or withheld to satisfy the tax withholding obligations related to an award after the Effective Date. As of the Effective Date, no further awards can be granted under the Prior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2.2.    </w:t>
      </w:r>
      <w:r>
        <w:rPr>
          <w:rFonts w:ascii="Times New Roman;sans-serif" w:hAnsi="Times New Roman;sans-serif"/>
          <w:b w:val="false"/>
          <w:color w:val="000000"/>
          <w:sz w:val="20"/>
          <w:u w:val="single"/>
        </w:rPr>
        <w:t>Lapsed, Returned Awards</w:t>
      </w:r>
      <w:r>
        <w:rPr>
          <w:rFonts w:ascii="Times New Roman;sans-serif" w:hAnsi="Times New Roman;sans-serif"/>
          <w:b w:val="false"/>
          <w:color w:val="000000"/>
          <w:sz w:val="20"/>
        </w:rPr>
        <w:t xml:space="preserve">. Shares subject to Awards, and Shares issued under this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(d) are surrendered pursuant to an Exchange Program, (e) are subject to Awards granted under this Plan that are settled in cash and (f) are subject to Awards granted under this Plan and are used to pay the Exercise Price of an Award or withheld to satisfy the tax withholding obligations related to an Award. For the avoidance of doubt, Shares that otherwise become available for grant and issuance because of the provisions of this </w:t>
      </w:r>
      <w:r>
        <w:rPr>
          <w:rFonts w:ascii="Times New Roman;sans-serif" w:hAnsi="Times New Roman;sans-serif"/>
          <w:b w:val="false"/>
          <w:color w:val="000000"/>
          <w:sz w:val="20"/>
          <w:u w:val="single"/>
        </w:rPr>
        <w:t>Section 2.2</w:t>
      </w:r>
      <w:r>
        <w:rPr>
          <w:color w:val="000000"/>
        </w:rPr>
        <w:t xml:space="preserve"> </w:t>
      </w:r>
      <w:r>
        <w:rPr>
          <w:rFonts w:ascii="Times New Roman;sans-serif" w:hAnsi="Times New Roman;sans-serif"/>
          <w:b w:val="false"/>
          <w:color w:val="000000"/>
          <w:sz w:val="20"/>
        </w:rPr>
        <w:t xml:space="preserve">will not include Shares subject to Awards that initially became available because of the substitution clause in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hereof. </w:t>
      </w:r>
    </w:p>
    <w:p>
      <w:pPr>
        <w:pStyle w:val="TextBody"/>
        <w:bidi w:val="0"/>
        <w:spacing w:lineRule="auto" w:line="288" w:before="240" w:after="283"/>
        <w:ind w:left="0" w:right="0" w:firstLine="720"/>
        <w:jc w:val="both"/>
        <w:rPr/>
      </w:pPr>
      <w:r>
        <w:rPr>
          <w:rFonts w:ascii="Times New Roman;sans-serif" w:hAnsi="Times New Roman;sans-serif"/>
          <w:b/>
          <w:color w:val="010000"/>
          <w:sz w:val="20"/>
        </w:rPr>
        <w:t>2.3.    </w:t>
      </w:r>
      <w:r>
        <w:rPr>
          <w:rFonts w:ascii="Times New Roman;sans-serif" w:hAnsi="Times New Roman;sans-serif"/>
          <w:b w:val="false"/>
          <w:color w:val="000000"/>
          <w:sz w:val="20"/>
          <w:u w:val="single"/>
        </w:rPr>
        <w:t>Minimum Share Reserve</w:t>
      </w:r>
      <w:r>
        <w:rPr>
          <w:rFonts w:ascii="Times New Roman;sans-serif" w:hAnsi="Times New Roman;sans-serif"/>
          <w:b w:val="false"/>
          <w:color w:val="000000"/>
          <w:sz w:val="20"/>
        </w:rPr>
        <w:t>. At all times the Company will reserve and keep available a sufficient number of Shares as will be required to satisfy the requirements of all outstanding Awards granted under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2.4.    </w:t>
      </w:r>
      <w:r>
        <w:rPr>
          <w:rFonts w:ascii="Times New Roman;sans-serif" w:hAnsi="Times New Roman;sans-serif"/>
          <w:b w:val="false"/>
          <w:color w:val="000000"/>
          <w:sz w:val="20"/>
          <w:u w:val="single"/>
        </w:rPr>
        <w:t>ISO Limitation</w:t>
      </w:r>
      <w:r>
        <w:rPr>
          <w:rFonts w:ascii="Times New Roman;sans-serif" w:hAnsi="Times New Roman;sans-serif"/>
          <w:b w:val="false"/>
          <w:color w:val="000000"/>
          <w:sz w:val="20"/>
        </w:rPr>
        <w:t>. No more than 15,000,000 Shares will be issued pursuant to the exercise of ISOs granted under this Plan.</w:t>
      </w:r>
    </w:p>
    <w:p>
      <w:pPr>
        <w:pStyle w:val="TextBody"/>
        <w:bidi w:val="0"/>
        <w:spacing w:lineRule="auto" w:line="288" w:before="240" w:after="240"/>
        <w:ind w:left="0" w:right="0" w:firstLine="720"/>
        <w:jc w:val="both"/>
        <w:rPr/>
      </w:pPr>
      <w:r>
        <w:rPr>
          <w:rFonts w:ascii="Times New Roman;sans-serif" w:hAnsi="Times New Roman;sans-serif"/>
          <w:b/>
          <w:color w:val="010000"/>
          <w:sz w:val="20"/>
        </w:rPr>
        <w:t>2.5.    </w:t>
      </w:r>
      <w:r>
        <w:rPr>
          <w:rFonts w:ascii="Times New Roman;sans-serif" w:hAnsi="Times New Roman;sans-serif"/>
          <w:b w:val="false"/>
          <w:color w:val="000000"/>
          <w:sz w:val="20"/>
          <w:u w:val="single"/>
        </w:rPr>
        <w:t>Adjustment of Shares</w:t>
      </w:r>
      <w:r>
        <w:rPr>
          <w:rFonts w:ascii="Times New Roman;sans-serif" w:hAnsi="Times New Roman;sans-serif"/>
          <w:b w:val="false"/>
          <w:color w:val="000000"/>
          <w:sz w:val="20"/>
        </w:rPr>
        <w:t xml:space="preserve">. 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this Plan set forth in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 xml:space="preserve">, (b) the Exercise Prices of and number and class of Shares subject to outstanding Options and SARs, (c) the number and class of Shares subject to other outstanding Awards, and (d) the maximum number and class of Shares that may be issued as ISOs set forth in </w:t>
      </w:r>
      <w:r>
        <w:rPr>
          <w:rFonts w:ascii="Times New Roman;sans-serif" w:hAnsi="Times New Roman;sans-serif"/>
          <w:b w:val="false"/>
          <w:color w:val="000000"/>
          <w:sz w:val="20"/>
          <w:u w:val="single"/>
        </w:rPr>
        <w:t>Section 2.4</w:t>
      </w:r>
      <w:r>
        <w:rPr>
          <w:rFonts w:ascii="Times New Roman;sans-serif" w:hAnsi="Times New Roman;sans-serif"/>
          <w:b w:val="false"/>
          <w:color w:val="000000"/>
          <w:sz w:val="20"/>
        </w:rPr>
        <w:t>, will be proportionately adjusted, subject to any required action by the Board or the stockholders of the Company and in compliance with applicable securities laws, provided that fractions of a Share will not be issued.</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If, by reason of an adjustment pursuant to this </w:t>
      </w:r>
      <w:r>
        <w:rPr>
          <w:rFonts w:ascii="Times New Roman;sans-serif" w:hAnsi="Times New Roman;sans-serif"/>
          <w:b w:val="false"/>
          <w:color w:val="000000"/>
          <w:sz w:val="20"/>
          <w:u w:val="single"/>
        </w:rPr>
        <w:t>Section 2.5</w:t>
      </w:r>
      <w:r>
        <w:rPr>
          <w:rFonts w:ascii="Times New Roman;sans-serif" w:hAnsi="Times New Roman;sans-serif"/>
          <w:b w:val="false"/>
          <w:color w:val="000000"/>
          <w:sz w:val="20"/>
        </w:rPr>
        <w:t xml:space="preserve">,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terms, conditions, and restrictions which were applicable to the Award or the Shares subject to such Award prior to such adjustment.</w:t>
      </w:r>
    </w:p>
    <w:p>
      <w:pPr>
        <w:pStyle w:val="TextBody"/>
        <w:bidi w:val="0"/>
        <w:spacing w:lineRule="auto" w:line="288" w:before="240" w:after="283"/>
        <w:jc w:val="both"/>
        <w:rPr/>
      </w:pPr>
      <w:r>
        <w:rPr>
          <w:rFonts w:ascii="Times New Roman;sans-serif" w:hAnsi="Times New Roman;sans-serif"/>
          <w:b/>
          <w:color w:val="000000"/>
          <w:sz w:val="20"/>
        </w:rPr>
        <w:t>3.    </w:t>
      </w:r>
      <w:r>
        <w:rPr>
          <w:rFonts w:ascii="Times New Roman;sans-serif" w:hAnsi="Times New Roman;sans-serif"/>
          <w:b/>
          <w:color w:val="000000"/>
          <w:sz w:val="20"/>
          <w:u w:val="single"/>
        </w:rPr>
        <w:t>ELIGIBILITY</w:t>
      </w:r>
      <w:r>
        <w:rPr>
          <w:rFonts w:ascii="Times New Roman;sans-serif" w:hAnsi="Times New Roman;sans-serif"/>
          <w:b w:val="false"/>
          <w:color w:val="000000"/>
          <w:sz w:val="20"/>
        </w:rPr>
        <w:t xml:space="preserve">. ISOs may be granted only to Employees. All other Awards may be granted to Employees, Consultants, Directors, and Non-Employee Directors, provided that such Consultants, Directors, and Non-Employee Directors render bona fide services not in connection with the offer and sale of securities in a capital-raising transaction. </w:t>
      </w:r>
    </w:p>
    <w:p>
      <w:pPr>
        <w:pStyle w:val="TextBody"/>
        <w:bidi w:val="0"/>
        <w:spacing w:lineRule="auto" w:line="288" w:before="240" w:after="283"/>
        <w:jc w:val="both"/>
        <w:rPr/>
      </w:pPr>
      <w:r>
        <w:rPr>
          <w:rFonts w:ascii="Times New Roman;sans-serif" w:hAnsi="Times New Roman;sans-serif"/>
          <w:b/>
          <w:color w:val="000000"/>
          <w:sz w:val="20"/>
        </w:rPr>
        <w:t>4.    </w:t>
      </w:r>
      <w:r>
        <w:rPr>
          <w:rFonts w:ascii="Times New Roman;sans-serif" w:hAnsi="Times New Roman;sans-serif"/>
          <w:b/>
          <w:color w:val="000000"/>
          <w:sz w:val="20"/>
          <w:u w:val="single"/>
        </w:rPr>
        <w:t>ADMINISTRATION</w:t>
      </w:r>
      <w:r>
        <w:rPr>
          <w:rFonts w:ascii="Times New Roman;sans-serif" w:hAnsi="Times New Roman;sans-serif"/>
          <w:b w:val="false"/>
          <w:color w:val="000000"/>
          <w:sz w:val="20"/>
        </w:rPr>
        <w:t>.</w:t>
      </w:r>
    </w:p>
    <w:p>
      <w:pPr>
        <w:pStyle w:val="TextBody"/>
        <w:bidi w:val="0"/>
        <w:spacing w:lineRule="auto" w:line="288" w:before="240" w:after="283"/>
        <w:ind w:left="0" w:right="0" w:firstLine="720"/>
        <w:jc w:val="both"/>
        <w:rPr/>
      </w:pPr>
      <w:r>
        <w:rPr>
          <w:rFonts w:ascii="Times New Roman;sans-serif" w:hAnsi="Times New Roman;sans-serif"/>
          <w:b/>
          <w:color w:val="010000"/>
          <w:sz w:val="20"/>
        </w:rPr>
        <w:t>4.1.    </w:t>
      </w:r>
      <w:r>
        <w:rPr>
          <w:rFonts w:ascii="Times New Roman;sans-serif" w:hAnsi="Times New Roman;sans-serif"/>
          <w:b w:val="false"/>
          <w:color w:val="000000"/>
          <w:sz w:val="20"/>
          <w:u w:val="single"/>
        </w:rPr>
        <w:t>Committee Composition; Authority</w:t>
      </w:r>
      <w:r>
        <w:rPr>
          <w:rFonts w:ascii="Times New Roman;sans-serif" w:hAnsi="Times New Roman;sans-serif"/>
          <w:b w:val="false"/>
          <w:color w:val="000000"/>
          <w:sz w:val="20"/>
        </w:rPr>
        <w:t>. 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(a)    </w:t>
      </w:r>
      <w:r>
        <w:rPr>
          <w:rFonts w:ascii="Times New Roman;sans-serif" w:hAnsi="Times New Roman;sans-serif"/>
          <w:b w:val="false"/>
          <w:color w:val="000000"/>
          <w:sz w:val="20"/>
        </w:rPr>
        <w:t xml:space="preserve">construe and interpret this Plan, any Award Agreement, and any other agreement or document executed pursuant to this Plan;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(b)    </w:t>
      </w:r>
      <w:r>
        <w:rPr>
          <w:rFonts w:ascii="Times New Roman;sans-serif" w:hAnsi="Times New Roman;sans-serif"/>
          <w:b w:val="false"/>
          <w:color w:val="000000"/>
          <w:sz w:val="20"/>
        </w:rPr>
        <w:t xml:space="preserve">prescribe, amend, and rescind rules and regulations relating to this Plan or any Award;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(c)    </w:t>
      </w:r>
      <w:r>
        <w:rPr>
          <w:rFonts w:ascii="Times New Roman;sans-serif" w:hAnsi="Times New Roman;sans-serif"/>
          <w:b w:val="false"/>
          <w:color w:val="000000"/>
          <w:sz w:val="20"/>
        </w:rPr>
        <w:t>select persons to receive Awards;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(d)    </w:t>
      </w:r>
      <w:r>
        <w:rPr>
          <w:rFonts w:ascii="Times New Roman;sans-serif" w:hAnsi="Times New Roman;sans-serif"/>
          <w:b w:val="false"/>
          <w:color w:val="000000"/>
          <w:sz w:val="20"/>
        </w:rPr>
        <w:t>determine the form and terms and conditions, not inconsistent with the terms of this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(e)    </w:t>
      </w:r>
      <w:r>
        <w:rPr>
          <w:rFonts w:ascii="Times New Roman;sans-serif" w:hAnsi="Times New Roman;sans-serif"/>
          <w:b w:val="false"/>
          <w:color w:val="000000"/>
          <w:sz w:val="20"/>
        </w:rPr>
        <w:t>determine the number of Shares or other consideration subject to Awards;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(f)    </w:t>
      </w:r>
      <w:r>
        <w:rPr>
          <w:rFonts w:ascii="Times New Roman;sans-serif" w:hAnsi="Times New Roman;sans-serif"/>
          <w:b w:val="false"/>
          <w:color w:val="000000"/>
          <w:sz w:val="20"/>
        </w:rPr>
        <w:t>determine the Fair Market Value in good faith and interpret the applicable provisions of this Plan and the definition of Fair Market Value in connection with circumstances that impact the Fair Market Value, if necessary;</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(g)    </w:t>
      </w:r>
      <w:r>
        <w:rPr>
          <w:rFonts w:ascii="Times New Roman;sans-serif" w:hAnsi="Times New Roman;sans-serif"/>
          <w:b w:val="false"/>
          <w:color w:val="000000"/>
          <w:sz w:val="20"/>
        </w:rPr>
        <w:t>determine whether Awards will be granted singly, in combination with, in tandem with, in replacement of, or as alternatives to, other Awards under this Plan or any other incentive or compensation plan of the Company or any Parent, Subsidiary, or Affiliate;</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(h)    </w:t>
      </w:r>
      <w:r>
        <w:rPr>
          <w:rFonts w:ascii="Times New Roman;sans-serif" w:hAnsi="Times New Roman;sans-serif"/>
          <w:b w:val="false"/>
          <w:color w:val="000000"/>
          <w:sz w:val="20"/>
        </w:rPr>
        <w:t>grant waivers of Plan or Award conditions;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(i)    </w:t>
      </w:r>
      <w:r>
        <w:rPr>
          <w:rFonts w:ascii="Times New Roman;sans-serif" w:hAnsi="Times New Roman;sans-serif"/>
          <w:b w:val="false"/>
          <w:color w:val="000000"/>
          <w:sz w:val="20"/>
        </w:rPr>
        <w:t>determine the vesting, exercisability, and payment of Awards;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(j)    </w:t>
      </w:r>
      <w:r>
        <w:rPr>
          <w:rFonts w:ascii="Times New Roman;sans-serif" w:hAnsi="Times New Roman;sans-serif"/>
          <w:b w:val="false"/>
          <w:color w:val="000000"/>
          <w:sz w:val="20"/>
        </w:rPr>
        <w:t xml:space="preserve">correct any defect, supply any omission or reconcile any inconsistency in this Plan, any Award or any Award Agreement;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(k)    </w:t>
      </w:r>
      <w:r>
        <w:rPr>
          <w:rFonts w:ascii="Times New Roman;sans-serif" w:hAnsi="Times New Roman;sans-serif"/>
          <w:b w:val="false"/>
          <w:color w:val="000000"/>
          <w:sz w:val="20"/>
        </w:rPr>
        <w:t xml:space="preserve">determine whether an Award has been vested and/or earned;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(l)    </w:t>
      </w:r>
      <w:r>
        <w:rPr>
          <w:rFonts w:ascii="Times New Roman;sans-serif" w:hAnsi="Times New Roman;sans-serif"/>
          <w:b w:val="false"/>
          <w:color w:val="000000"/>
          <w:sz w:val="20"/>
        </w:rPr>
        <w:t xml:space="preserve">determine the terms and conditions of any, and to institute any Exchange Program;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(m)    </w:t>
      </w:r>
      <w:r>
        <w:rPr>
          <w:rFonts w:ascii="Times New Roman;sans-serif" w:hAnsi="Times New Roman;sans-serif"/>
          <w:b w:val="false"/>
          <w:color w:val="000000"/>
          <w:sz w:val="20"/>
        </w:rPr>
        <w:t>reduce or modify any criteria with respect to Performance Factors;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(n)    </w:t>
      </w:r>
      <w:r>
        <w:rPr>
          <w:rFonts w:ascii="Times New Roman;sans-serif" w:hAnsi="Times New Roman;sans-serif"/>
          <w:b w:val="false"/>
          <w:color w:val="000000"/>
          <w:sz w:val="20"/>
        </w:rPr>
        <w:t xml:space="preserve">adjust Performance Factors to take into account changes in law and accounting or tax rules as the Committee deems necessary or appropriate to reflect the impact of extraordinary or unusual items, events, or circumstances to avoid windfalls or inequitable results;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(o)    </w:t>
      </w:r>
      <w:r>
        <w:rPr>
          <w:rFonts w:ascii="Times New Roman;sans-serif" w:hAnsi="Times New Roman;sans-serif"/>
          <w:b w:val="false"/>
          <w:color w:val="000000"/>
          <w:sz w:val="20"/>
        </w:rPr>
        <w:t>adopt terms and conditions, rules, and/or procedures (including the adoption of any subplan under this Plan) relating to the operation and administration of this Plan to accommodate requirements of local law and procedures outside of the United States or to qualify Awards for special tax treatment under laws of jurisdictions other than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(p)    </w:t>
      </w:r>
      <w:r>
        <w:rPr>
          <w:rFonts w:ascii="Times New Roman;sans-serif" w:hAnsi="Times New Roman;sans-serif"/>
          <w:b w:val="false"/>
          <w:color w:val="000000"/>
          <w:sz w:val="20"/>
        </w:rPr>
        <w:t xml:space="preserve">exercise discretion with respect to Performance Awards;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(q)    </w:t>
      </w:r>
      <w:r>
        <w:rPr>
          <w:rFonts w:ascii="Times New Roman;sans-serif" w:hAnsi="Times New Roman;sans-serif"/>
          <w:b w:val="false"/>
          <w:color w:val="000000"/>
          <w:sz w:val="20"/>
        </w:rPr>
        <w:t>make all other determinations necessary or advisable for the administration of this Plan; and</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(r)    </w:t>
      </w:r>
      <w:r>
        <w:rPr>
          <w:rFonts w:ascii="Times New Roman;sans-serif" w:hAnsi="Times New Roman;sans-serif"/>
          <w:b w:val="false"/>
          <w:color w:val="000000"/>
          <w:sz w:val="20"/>
        </w:rPr>
        <w:t>delegate any of the foregoing to a subcommittee or to one or more executive officers pursuant to a specific delegation as permitted by applicable law, including but not limited to Section 157(c) of the Delaware General Corporation Law.</w:t>
      </w:r>
    </w:p>
    <w:p>
      <w:pPr>
        <w:pStyle w:val="TextBody"/>
        <w:bidi w:val="0"/>
        <w:spacing w:lineRule="auto" w:line="288" w:before="240" w:after="283"/>
        <w:ind w:left="0" w:right="0" w:firstLine="720"/>
        <w:jc w:val="both"/>
        <w:rPr/>
      </w:pPr>
      <w:r>
        <w:rPr>
          <w:rFonts w:ascii="Times New Roman;sans-serif" w:hAnsi="Times New Roman;sans-serif"/>
          <w:b/>
          <w:color w:val="010000"/>
          <w:sz w:val="20"/>
        </w:rPr>
        <w:t>4.2.    </w:t>
      </w:r>
      <w:r>
        <w:rPr>
          <w:rFonts w:ascii="Times New Roman;sans-serif" w:hAnsi="Times New Roman;sans-serif"/>
          <w:b w:val="false"/>
          <w:color w:val="000000"/>
          <w:sz w:val="20"/>
          <w:u w:val="single"/>
        </w:rPr>
        <w:t>Committee Interpretation and Discretion</w:t>
      </w:r>
      <w:r>
        <w:rPr>
          <w:rFonts w:ascii="Times New Roman;sans-serif" w:hAnsi="Times New Roman;sans-serif"/>
          <w:b w:val="false"/>
          <w:color w:val="000000"/>
          <w:sz w:val="20"/>
        </w:rPr>
        <w:t>. Any determination made by the Committee with respect to any Award will be made in its sole discretion at the time of grant of the Award or, unless in contravention of any express term of this Plan or Award, at any later time, and such determination will be final and binding on the Company and all persons having an interest in any Award under this Plan. Any dispute regarding the interpretation of this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pStyle w:val="TextBody"/>
        <w:bidi w:val="0"/>
        <w:spacing w:lineRule="auto" w:line="288" w:before="240" w:after="283"/>
        <w:ind w:left="0" w:right="0" w:firstLine="720"/>
        <w:jc w:val="both"/>
        <w:rPr/>
      </w:pPr>
      <w:r>
        <w:rPr>
          <w:rFonts w:ascii="Times New Roman;sans-serif" w:hAnsi="Times New Roman;sans-serif"/>
          <w:b/>
          <w:color w:val="010000"/>
          <w:sz w:val="20"/>
        </w:rPr>
        <w:t>4.3.    </w:t>
      </w:r>
      <w:r>
        <w:rPr>
          <w:rFonts w:ascii="Times New Roman;sans-serif" w:hAnsi="Times New Roman;sans-serif"/>
          <w:b w:val="false"/>
          <w:color w:val="000000"/>
          <w:sz w:val="20"/>
          <w:u w:val="single"/>
        </w:rPr>
        <w:t>Section 16 of the Exchange Act</w:t>
      </w:r>
      <w:r>
        <w:rPr>
          <w:rFonts w:ascii="Times New Roman;sans-serif" w:hAnsi="Times New Roman;sans-serif"/>
          <w:b w:val="false"/>
          <w:color w:val="000000"/>
          <w:sz w:val="20"/>
        </w:rPr>
        <w:t>. Awards granted to Participants who are subject to Section 16 of the Exchange Act must be approved by two or more “non-employee directors” (as defined in the regulations promulgated under Section 16 of the Exchange Act).</w:t>
      </w:r>
    </w:p>
    <w:p>
      <w:pPr>
        <w:pStyle w:val="TextBody"/>
        <w:bidi w:val="0"/>
        <w:spacing w:lineRule="auto" w:line="288" w:before="240" w:after="283"/>
        <w:ind w:left="0" w:right="0" w:firstLine="720"/>
        <w:jc w:val="both"/>
        <w:rPr/>
      </w:pPr>
      <w:r>
        <w:rPr>
          <w:rFonts w:ascii="Times New Roman;sans-serif" w:hAnsi="Times New Roman;sans-serif"/>
          <w:b/>
          <w:color w:val="010000"/>
          <w:sz w:val="20"/>
        </w:rPr>
        <w:t>4.4.    </w:t>
      </w:r>
      <w:r>
        <w:rPr>
          <w:rFonts w:ascii="Times New Roman;sans-serif" w:hAnsi="Times New Roman;sans-serif"/>
          <w:b w:val="false"/>
          <w:color w:val="000000"/>
          <w:sz w:val="20"/>
          <w:u w:val="single"/>
        </w:rPr>
        <w:t>Documentation</w:t>
      </w:r>
      <w:r>
        <w:rPr>
          <w:rFonts w:ascii="Times New Roman;sans-serif" w:hAnsi="Times New Roman;sans-serif"/>
          <w:b w:val="false"/>
          <w:color w:val="000000"/>
          <w:sz w:val="20"/>
        </w:rPr>
        <w:t>. The Award Agreement for a given Award, this Plan, and any other documents may be delivered to, and accepted by, a Participant or any other person in any manner (including electronic distribution or posting) that meets applicable legal requirements.</w:t>
      </w:r>
    </w:p>
    <w:p>
      <w:pPr>
        <w:pStyle w:val="TextBody"/>
        <w:bidi w:val="0"/>
        <w:spacing w:lineRule="auto" w:line="288" w:before="240" w:after="283"/>
        <w:ind w:left="0" w:right="0" w:firstLine="720"/>
        <w:jc w:val="both"/>
        <w:rPr/>
      </w:pPr>
      <w:r>
        <w:rPr>
          <w:rFonts w:ascii="Times New Roman;sans-serif" w:hAnsi="Times New Roman;sans-serif"/>
          <w:b/>
          <w:color w:val="010000"/>
          <w:sz w:val="20"/>
        </w:rPr>
        <w:t>4.5.    </w:t>
      </w:r>
      <w:r>
        <w:rPr>
          <w:rFonts w:ascii="Times New Roman;sans-serif" w:hAnsi="Times New Roman;sans-serif"/>
          <w:b w:val="false"/>
          <w:color w:val="000000"/>
          <w:sz w:val="20"/>
          <w:u w:val="single"/>
        </w:rPr>
        <w:t>Foreign Award Recipients</w:t>
      </w:r>
      <w:r>
        <w:rPr>
          <w:rFonts w:ascii="Times New Roman;sans-serif" w:hAnsi="Times New Roman;sans-serif"/>
          <w:b w:val="false"/>
          <w:color w:val="000000"/>
          <w:sz w:val="20"/>
        </w:rPr>
        <w:t>. Notwithstanding any provision of this Plan to the contrary, in order to comply with the laws and practices in other countries in which the Company, its Subsidiaries, and Affiliates operate or have Employees or other individuals eligible for Awards, the Committee, in its sole discretion, will have the power and authority to: (a) determine which Subsidiaries and Affiliates will be covered by this Plan; (b) determine which individuals outside the United States are eligible to participate in this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w:t>
      </w:r>
      <w:r>
        <w:rPr>
          <w:color w:val="000000"/>
        </w:rPr>
        <w:t xml:space="preserve"> </w:t>
      </w:r>
      <w:r>
        <w:rPr>
          <w:rFonts w:ascii="Times New Roman;sans-serif" w:hAnsi="Times New Roman;sans-serif"/>
          <w:b w:val="false"/>
          <w:color w:val="000000"/>
          <w:sz w:val="20"/>
        </w:rPr>
        <w:t xml:space="preserve">an Award is made, that the Committee determines to be necessary or advisable to obtain approval or comply with any local governmental regulatory exemptions or approvals, provided, however, that no action taken under this </w:t>
      </w:r>
      <w:r>
        <w:rPr>
          <w:rFonts w:ascii="Times New Roman;sans-serif" w:hAnsi="Times New Roman;sans-serif"/>
          <w:b w:val="false"/>
          <w:color w:val="000000"/>
          <w:sz w:val="20"/>
          <w:u w:val="single"/>
        </w:rPr>
        <w:t>Section 4.5</w:t>
      </w:r>
      <w:r>
        <w:rPr>
          <w:color w:val="000000"/>
        </w:rPr>
        <w:t xml:space="preserve"> </w:t>
      </w:r>
      <w:r>
        <w:rPr>
          <w:rFonts w:ascii="Times New Roman;sans-serif" w:hAnsi="Times New Roman;sans-serif"/>
          <w:b w:val="false"/>
          <w:color w:val="000000"/>
          <w:sz w:val="20"/>
        </w:rPr>
        <w:t xml:space="preserve">will increase the Share limitations contained in </w:t>
      </w:r>
      <w:r>
        <w:rPr>
          <w:rFonts w:ascii="Times New Roman;sans-serif" w:hAnsi="Times New Roman;sans-serif"/>
          <w:b w:val="false"/>
          <w:color w:val="000000"/>
          <w:sz w:val="20"/>
          <w:u w:val="single"/>
        </w:rPr>
        <w:t>Section 2.1</w:t>
      </w:r>
      <w:r>
        <w:rPr>
          <w:color w:val="000000"/>
        </w:rPr>
        <w:t xml:space="preserve"> </w:t>
      </w:r>
      <w:r>
        <w:rPr>
          <w:rFonts w:ascii="Times New Roman;sans-serif" w:hAnsi="Times New Roman;sans-serif"/>
          <w:b w:val="false"/>
          <w:color w:val="000000"/>
          <w:sz w:val="20"/>
        </w:rPr>
        <w:t>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pStyle w:val="TextBody"/>
        <w:bidi w:val="0"/>
        <w:spacing w:lineRule="auto" w:line="288" w:before="240" w:after="283"/>
        <w:jc w:val="both"/>
        <w:rPr/>
      </w:pPr>
      <w:r>
        <w:rPr>
          <w:rFonts w:ascii="Times New Roman;sans-serif" w:hAnsi="Times New Roman;sans-serif"/>
          <w:b/>
          <w:color w:val="000000"/>
          <w:sz w:val="20"/>
        </w:rPr>
        <w:t>5.    </w:t>
      </w:r>
      <w:r>
        <w:rPr>
          <w:rFonts w:ascii="Times New Roman;sans-serif" w:hAnsi="Times New Roman;sans-serif"/>
          <w:b/>
          <w:color w:val="000000"/>
          <w:sz w:val="20"/>
          <w:u w:val="single"/>
        </w:rPr>
        <w:t>OPTIONS</w:t>
      </w:r>
      <w:r>
        <w:rPr>
          <w:rFonts w:ascii="Times New Roman;sans-serif" w:hAnsi="Times New Roman;sans-serif"/>
          <w:b w:val="false"/>
          <w:color w:val="000000"/>
          <w:sz w:val="20"/>
        </w:rPr>
        <w:t>. An Option is the right but not the obligation to purchase a Share, subject to certain conditions, if applicable. The Committee may grant Options to eligible Employees, Consultants, and Directors and will determine whether such Options will be “incentive stock options” within the meaning of the Code (“</w:t>
      </w:r>
      <w:r>
        <w:rPr>
          <w:rFonts w:ascii="Times New Roman;sans-serif" w:hAnsi="Times New Roman;sans-serif"/>
          <w:b/>
          <w:i/>
          <w:color w:val="000000"/>
          <w:sz w:val="20"/>
        </w:rPr>
        <w:t>ISOs</w:t>
      </w:r>
      <w:r>
        <w:rPr>
          <w:color w:val="000000"/>
        </w:rPr>
        <w:t>”</w:t>
      </w:r>
      <w:r>
        <w:rPr>
          <w:rFonts w:ascii="Times New Roman;sans-serif" w:hAnsi="Times New Roman;sans-serif"/>
          <w:b w:val="false"/>
          <w:color w:val="000000"/>
          <w:sz w:val="20"/>
        </w:rPr>
        <w:t>) or Nonqualified Stock Options (“</w:t>
      </w:r>
      <w:r>
        <w:rPr>
          <w:rFonts w:ascii="Times New Roman;sans-serif" w:hAnsi="Times New Roman;sans-serif"/>
          <w:b/>
          <w:i/>
          <w:color w:val="000000"/>
          <w:sz w:val="20"/>
        </w:rPr>
        <w:t>NQSOs</w:t>
      </w:r>
      <w:r>
        <w:rPr>
          <w:color w:val="000000"/>
        </w:rPr>
        <w:t>”</w:t>
      </w:r>
      <w:r>
        <w:rPr>
          <w:rFonts w:ascii="Times New Roman;sans-serif" w:hAnsi="Times New Roman;sans-serif"/>
          <w:b w:val="false"/>
          <w:color w:val="000000"/>
          <w:sz w:val="20"/>
        </w:rPr>
        <w:t>), the number of Shares subject to the Option, the Exercise Price of the Option, the period during which the Option may vest and be exercised, and all other terms and conditions of the Option, subject to the following terms of this section.</w:t>
      </w:r>
    </w:p>
    <w:p>
      <w:pPr>
        <w:pStyle w:val="TextBody"/>
        <w:bidi w:val="0"/>
        <w:spacing w:lineRule="auto" w:line="288" w:before="240" w:after="283"/>
        <w:ind w:left="0" w:right="0" w:firstLine="720"/>
        <w:jc w:val="both"/>
        <w:rPr/>
      </w:pPr>
      <w:r>
        <w:rPr>
          <w:rFonts w:ascii="Times New Roman;sans-serif" w:hAnsi="Times New Roman;sans-serif"/>
          <w:b/>
          <w:color w:val="010000"/>
          <w:sz w:val="20"/>
        </w:rPr>
        <w:t>5.1.    </w:t>
      </w:r>
      <w:r>
        <w:rPr>
          <w:rFonts w:ascii="Times New Roman;sans-serif" w:hAnsi="Times New Roman;sans-serif"/>
          <w:b w:val="false"/>
          <w:color w:val="000000"/>
          <w:sz w:val="20"/>
          <w:u w:val="single"/>
        </w:rPr>
        <w:t>Option Grant</w:t>
      </w:r>
      <w:r>
        <w:rPr>
          <w:rFonts w:ascii="Times New Roman;sans-serif" w:hAnsi="Times New Roman;sans-serif"/>
          <w:b w:val="false"/>
          <w:color w:val="000000"/>
          <w:sz w:val="20"/>
        </w:rPr>
        <w:t>. Each Option granted under this Plan will identify the Option as an ISO or an NQSO.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pStyle w:val="TextBody"/>
        <w:bidi w:val="0"/>
        <w:spacing w:lineRule="auto" w:line="288" w:before="240" w:after="283"/>
        <w:ind w:left="0" w:right="0" w:firstLine="720"/>
        <w:jc w:val="both"/>
        <w:rPr/>
      </w:pPr>
      <w:r>
        <w:rPr>
          <w:rFonts w:ascii="Times New Roman;sans-serif" w:hAnsi="Times New Roman;sans-serif"/>
          <w:b/>
          <w:color w:val="010000"/>
          <w:sz w:val="20"/>
        </w:rPr>
        <w:t>5.2.    </w:t>
      </w:r>
      <w:r>
        <w:rPr>
          <w:rFonts w:ascii="Times New Roman;sans-serif" w:hAnsi="Times New Roman;sans-serif"/>
          <w:b w:val="false"/>
          <w:color w:val="000000"/>
          <w:sz w:val="20"/>
          <w:u w:val="single"/>
        </w:rPr>
        <w:t>Date of Grant</w:t>
      </w:r>
      <w:r>
        <w:rPr>
          <w:rFonts w:ascii="Times New Roman;sans-serif" w:hAnsi="Times New Roman;sans-serif"/>
          <w:b w:val="false"/>
          <w:color w:val="000000"/>
          <w:sz w:val="20"/>
        </w:rPr>
        <w:t>. The date of grant of an Option will be the date on which the Committee makes the determination to grant such Option, or a specified future date. The Award Agreement will be delivered to the Participant within a reasonable time after the granting of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pPr>
      <w:r>
        <w:rPr>
          <w:rFonts w:ascii="Times New Roman;sans-serif" w:hAnsi="Times New Roman;sans-serif"/>
          <w:b/>
          <w:color w:val="010000"/>
          <w:sz w:val="20"/>
        </w:rPr>
        <w:t>5.3.    </w:t>
      </w:r>
      <w:r>
        <w:rPr>
          <w:rFonts w:ascii="Times New Roman;sans-serif" w:hAnsi="Times New Roman;sans-serif"/>
          <w:b w:val="false"/>
          <w:color w:val="000000"/>
          <w:sz w:val="20"/>
          <w:u w:val="single"/>
        </w:rPr>
        <w:t>Exercise Period</w:t>
      </w:r>
      <w:r>
        <w:rPr>
          <w:rFonts w:ascii="Times New Roman;sans-serif" w:hAnsi="Times New Roman;sans-serif"/>
          <w:b w:val="false"/>
          <w:color w:val="000000"/>
          <w:sz w:val="20"/>
        </w:rPr>
        <w:t>. Options may be vested and exercisable within the times or upon the conditions as set forth in the Award Agreement governing such Option, provided, however, that no Option will be exercisable after the expiration of ten (10) years from the date the Option is granted and provided</w:t>
      </w:r>
      <w:r>
        <w:rPr>
          <w:color w:val="000000"/>
          <w:u w:val="single"/>
        </w:rPr>
        <w:t xml:space="preserve"> </w:t>
      </w:r>
      <w:r>
        <w:rPr>
          <w:rFonts w:ascii="Times New Roman;sans-serif" w:hAnsi="Times New Roman;sans-serif"/>
          <w:b w:val="false"/>
          <w:color w:val="000000"/>
          <w:sz w:val="20"/>
        </w:rPr>
        <w:t>further that no ISO granted to a person who, at the time the ISO is granted, directly or by attribution owns more than ten percent (10%) of the total combined voting power of all classes of stock of the Company or of any Parent or Subsidiary (“</w:t>
      </w:r>
      <w:r>
        <w:rPr>
          <w:rFonts w:ascii="Times New Roman;sans-serif" w:hAnsi="Times New Roman;sans-serif"/>
          <w:b/>
          <w:i/>
          <w:color w:val="000000"/>
          <w:sz w:val="20"/>
        </w:rPr>
        <w:t>Ten Percent Stockholder</w:t>
      </w:r>
      <w:r>
        <w:rPr>
          <w:color w:val="000000"/>
        </w:rPr>
        <w:t>”</w:t>
      </w:r>
      <w:r>
        <w:rPr>
          <w:rFonts w:ascii="Times New Roman;sans-serif" w:hAnsi="Times New Roman;sans-serif"/>
          <w:b w:val="false"/>
          <w:color w:val="000000"/>
          <w:sz w:val="20"/>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pStyle w:val="TextBody"/>
        <w:bidi w:val="0"/>
        <w:spacing w:lineRule="auto" w:line="288" w:before="240" w:after="283"/>
        <w:ind w:left="0" w:right="0" w:firstLine="720"/>
        <w:jc w:val="both"/>
        <w:rPr/>
      </w:pPr>
      <w:r>
        <w:rPr>
          <w:rFonts w:ascii="Times New Roman;sans-serif" w:hAnsi="Times New Roman;sans-serif"/>
          <w:b/>
          <w:color w:val="010000"/>
          <w:sz w:val="20"/>
        </w:rPr>
        <w:t>5.4.    </w:t>
      </w:r>
      <w:r>
        <w:rPr>
          <w:rFonts w:ascii="Times New Roman;sans-serif" w:hAnsi="Times New Roman;sans-serif"/>
          <w:b w:val="false"/>
          <w:color w:val="000000"/>
          <w:sz w:val="20"/>
          <w:u w:val="single"/>
        </w:rPr>
        <w:t>Exercise Price</w:t>
      </w:r>
      <w:r>
        <w:rPr>
          <w:rFonts w:ascii="Times New Roman;sans-serif" w:hAnsi="Times New Roman;sans-serif"/>
          <w:b w:val="false"/>
          <w:color w:val="000000"/>
          <w:sz w:val="20"/>
        </w:rPr>
        <w:t xml:space="preserve">. The Exercise Price of an Option will be determined by the Committee when the Option is granted, provided that: (a) the 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and the Award Agreement and in accordance with any procedures established by the Company.</w:t>
      </w:r>
    </w:p>
    <w:p>
      <w:pPr>
        <w:pStyle w:val="TextBody"/>
        <w:bidi w:val="0"/>
        <w:spacing w:lineRule="auto" w:line="288" w:before="240" w:after="283"/>
        <w:ind w:left="0" w:right="0" w:firstLine="720"/>
        <w:jc w:val="both"/>
        <w:rPr/>
      </w:pPr>
      <w:r>
        <w:rPr>
          <w:rFonts w:ascii="Times New Roman;sans-serif" w:hAnsi="Times New Roman;sans-serif"/>
          <w:b/>
          <w:color w:val="010000"/>
          <w:sz w:val="20"/>
        </w:rPr>
        <w:t>5.5.    </w:t>
      </w:r>
      <w:r>
        <w:rPr>
          <w:rFonts w:ascii="Times New Roman;sans-serif" w:hAnsi="Times New Roman;sans-serif"/>
          <w:b w:val="false"/>
          <w:color w:val="000000"/>
          <w:sz w:val="20"/>
          <w:u w:val="single"/>
        </w:rPr>
        <w:t>Method of Exercise</w:t>
      </w:r>
      <w:r>
        <w:rPr>
          <w:rFonts w:ascii="Times New Roman;sans-serif" w:hAnsi="Times New Roman;sans-serif"/>
          <w:b w:val="false"/>
          <w:color w:val="000000"/>
          <w:sz w:val="20"/>
        </w:rPr>
        <w:t xml:space="preserve">. Any Option granted hereunder will be vested and exercisable according to the terms of this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this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of this Plan. </w:t>
      </w:r>
    </w:p>
    <w:p>
      <w:pPr>
        <w:pStyle w:val="TextBody"/>
        <w:bidi w:val="0"/>
        <w:spacing w:lineRule="auto" w:line="288" w:before="240" w:after="283"/>
        <w:ind w:left="0" w:right="0" w:firstLine="720"/>
        <w:jc w:val="both"/>
        <w:rPr/>
      </w:pPr>
      <w:r>
        <w:rPr>
          <w:rFonts w:ascii="Times New Roman;sans-serif" w:hAnsi="Times New Roman;sans-serif"/>
          <w:b/>
          <w:color w:val="010000"/>
          <w:sz w:val="20"/>
        </w:rPr>
        <w:t>5.6.    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NQSO), but in any event no later than the expiration date of the Options.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(a)    </w:t>
      </w:r>
      <w:r>
        <w:rPr>
          <w:rFonts w:ascii="Times New Roman;sans-serif" w:hAnsi="Times New Roman;sans-serif"/>
          <w:b w:val="false"/>
          <w:color w:val="000000"/>
          <w:sz w:val="20"/>
          <w:u w:val="single"/>
        </w:rPr>
        <w:t>Death</w:t>
      </w:r>
      <w:r>
        <w:rPr>
          <w:rFonts w:ascii="Times New Roman;sans-serif" w:hAnsi="Times New Roman;sans-serif"/>
          <w:b w:val="false"/>
          <w:color w:val="000000"/>
          <w:sz w:val="20"/>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(b)    </w:t>
      </w:r>
      <w:r>
        <w:rPr>
          <w:rFonts w:ascii="Times New Roman;sans-serif" w:hAnsi="Times New Roman;sans-serif"/>
          <w:b w:val="false"/>
          <w:color w:val="000000"/>
          <w:sz w:val="20"/>
          <w:u w:val="single"/>
        </w:rPr>
        <w:t>Disability</w:t>
      </w:r>
      <w:r>
        <w:rPr>
          <w:rFonts w:ascii="Times New Roman;sans-serif" w:hAnsi="Times New Roman;sans-serif"/>
          <w:b w:val="false"/>
          <w:color w:val="000000"/>
          <w:sz w:val="20"/>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NQSO), but in any event no later than the expiration date of the Options.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(c)    </w:t>
      </w:r>
      <w:r>
        <w:rPr>
          <w:rFonts w:ascii="Times New Roman;sans-serif" w:hAnsi="Times New Roman;sans-serif"/>
          <w:b w:val="false"/>
          <w:color w:val="000000"/>
          <w:sz w:val="20"/>
          <w:u w:val="single"/>
        </w:rPr>
        <w:t>Cause</w:t>
      </w:r>
      <w:r>
        <w:rPr>
          <w:rFonts w:ascii="Times New Roman;sans-serif" w:hAnsi="Times New Roman;sans-serif"/>
          <w:b w:val="false"/>
          <w:color w:val="000000"/>
          <w:sz w:val="20"/>
        </w:rPr>
        <w:t xml:space="preserve">. 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then Participant’s Options (whether or not vested) will expire on the date of termination of Participant’s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this Plan.</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(d)    </w:t>
      </w:r>
      <w:r>
        <w:rPr>
          <w:rFonts w:ascii="Times New Roman;sans-serif" w:hAnsi="Times New Roman;sans-serif"/>
          <w:b w:val="false"/>
          <w:color w:val="000000"/>
          <w:sz w:val="20"/>
          <w:u w:val="single"/>
        </w:rPr>
        <w:t>Unvested Options</w:t>
      </w:r>
      <w:r>
        <w:rPr>
          <w:rFonts w:ascii="Times New Roman;sans-serif" w:hAnsi="Times New Roman;sans-serif"/>
          <w:b w:val="false"/>
          <w:color w:val="000000"/>
          <w:sz w:val="20"/>
        </w:rPr>
        <w:t>. Participant’s unvested Options shall expire on the date of Participant’s termination of Service for any reason (unless Participant’s unvested Options are accelerated upon such termination of Service or are required to remain outstanding for some period post-termination in order to remain eligible for acceleration pursuant to an agreement between Participant and the Company).</w:t>
      </w:r>
    </w:p>
    <w:p>
      <w:pPr>
        <w:pStyle w:val="TextBody"/>
        <w:bidi w:val="0"/>
        <w:spacing w:lineRule="auto" w:line="288" w:before="240" w:after="283"/>
        <w:ind w:left="0" w:right="0" w:firstLine="720"/>
        <w:jc w:val="both"/>
        <w:rPr/>
      </w:pPr>
      <w:r>
        <w:rPr>
          <w:rFonts w:ascii="Times New Roman;sans-serif" w:hAnsi="Times New Roman;sans-serif"/>
          <w:b/>
          <w:color w:val="010000"/>
          <w:sz w:val="20"/>
        </w:rPr>
        <w:t>5.7.    </w:t>
      </w:r>
      <w:r>
        <w:rPr>
          <w:rFonts w:ascii="Times New Roman;sans-serif" w:hAnsi="Times New Roman;sans-serif"/>
          <w:b w:val="false"/>
          <w:color w:val="000000"/>
          <w:sz w:val="20"/>
          <w:u w:val="single"/>
        </w:rPr>
        <w:t>Limitations on Exercise</w:t>
      </w:r>
      <w:r>
        <w:rPr>
          <w:rFonts w:ascii="Times New Roman;sans-serif" w:hAnsi="Times New Roman;sans-serif"/>
          <w:b w:val="false"/>
          <w:color w:val="000000"/>
          <w:sz w:val="20"/>
        </w:rPr>
        <w:t>. The Committee may specify a minimum number of Shares that may be purchased on any exercise of an Option, provided that such minimum number will not prevent any Participant from exercising the Option for the full number of Shares for which it is then exercisable.</w:t>
      </w:r>
    </w:p>
    <w:p>
      <w:pPr>
        <w:pStyle w:val="TextBody"/>
        <w:bidi w:val="0"/>
        <w:spacing w:lineRule="auto" w:line="288" w:before="240" w:after="283"/>
        <w:ind w:left="0" w:right="0" w:firstLine="720"/>
        <w:jc w:val="both"/>
        <w:rPr/>
      </w:pPr>
      <w:r>
        <w:rPr>
          <w:rFonts w:ascii="Times New Roman;sans-serif" w:hAnsi="Times New Roman;sans-serif"/>
          <w:b/>
          <w:color w:val="010000"/>
          <w:sz w:val="20"/>
        </w:rPr>
        <w:t>5.8.    </w:t>
      </w:r>
      <w:r>
        <w:rPr>
          <w:rFonts w:ascii="Times New Roman;sans-serif" w:hAnsi="Times New Roman;sans-serif"/>
          <w:b w:val="false"/>
          <w:color w:val="000000"/>
          <w:sz w:val="20"/>
          <w:u w:val="single"/>
        </w:rPr>
        <w:t>Limitations on ISOs</w:t>
      </w:r>
      <w:r>
        <w:rPr>
          <w:rFonts w:ascii="Times New Roman;sans-serif" w:hAnsi="Times New Roman;sans-serif"/>
          <w:b w:val="false"/>
          <w:color w:val="000000"/>
          <w:sz w:val="20"/>
        </w:rPr>
        <w:t xml:space="preserve">. 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NQSOs. For purposes of this </w:t>
      </w:r>
      <w:r>
        <w:rPr>
          <w:rFonts w:ascii="Times New Roman;sans-serif" w:hAnsi="Times New Roman;sans-serif"/>
          <w:b w:val="false"/>
          <w:color w:val="000000"/>
          <w:sz w:val="20"/>
          <w:u w:val="single"/>
        </w:rPr>
        <w:t>Section 5.8</w:t>
      </w:r>
      <w:r>
        <w:rPr>
          <w:rFonts w:ascii="Times New Roman;sans-serif" w:hAnsi="Times New Roman;sans-serif"/>
          <w:b w:val="false"/>
          <w:color w:val="000000"/>
          <w:sz w:val="20"/>
        </w:rPr>
        <w:t>,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pStyle w:val="TextBody"/>
        <w:bidi w:val="0"/>
        <w:spacing w:lineRule="auto" w:line="288" w:before="240" w:after="283"/>
        <w:ind w:left="0" w:right="0" w:firstLine="720"/>
        <w:jc w:val="both"/>
        <w:rPr/>
      </w:pPr>
      <w:r>
        <w:rPr>
          <w:rFonts w:ascii="Times New Roman;sans-serif" w:hAnsi="Times New Roman;sans-serif"/>
          <w:b/>
          <w:color w:val="010000"/>
          <w:sz w:val="20"/>
        </w:rPr>
        <w:t>5.9.    </w:t>
      </w:r>
      <w:r>
        <w:rPr>
          <w:color w:val="000000"/>
          <w:u w:val="single"/>
        </w:rPr>
        <w:t xml:space="preserve"> </w:t>
      </w:r>
      <w:r>
        <w:rPr>
          <w:rFonts w:ascii="Times New Roman;sans-serif" w:hAnsi="Times New Roman;sans-serif"/>
          <w:b w:val="false"/>
          <w:color w:val="000000"/>
          <w:sz w:val="20"/>
          <w:u w:val="single"/>
        </w:rPr>
        <w:t>Modification, Extension or Renewal</w:t>
      </w:r>
      <w:r>
        <w:rPr>
          <w:rFonts w:ascii="Times New Roman;sans-serif" w:hAnsi="Times New Roman;sans-serif"/>
          <w:b w:val="false"/>
          <w:color w:val="000000"/>
          <w:sz w:val="20"/>
        </w:rPr>
        <w:t xml:space="preserve">.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prior stockholder approval as is required by </w:t>
      </w:r>
      <w:r>
        <w:rPr>
          <w:rFonts w:ascii="Times New Roman;sans-serif" w:hAnsi="Times New Roman;sans-serif"/>
          <w:b w:val="false"/>
          <w:color w:val="000000"/>
          <w:sz w:val="20"/>
          <w:u w:val="single"/>
        </w:rPr>
        <w:t>Section 18</w:t>
      </w:r>
      <w:r>
        <w:rPr>
          <w:color w:val="000000"/>
        </w:rPr>
        <w:t xml:space="preserve"> </w:t>
      </w:r>
      <w:r>
        <w:rPr>
          <w:rFonts w:ascii="Times New Roman;sans-serif" w:hAnsi="Times New Roman;sans-serif"/>
          <w:b w:val="false"/>
          <w:color w:val="000000"/>
          <w:sz w:val="20"/>
        </w:rPr>
        <w:t>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pStyle w:val="TextBody"/>
        <w:bidi w:val="0"/>
        <w:spacing w:lineRule="auto" w:line="288" w:before="240" w:after="283"/>
        <w:ind w:left="0" w:right="0" w:firstLine="720"/>
        <w:jc w:val="both"/>
        <w:rPr/>
      </w:pPr>
      <w:r>
        <w:rPr>
          <w:rFonts w:ascii="Times New Roman;sans-serif" w:hAnsi="Times New Roman;sans-serif"/>
          <w:b/>
          <w:color w:val="010000"/>
          <w:sz w:val="20"/>
        </w:rPr>
        <w:t>5.10.    </w:t>
      </w:r>
      <w:r>
        <w:rPr>
          <w:rFonts w:ascii="Times New Roman;sans-serif" w:hAnsi="Times New Roman;sans-serif"/>
          <w:b w:val="false"/>
          <w:color w:val="000000"/>
          <w:sz w:val="20"/>
          <w:u w:val="single"/>
        </w:rPr>
        <w:t>No Disqualification</w:t>
      </w:r>
      <w:r>
        <w:rPr>
          <w:rFonts w:ascii="Times New Roman;sans-serif" w:hAnsi="Times New Roman;sans-serif"/>
          <w:b w:val="false"/>
          <w:color w:val="000000"/>
          <w:sz w:val="20"/>
        </w:rPr>
        <w:t>. 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pStyle w:val="TextBody"/>
        <w:bidi w:val="0"/>
        <w:spacing w:lineRule="auto" w:line="288" w:before="240" w:after="283"/>
        <w:jc w:val="both"/>
        <w:rPr/>
      </w:pPr>
      <w:r>
        <w:rPr>
          <w:rFonts w:ascii="Times New Roman;sans-serif" w:hAnsi="Times New Roman;sans-serif"/>
          <w:b/>
          <w:color w:val="000000"/>
          <w:sz w:val="20"/>
        </w:rPr>
        <w:t>6.    </w:t>
      </w:r>
      <w:r>
        <w:rPr>
          <w:rFonts w:ascii="Times New Roman;sans-serif" w:hAnsi="Times New Roman;sans-serif"/>
          <w:b/>
          <w:color w:val="000000"/>
          <w:sz w:val="20"/>
          <w:u w:val="single"/>
        </w:rPr>
        <w:t>RESTRICTED STOCK AWARDS</w:t>
      </w:r>
      <w:r>
        <w:rPr>
          <w:rFonts w:ascii="Times New Roman;sans-serif" w:hAnsi="Times New Roman;sans-serif"/>
          <w:b w:val="false"/>
          <w:color w:val="000000"/>
          <w:sz w:val="20"/>
        </w:rPr>
        <w:t>. A Restricted Stock Award is an offer by the Company to sell to an eligible Employee, Consultant, or Director Shares that are subject to restrictions (“</w:t>
      </w:r>
      <w:r>
        <w:rPr>
          <w:rFonts w:ascii="Times New Roman;sans-serif" w:hAnsi="Times New Roman;sans-serif"/>
          <w:b/>
          <w:i/>
          <w:color w:val="000000"/>
          <w:sz w:val="20"/>
        </w:rPr>
        <w:t>Restricted Stock</w:t>
      </w:r>
      <w:r>
        <w:rPr>
          <w:color w:val="000000"/>
        </w:rPr>
        <w:t>”</w:t>
      </w:r>
      <w:r>
        <w:rPr>
          <w:rFonts w:ascii="Times New Roman;sans-serif" w:hAnsi="Times New Roman;sans-serif"/>
          <w:b w:val="false"/>
          <w:color w:val="000000"/>
          <w:sz w:val="20"/>
        </w:rPr>
        <w:t>). The Committee will determine to whom an offer will be made, the number of Shares the Participant may purchase, the Purchase Price, the restrictions under which the Shares will be subject, and all other terms and conditions of the Restricted Stock Award, subject to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6.1.    </w:t>
      </w:r>
      <w:r>
        <w:rPr>
          <w:rFonts w:ascii="Times New Roman;sans-serif" w:hAnsi="Times New Roman;sans-serif"/>
          <w:b w:val="false"/>
          <w:color w:val="000000"/>
          <w:sz w:val="20"/>
          <w:u w:val="single"/>
        </w:rPr>
        <w:t>Restricted Stock Purchase Agreement</w:t>
      </w:r>
      <w:r>
        <w:rPr>
          <w:rFonts w:ascii="Times New Roman;sans-serif" w:hAnsi="Times New Roman;sans-serif"/>
          <w:b w:val="false"/>
          <w:color w:val="000000"/>
          <w:sz w:val="20"/>
        </w:rPr>
        <w:t>. 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pStyle w:val="TextBody"/>
        <w:bidi w:val="0"/>
        <w:spacing w:lineRule="auto" w:line="288" w:before="240" w:after="283"/>
        <w:ind w:left="0" w:right="0" w:firstLine="720"/>
        <w:jc w:val="both"/>
        <w:rPr/>
      </w:pPr>
      <w:r>
        <w:rPr>
          <w:rFonts w:ascii="Times New Roman;sans-serif" w:hAnsi="Times New Roman;sans-serif"/>
          <w:b/>
          <w:color w:val="010000"/>
          <w:sz w:val="20"/>
        </w:rPr>
        <w:t>6.2.    </w:t>
      </w:r>
      <w:r>
        <w:rPr>
          <w:rFonts w:ascii="Times New Roman;sans-serif" w:hAnsi="Times New Roman;sans-serif"/>
          <w:b w:val="false"/>
          <w:color w:val="000000"/>
          <w:sz w:val="20"/>
          <w:u w:val="single"/>
        </w:rPr>
        <w:t>Purchase Price</w:t>
      </w:r>
      <w:r>
        <w:rPr>
          <w:rFonts w:ascii="Times New Roman;sans-serif" w:hAnsi="Times New Roman;sans-serif"/>
          <w:b w:val="false"/>
          <w:color w:val="000000"/>
          <w:sz w:val="20"/>
        </w:rPr>
        <w:t xml:space="preserve">. The Purchase Price for a Restricted Stock Award will be determined by the Committee and may be less than Fair Market Value on the date the Restricted Stock Award is granted. Payment of the Purchase Price must be made in accordance with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of this Plan, and the Award Agreement and in accordance with any procedures established by the Company.</w:t>
      </w:r>
    </w:p>
    <w:p>
      <w:pPr>
        <w:pStyle w:val="TextBody"/>
        <w:bidi w:val="0"/>
        <w:spacing w:lineRule="auto" w:line="288" w:before="240" w:after="283"/>
        <w:ind w:left="0" w:right="0" w:firstLine="720"/>
        <w:jc w:val="both"/>
        <w:rPr/>
      </w:pPr>
      <w:r>
        <w:rPr>
          <w:rFonts w:ascii="Times New Roman;sans-serif" w:hAnsi="Times New Roman;sans-serif"/>
          <w:b/>
          <w:color w:val="010000"/>
          <w:sz w:val="20"/>
        </w:rPr>
        <w:t>6.3.    </w:t>
      </w:r>
      <w:r>
        <w:rPr>
          <w:rFonts w:ascii="Times New Roman;sans-serif" w:hAnsi="Times New Roman;sans-serif"/>
          <w:b w:val="false"/>
          <w:color w:val="000000"/>
          <w:sz w:val="20"/>
          <w:u w:val="single"/>
        </w:rPr>
        <w:t>Terms of Restricted Stock Awards</w:t>
      </w:r>
      <w:r>
        <w:rPr>
          <w:rFonts w:ascii="Times New Roman;sans-serif" w:hAnsi="Times New Roman;sans-serif"/>
          <w:b w:val="false"/>
          <w:color w:val="000000"/>
          <w:sz w:val="20"/>
        </w:rPr>
        <w:t xml:space="preserve">. Restricted Stock Awards will be subject to such restrictions as the Committee may impose 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pStyle w:val="TextBody"/>
        <w:bidi w:val="0"/>
        <w:spacing w:lineRule="auto" w:line="288" w:before="240" w:after="283"/>
        <w:ind w:left="0" w:right="0" w:firstLine="720"/>
        <w:jc w:val="both"/>
        <w:rPr/>
      </w:pPr>
      <w:r>
        <w:rPr>
          <w:rFonts w:ascii="Times New Roman;sans-serif" w:hAnsi="Times New Roman;sans-serif"/>
          <w:b/>
          <w:color w:val="010000"/>
          <w:sz w:val="20"/>
        </w:rPr>
        <w:t>6.4.    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such date Participant’s Service terminates (unless determined otherwise by the Committee).</w:t>
      </w:r>
    </w:p>
    <w:p>
      <w:pPr>
        <w:pStyle w:val="TextBody"/>
        <w:bidi w:val="0"/>
        <w:spacing w:lineRule="auto" w:line="288" w:before="240" w:after="283"/>
        <w:jc w:val="both"/>
        <w:rPr/>
      </w:pPr>
      <w:r>
        <w:rPr>
          <w:rFonts w:ascii="Times New Roman;sans-serif" w:hAnsi="Times New Roman;sans-serif"/>
          <w:b/>
          <w:color w:val="000000"/>
          <w:sz w:val="20"/>
        </w:rPr>
        <w:t>7.    </w:t>
      </w:r>
      <w:r>
        <w:rPr>
          <w:rFonts w:ascii="Times New Roman;sans-serif" w:hAnsi="Times New Roman;sans-serif"/>
          <w:b/>
          <w:color w:val="000000"/>
          <w:sz w:val="20"/>
          <w:u w:val="single"/>
        </w:rPr>
        <w:t>STOCK BONUS AWARDS</w:t>
      </w:r>
      <w:r>
        <w:rPr>
          <w:rFonts w:ascii="Times New Roman;sans-serif" w:hAnsi="Times New Roman;sans-serif"/>
          <w:b w:val="false"/>
          <w:color w:val="000000"/>
          <w:sz w:val="20"/>
        </w:rPr>
        <w:t>. 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pStyle w:val="TextBody"/>
        <w:bidi w:val="0"/>
        <w:spacing w:lineRule="auto" w:line="288" w:before="240" w:after="283"/>
        <w:ind w:left="0" w:right="0" w:firstLine="720"/>
        <w:jc w:val="both"/>
        <w:rPr/>
      </w:pPr>
      <w:r>
        <w:rPr>
          <w:rFonts w:ascii="Times New Roman;sans-serif" w:hAnsi="Times New Roman;sans-serif"/>
          <w:b/>
          <w:color w:val="010000"/>
          <w:sz w:val="20"/>
        </w:rPr>
        <w:t>7.1.    </w:t>
      </w:r>
      <w:r>
        <w:rPr>
          <w:rFonts w:ascii="Times New Roman;sans-serif" w:hAnsi="Times New Roman;sans-serif"/>
          <w:b w:val="false"/>
          <w:color w:val="000000"/>
          <w:sz w:val="20"/>
          <w:u w:val="single"/>
        </w:rPr>
        <w:t>Terms of Stock Bonus Awards</w:t>
      </w:r>
      <w:r>
        <w:rPr>
          <w:rFonts w:ascii="Times New Roman;sans-serif" w:hAnsi="Times New Roman;sans-serif"/>
          <w:b w:val="false"/>
          <w:color w:val="000000"/>
          <w:sz w:val="20"/>
        </w:rPr>
        <w:t>. The Committee will determine the number of Shares to be awarded to the Participant under a Stock Bonus 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pStyle w:val="TextBody"/>
        <w:bidi w:val="0"/>
        <w:spacing w:lineRule="auto" w:line="288" w:before="240" w:after="283"/>
        <w:ind w:left="0" w:right="0" w:firstLine="720"/>
        <w:jc w:val="both"/>
        <w:rPr/>
      </w:pPr>
      <w:r>
        <w:rPr>
          <w:rFonts w:ascii="Times New Roman;sans-serif" w:hAnsi="Times New Roman;sans-serif"/>
          <w:b/>
          <w:color w:val="010000"/>
          <w:sz w:val="20"/>
        </w:rPr>
        <w:t>7.2.    </w:t>
      </w:r>
      <w:r>
        <w:rPr>
          <w:rFonts w:ascii="Times New Roman;sans-serif" w:hAnsi="Times New Roman;sans-serif"/>
          <w:b w:val="false"/>
          <w:color w:val="000000"/>
          <w:sz w:val="20"/>
          <w:u w:val="single"/>
        </w:rPr>
        <w:t>Form of Payment to Participant</w:t>
      </w:r>
      <w:r>
        <w:rPr>
          <w:rFonts w:ascii="Times New Roman;sans-serif" w:hAnsi="Times New Roman;sans-serif"/>
          <w:b w:val="false"/>
          <w:color w:val="000000"/>
          <w:sz w:val="20"/>
        </w:rPr>
        <w:t>. Payment may be made in the form of cash, whole Shares, or a combination thereof, based on the Fair Market Value of the Shares earned under a Stock Bonus Award on the date of payment, as determined in the sole discretion of the Committee.</w:t>
      </w:r>
    </w:p>
    <w:p>
      <w:pPr>
        <w:pStyle w:val="TextBody"/>
        <w:bidi w:val="0"/>
        <w:spacing w:lineRule="auto" w:line="288" w:before="240" w:after="283"/>
        <w:ind w:left="0" w:right="0" w:firstLine="720"/>
        <w:jc w:val="both"/>
        <w:rPr/>
      </w:pPr>
      <w:r>
        <w:rPr>
          <w:rFonts w:ascii="Times New Roman;sans-serif" w:hAnsi="Times New Roman;sans-serif"/>
          <w:b/>
          <w:color w:val="010000"/>
          <w:sz w:val="20"/>
        </w:rPr>
        <w:t>7.3.    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such date Participant’s Service terminates (unless determined otherwise by the Committee).</w:t>
      </w:r>
    </w:p>
    <w:p>
      <w:pPr>
        <w:pStyle w:val="TextBody"/>
        <w:bidi w:val="0"/>
        <w:spacing w:lineRule="auto" w:line="288" w:before="240" w:after="283"/>
        <w:jc w:val="both"/>
        <w:rPr/>
      </w:pPr>
      <w:r>
        <w:rPr>
          <w:rFonts w:ascii="Times New Roman;sans-serif" w:hAnsi="Times New Roman;sans-serif"/>
          <w:b/>
          <w:color w:val="000000"/>
          <w:sz w:val="20"/>
        </w:rPr>
        <w:t>8.    </w:t>
      </w:r>
      <w:r>
        <w:rPr>
          <w:rFonts w:ascii="Times New Roman;sans-serif" w:hAnsi="Times New Roman;sans-serif"/>
          <w:b/>
          <w:color w:val="000000"/>
          <w:sz w:val="20"/>
          <w:u w:val="single"/>
        </w:rPr>
        <w:t>STOCK APPRECIATION RIGHTS</w:t>
      </w:r>
      <w:r>
        <w:rPr>
          <w:rFonts w:ascii="Times New Roman;sans-serif" w:hAnsi="Times New Roman;sans-serif"/>
          <w:b w:val="false"/>
          <w:color w:val="000000"/>
          <w:sz w:val="20"/>
        </w:rPr>
        <w:t>. A Stock Appreciation Right (“</w:t>
      </w:r>
      <w:r>
        <w:rPr>
          <w:rFonts w:ascii="Times New Roman;sans-serif" w:hAnsi="Times New Roman;sans-serif"/>
          <w:b/>
          <w:i/>
          <w:color w:val="000000"/>
          <w:sz w:val="20"/>
        </w:rPr>
        <w:t>SAR</w:t>
      </w:r>
      <w:r>
        <w:rPr>
          <w:color w:val="000000"/>
        </w:rPr>
        <w:t>”</w:t>
      </w:r>
      <w:r>
        <w:rPr>
          <w:rFonts w:ascii="Times New Roman;sans-serif" w:hAnsi="Times New Roman;sans-serif"/>
          <w:b w:val="false"/>
          <w:color w:val="000000"/>
          <w:sz w:val="20"/>
        </w:rPr>
        <w:t>)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pStyle w:val="TextBody"/>
        <w:bidi w:val="0"/>
        <w:spacing w:lineRule="auto" w:line="288" w:before="240" w:after="283"/>
        <w:ind w:left="0" w:right="0" w:firstLine="720"/>
        <w:jc w:val="both"/>
        <w:rPr/>
      </w:pPr>
      <w:r>
        <w:rPr>
          <w:rFonts w:ascii="Times New Roman;sans-serif" w:hAnsi="Times New Roman;sans-serif"/>
          <w:b/>
          <w:color w:val="010000"/>
          <w:sz w:val="20"/>
        </w:rPr>
        <w:t>8.1.    </w:t>
      </w:r>
      <w:r>
        <w:rPr>
          <w:rFonts w:ascii="Times New Roman;sans-serif" w:hAnsi="Times New Roman;sans-serif"/>
          <w:b w:val="false"/>
          <w:color w:val="000000"/>
          <w:sz w:val="20"/>
          <w:u w:val="single"/>
        </w:rPr>
        <w:t>Terms of SARs</w:t>
      </w:r>
      <w:r>
        <w:rPr>
          <w:rFonts w:ascii="Times New Roman;sans-serif" w:hAnsi="Times New Roman;sans-serif"/>
          <w:b w:val="false"/>
          <w:color w:val="000000"/>
          <w:sz w:val="20"/>
        </w:rPr>
        <w:t>. 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pStyle w:val="TextBody"/>
        <w:bidi w:val="0"/>
        <w:spacing w:lineRule="auto" w:line="288" w:before="240" w:after="283"/>
        <w:ind w:left="0" w:right="0" w:firstLine="720"/>
        <w:jc w:val="both"/>
        <w:rPr/>
      </w:pPr>
      <w:r>
        <w:rPr>
          <w:rFonts w:ascii="Times New Roman;sans-serif" w:hAnsi="Times New Roman;sans-serif"/>
          <w:b/>
          <w:color w:val="010000"/>
          <w:sz w:val="20"/>
        </w:rPr>
        <w:t>8.2.    </w:t>
      </w:r>
      <w:r>
        <w:rPr>
          <w:rFonts w:ascii="Times New Roman;sans-serif" w:hAnsi="Times New Roman;sans-serif"/>
          <w:b w:val="false"/>
          <w:color w:val="000000"/>
          <w:sz w:val="20"/>
          <w:u w:val="single"/>
        </w:rPr>
        <w:t>Exercise Period and Expiration Date</w:t>
      </w:r>
      <w:r>
        <w:rPr>
          <w:rFonts w:ascii="Times New Roman;sans-serif" w:hAnsi="Times New Roman;sans-serif"/>
          <w:b w:val="false"/>
          <w:color w:val="000000"/>
          <w:sz w:val="20"/>
        </w:rPr>
        <w:t xml:space="preserve">. A SAR will be exercisable within the times or upon the occurrence of events determined by the 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Notwithstanding the foregoing, the rules of </w:t>
      </w:r>
      <w:r>
        <w:rPr>
          <w:rFonts w:ascii="Times New Roman;sans-serif" w:hAnsi="Times New Roman;sans-serif"/>
          <w:b w:val="false"/>
          <w:color w:val="000000"/>
          <w:sz w:val="20"/>
          <w:u w:val="single"/>
        </w:rPr>
        <w:t>Section 5.6</w:t>
      </w:r>
      <w:r>
        <w:rPr>
          <w:color w:val="000000"/>
        </w:rPr>
        <w:t xml:space="preserve"> </w:t>
      </w:r>
      <w:r>
        <w:rPr>
          <w:rFonts w:ascii="Times New Roman;sans-serif" w:hAnsi="Times New Roman;sans-serif"/>
          <w:b w:val="false"/>
          <w:color w:val="000000"/>
          <w:sz w:val="20"/>
        </w:rPr>
        <w:t>also will apply to SARs.</w:t>
      </w:r>
    </w:p>
    <w:p>
      <w:pPr>
        <w:pStyle w:val="TextBody"/>
        <w:bidi w:val="0"/>
        <w:spacing w:lineRule="auto" w:line="288" w:before="240" w:after="283"/>
        <w:ind w:left="0" w:right="0" w:firstLine="720"/>
        <w:jc w:val="both"/>
        <w:rPr/>
      </w:pPr>
      <w:r>
        <w:rPr>
          <w:rFonts w:ascii="Times New Roman;sans-serif" w:hAnsi="Times New Roman;sans-serif"/>
          <w:b/>
          <w:color w:val="010000"/>
          <w:sz w:val="20"/>
        </w:rPr>
        <w:t>8.3.    </w:t>
      </w:r>
      <w:r>
        <w:rPr>
          <w:rFonts w:ascii="Times New Roman;sans-serif" w:hAnsi="Times New Roman;sans-serif"/>
          <w:b w:val="false"/>
          <w:color w:val="000000"/>
          <w:sz w:val="20"/>
          <w:u w:val="single"/>
        </w:rPr>
        <w:t>Form of Settlement</w:t>
      </w:r>
      <w:r>
        <w:rPr>
          <w:rFonts w:ascii="Times New Roman;sans-serif" w:hAnsi="Times New Roman;sans-serif"/>
          <w:b w:val="false"/>
          <w:color w:val="000000"/>
          <w:sz w:val="20"/>
        </w:rPr>
        <w:t xml:space="preserve">. Upon exercise of a SAR, a Participant will be entitled to receive payment from the Company in an amount determined 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 xml:space="preserve">combination thereof. The portion of a SAR being settled may be paid currently or on a deferred basis with such interest, if any, as the Committee determines,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the terms of the SAR and any deferral satisfy the requirements of Section 409A of the Code to the extent applicable.</w:t>
      </w:r>
    </w:p>
    <w:p>
      <w:pPr>
        <w:pStyle w:val="TextBody"/>
        <w:bidi w:val="0"/>
        <w:spacing w:lineRule="auto" w:line="288" w:before="240" w:after="283"/>
        <w:ind w:left="0" w:right="0" w:firstLine="720"/>
        <w:jc w:val="both"/>
        <w:rPr/>
      </w:pPr>
      <w:r>
        <w:rPr>
          <w:rFonts w:ascii="Times New Roman;sans-serif" w:hAnsi="Times New Roman;sans-serif"/>
          <w:b/>
          <w:color w:val="010000"/>
          <w:sz w:val="20"/>
        </w:rPr>
        <w:t>8.4.    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the date Participant’s Service terminates (unless determined otherwise by the Committee).</w:t>
      </w:r>
    </w:p>
    <w:p>
      <w:pPr>
        <w:pStyle w:val="TextBody"/>
        <w:bidi w:val="0"/>
        <w:spacing w:lineRule="auto" w:line="288" w:before="240" w:after="283"/>
        <w:jc w:val="both"/>
        <w:rPr/>
      </w:pPr>
      <w:r>
        <w:rPr>
          <w:rFonts w:ascii="Times New Roman;sans-serif" w:hAnsi="Times New Roman;sans-serif"/>
          <w:b/>
          <w:color w:val="000000"/>
          <w:sz w:val="20"/>
        </w:rPr>
        <w:t>9.    </w:t>
      </w:r>
      <w:r>
        <w:rPr>
          <w:rFonts w:ascii="Times New Roman;sans-serif" w:hAnsi="Times New Roman;sans-serif"/>
          <w:b/>
          <w:color w:val="000000"/>
          <w:sz w:val="20"/>
          <w:u w:val="single"/>
        </w:rPr>
        <w:t>RESTRICTED STOCK UNITS</w:t>
      </w:r>
      <w:r>
        <w:rPr>
          <w:rFonts w:ascii="Times New Roman;sans-serif" w:hAnsi="Times New Roman;sans-serif"/>
          <w:b w:val="false"/>
          <w:color w:val="000000"/>
          <w:sz w:val="20"/>
        </w:rPr>
        <w:t>. A Restricted Stock Unit (“</w:t>
      </w:r>
      <w:r>
        <w:rPr>
          <w:rFonts w:ascii="Times New Roman;sans-serif" w:hAnsi="Times New Roman;sans-serif"/>
          <w:b/>
          <w:i/>
          <w:color w:val="000000"/>
          <w:sz w:val="20"/>
        </w:rPr>
        <w:t>RSU</w:t>
      </w:r>
      <w:r>
        <w:rPr>
          <w:color w:val="000000"/>
        </w:rPr>
        <w:t>”</w:t>
      </w:r>
      <w:r>
        <w:rPr>
          <w:rFonts w:ascii="Times New Roman;sans-serif" w:hAnsi="Times New Roman;sans-serif"/>
          <w:b w:val="false"/>
          <w:color w:val="000000"/>
          <w:sz w:val="20"/>
        </w:rPr>
        <w:t>) is an award to an eligible Employee, Consultant, or Director covering a number of Shares that may be settled by issuance of those Shares (which may consist of Restricted Stock) or in cash. All RSUs will be made pursuant to an Award Agreement.</w:t>
      </w:r>
    </w:p>
    <w:p>
      <w:pPr>
        <w:pStyle w:val="TextBody"/>
        <w:bidi w:val="0"/>
        <w:spacing w:lineRule="auto" w:line="288" w:before="240" w:after="283"/>
        <w:ind w:left="0" w:right="0" w:firstLine="720"/>
        <w:jc w:val="both"/>
        <w:rPr/>
      </w:pPr>
      <w:r>
        <w:rPr>
          <w:rFonts w:ascii="Times New Roman;sans-serif" w:hAnsi="Times New Roman;sans-serif"/>
          <w:b/>
          <w:color w:val="010000"/>
          <w:sz w:val="20"/>
        </w:rPr>
        <w:t>9.1.    </w:t>
      </w:r>
      <w:r>
        <w:rPr>
          <w:rFonts w:ascii="Times New Roman;sans-serif" w:hAnsi="Times New Roman;sans-serif"/>
          <w:b w:val="false"/>
          <w:color w:val="000000"/>
          <w:sz w:val="20"/>
          <w:u w:val="single"/>
        </w:rPr>
        <w:t>Terms of RSUs</w:t>
      </w:r>
      <w:r>
        <w:rPr>
          <w:rFonts w:ascii="Times New Roman;sans-serif" w:hAnsi="Times New Roman;sans-serif"/>
          <w:b w:val="false"/>
          <w:color w:val="000000"/>
          <w:sz w:val="20"/>
        </w:rPr>
        <w:t>.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pStyle w:val="TextBody"/>
        <w:bidi w:val="0"/>
        <w:spacing w:lineRule="auto" w:line="288" w:before="240" w:after="283"/>
        <w:ind w:left="0" w:right="0" w:firstLine="720"/>
        <w:jc w:val="both"/>
        <w:rPr/>
      </w:pPr>
      <w:r>
        <w:rPr>
          <w:rFonts w:ascii="Times New Roman;sans-serif" w:hAnsi="Times New Roman;sans-serif"/>
          <w:b/>
          <w:color w:val="010000"/>
          <w:sz w:val="20"/>
        </w:rPr>
        <w:t>9.2.    </w:t>
      </w:r>
      <w:r>
        <w:rPr>
          <w:rFonts w:ascii="Times New Roman;sans-serif" w:hAnsi="Times New Roman;sans-serif"/>
          <w:b w:val="false"/>
          <w:color w:val="000000"/>
          <w:sz w:val="20"/>
          <w:u w:val="single"/>
        </w:rPr>
        <w:t>Form and Timing of Settlement</w:t>
      </w:r>
      <w:r>
        <w:rPr>
          <w:rFonts w:ascii="Times New Roman;sans-serif" w:hAnsi="Times New Roman;sans-serif"/>
          <w:b w:val="false"/>
          <w:color w:val="000000"/>
          <w:sz w:val="20"/>
        </w:rPr>
        <w:t xml:space="preserve">. Payment of earned RSUs will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the terms of the RSU and any deferral satisfy the requirements of Section 409A of the Code to the extent applicable.</w:t>
      </w:r>
    </w:p>
    <w:p>
      <w:pPr>
        <w:pStyle w:val="TextBody"/>
        <w:bidi w:val="0"/>
        <w:spacing w:lineRule="auto" w:line="288" w:before="240" w:after="283"/>
        <w:ind w:left="0" w:right="0" w:firstLine="720"/>
        <w:jc w:val="both"/>
        <w:rPr/>
      </w:pPr>
      <w:r>
        <w:rPr>
          <w:rFonts w:ascii="Times New Roman;sans-serif" w:hAnsi="Times New Roman;sans-serif"/>
          <w:b/>
          <w:color w:val="010000"/>
          <w:sz w:val="20"/>
        </w:rPr>
        <w:t>9.3.    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such date Participant’s Service terminates (unless determined otherwise by the Committee).</w:t>
      </w:r>
    </w:p>
    <w:p>
      <w:pPr>
        <w:pStyle w:val="TextBody"/>
        <w:bidi w:val="0"/>
        <w:spacing w:lineRule="auto" w:line="288" w:before="240" w:after="283"/>
        <w:jc w:val="both"/>
        <w:rPr/>
      </w:pPr>
      <w:r>
        <w:rPr>
          <w:rFonts w:ascii="Times New Roman;sans-serif" w:hAnsi="Times New Roman;sans-serif"/>
          <w:b/>
          <w:color w:val="000000"/>
          <w:sz w:val="20"/>
        </w:rPr>
        <w:t>10.    </w:t>
      </w:r>
      <w:r>
        <w:rPr>
          <w:rFonts w:ascii="Times New Roman;sans-serif" w:hAnsi="Times New Roman;sans-serif"/>
          <w:b/>
          <w:color w:val="000000"/>
          <w:sz w:val="20"/>
          <w:u w:val="single"/>
        </w:rPr>
        <w:t>PERFORMANCE AWARDS</w:t>
      </w:r>
      <w:r>
        <w:rPr>
          <w:rFonts w:ascii="Times New Roman;sans-serif" w:hAnsi="Times New Roman;sans-serif"/>
          <w:b w:val="false"/>
          <w:color w:val="000000"/>
          <w:sz w:val="20"/>
        </w:rPr>
        <w:t>. 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and may be cash-based. Grants of Performance Awards will be made pursuant to an Award Agreement.</w:t>
      </w:r>
    </w:p>
    <w:p>
      <w:pPr>
        <w:pStyle w:val="TextBody"/>
        <w:bidi w:val="0"/>
        <w:spacing w:lineRule="auto" w:line="288" w:before="240" w:after="283"/>
        <w:ind w:left="0" w:right="0" w:firstLine="720"/>
        <w:jc w:val="both"/>
        <w:rPr/>
      </w:pPr>
      <w:r>
        <w:rPr>
          <w:rFonts w:ascii="Times New Roman;sans-serif" w:hAnsi="Times New Roman;sans-serif"/>
          <w:b/>
          <w:color w:val="010000"/>
          <w:sz w:val="20"/>
        </w:rPr>
        <w:t>10.1.    </w:t>
      </w:r>
      <w:r>
        <w:rPr>
          <w:rFonts w:ascii="Times New Roman;sans-serif" w:hAnsi="Times New Roman;sans-serif"/>
          <w:b w:val="false"/>
          <w:color w:val="000000"/>
          <w:sz w:val="20"/>
          <w:u w:val="single"/>
        </w:rPr>
        <w:t>Types of Performance Awards</w:t>
      </w:r>
      <w:r>
        <w:rPr>
          <w:rFonts w:ascii="Times New Roman;sans-serif" w:hAnsi="Times New Roman;sans-serif"/>
          <w:b w:val="false"/>
          <w:color w:val="000000"/>
          <w:sz w:val="20"/>
        </w:rPr>
        <w:t xml:space="preserve">. Performance Awards shall include Performance Shares, Performance Units and cash-settled Performance Awards as set forth in Sections 10.1(a), 10.1(b) and 10.1(c) below.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(a)    </w:t>
      </w:r>
      <w:r>
        <w:rPr>
          <w:rFonts w:ascii="Times New Roman;sans-serif" w:hAnsi="Times New Roman;sans-serif"/>
          <w:b w:val="false"/>
          <w:color w:val="000000"/>
          <w:sz w:val="20"/>
          <w:u w:val="single"/>
        </w:rPr>
        <w:t>Performance Shares</w:t>
      </w:r>
      <w:r>
        <w:rPr>
          <w:rFonts w:ascii="Times New Roman;sans-serif" w:hAnsi="Times New Roman;sans-serif"/>
          <w:b w:val="false"/>
          <w:color w:val="000000"/>
          <w:sz w:val="20"/>
        </w:rPr>
        <w:t xml:space="preserve">. The Committee may grant Awards of Performance Shares, designate the Participants to whom Performance Shares are to be awarded and determine the number of Performance Shares and the terms and conditions of each such Award.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(b)    </w:t>
      </w:r>
      <w:r>
        <w:rPr>
          <w:rFonts w:ascii="Times New Roman;sans-serif" w:hAnsi="Times New Roman;sans-serif"/>
          <w:b w:val="false"/>
          <w:color w:val="000000"/>
          <w:sz w:val="20"/>
          <w:u w:val="single"/>
        </w:rPr>
        <w:t>Performance Units</w:t>
      </w:r>
      <w:r>
        <w:rPr>
          <w:rFonts w:ascii="Times New Roman;sans-serif" w:hAnsi="Times New Roman;sans-serif"/>
          <w:b w:val="false"/>
          <w:color w:val="000000"/>
          <w:sz w:val="20"/>
        </w:rPr>
        <w:t xml:space="preserve">. The Committee may grant Awards of Performance Units, designate the Participants to whom Performance Units are to be awarded and determine the number of Performance Units and the terms and conditions of each such Award.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(c)    </w:t>
      </w:r>
      <w:r>
        <w:rPr>
          <w:rFonts w:ascii="Times New Roman;sans-serif" w:hAnsi="Times New Roman;sans-serif"/>
          <w:b w:val="false"/>
          <w:color w:val="000000"/>
          <w:sz w:val="20"/>
          <w:u w:val="single"/>
        </w:rPr>
        <w:t>Cash-Settled Performance Awards</w:t>
      </w:r>
      <w:r>
        <w:rPr>
          <w:rFonts w:ascii="Times New Roman;sans-serif" w:hAnsi="Times New Roman;sans-serif"/>
          <w:b w:val="false"/>
          <w:color w:val="000000"/>
          <w:sz w:val="20"/>
        </w:rPr>
        <w:t xml:space="preserve">. The Committee may also grant cash-settled Performance Awards, designate the Participants to whom cash-settled Performance Awards are to be awarded and determine the terms and conditions of each such Award. </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to be paid under any Performance Award may be adjusted on the basis of such further consideration as the Committee shall determine in its sole discretion.</w:t>
      </w:r>
    </w:p>
    <w:p>
      <w:pPr>
        <w:pStyle w:val="TextBody"/>
        <w:bidi w:val="0"/>
        <w:spacing w:lineRule="auto" w:line="288" w:before="240" w:after="283"/>
        <w:ind w:left="0" w:right="0" w:firstLine="720"/>
        <w:jc w:val="both"/>
        <w:rPr/>
      </w:pPr>
      <w:r>
        <w:rPr>
          <w:rFonts w:ascii="Times New Roman;sans-serif" w:hAnsi="Times New Roman;sans-serif"/>
          <w:b/>
          <w:color w:val="010000"/>
          <w:sz w:val="20"/>
        </w:rPr>
        <w:t>10.2.    </w:t>
      </w:r>
      <w:r>
        <w:rPr>
          <w:rFonts w:ascii="Times New Roman;sans-serif" w:hAnsi="Times New Roman;sans-serif"/>
          <w:b w:val="false"/>
          <w:color w:val="000000"/>
          <w:sz w:val="20"/>
          <w:u w:val="single"/>
        </w:rPr>
        <w:t>Terms of Performance Awards</w:t>
      </w:r>
      <w:r>
        <w:rPr>
          <w:rFonts w:ascii="Times New Roman;sans-serif" w:hAnsi="Times New Roman;sans-serif"/>
          <w:b w:val="false"/>
          <w:color w:val="000000"/>
          <w:sz w:val="20"/>
        </w:rPr>
        <w:t xml:space="preserve">. Performance Awards will be based on the attainment of performance goals using the Performance Factors within this Plan that are established by the Committee for the relevant Performance Period. The Committee will determine, and each Award Agreement will set forth, the terms of each Performance Award including, without limitation: (a) the amount of any cash bonus, (b) the number of Shares deemed subject to a Performance Award, (c)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Factors and Performance Period that will determine the time and extent to which each Performance Award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w:t>
      </w:r>
    </w:p>
    <w:p>
      <w:pPr>
        <w:pStyle w:val="TextBody"/>
        <w:bidi w:val="0"/>
        <w:spacing w:lineRule="auto" w:line="288" w:before="240" w:after="283"/>
        <w:ind w:left="0" w:right="0" w:firstLine="720"/>
        <w:jc w:val="both"/>
        <w:rPr/>
      </w:pPr>
      <w:r>
        <w:rPr>
          <w:rFonts w:ascii="Times New Roman;sans-serif" w:hAnsi="Times New Roman;sans-serif"/>
          <w:b/>
          <w:color w:val="010000"/>
          <w:sz w:val="20"/>
        </w:rPr>
        <w:t>10.3.    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the date Participant’s Service terminates (unless determined otherwise by the Committee).</w:t>
      </w:r>
    </w:p>
    <w:p>
      <w:pPr>
        <w:pStyle w:val="TextBody"/>
        <w:bidi w:val="0"/>
        <w:spacing w:lineRule="auto" w:line="288" w:before="240" w:after="283"/>
        <w:jc w:val="both"/>
        <w:rPr/>
      </w:pPr>
      <w:r>
        <w:rPr>
          <w:rFonts w:ascii="Times New Roman;sans-serif" w:hAnsi="Times New Roman;sans-serif"/>
          <w:b/>
          <w:color w:val="000000"/>
          <w:sz w:val="20"/>
        </w:rPr>
        <w:t>11.    </w:t>
      </w:r>
      <w:r>
        <w:rPr>
          <w:rFonts w:ascii="Times New Roman;sans-serif" w:hAnsi="Times New Roman;sans-serif"/>
          <w:b/>
          <w:color w:val="000000"/>
          <w:sz w:val="20"/>
          <w:u w:val="single"/>
        </w:rPr>
        <w:t>PAYMENT FOR SHARE PURCHASES</w:t>
      </w:r>
      <w:r>
        <w:rPr>
          <w:rFonts w:ascii="Times New Roman;sans-serif" w:hAnsi="Times New Roman;sans-serif"/>
          <w:b w:val="false"/>
          <w:color w:val="000000"/>
          <w:sz w:val="20"/>
        </w:rPr>
        <w:t>. Payment from a Participant for Shares purchased pursuant to this Plan may be made in cash or by cash equivalents or, where expressly approved for the Participant by the Committee and where permitted by law (and to the extent not otherwise set forth in the applicable Award Agreement):</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(a)    </w:t>
      </w:r>
      <w:r>
        <w:rPr>
          <w:rFonts w:ascii="Times New Roman;sans-serif" w:hAnsi="Times New Roman;sans-serif"/>
          <w:b w:val="false"/>
          <w:color w:val="000000"/>
          <w:sz w:val="20"/>
        </w:rPr>
        <w:t>by cancellation of indebtedness of the Company owed to the Participant;</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(b)    </w:t>
      </w:r>
      <w:r>
        <w:rPr>
          <w:rFonts w:ascii="Times New Roman;sans-serif" w:hAnsi="Times New Roman;sans-serif"/>
          <w:b w:val="false"/>
          <w:color w:val="000000"/>
          <w:sz w:val="20"/>
        </w:rPr>
        <w:t>by surrender of shares of the Company held by the Participant that have a Fair Market Value on the date of surrender equal to the aggregate Exercise Price of the Shares as to which said Award will be exercised or settled;</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(c)    </w:t>
      </w:r>
      <w:r>
        <w:rPr>
          <w:rFonts w:ascii="Times New Roman;sans-serif" w:hAnsi="Times New Roman;sans-serif"/>
          <w:b w:val="false"/>
          <w:color w:val="000000"/>
          <w:sz w:val="20"/>
        </w:rPr>
        <w:t>by waiver of compensation due or accrued to the Participant for services rendered or to be rendered to the Company or a Parent, Subsidiary or Affiliate;</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(d)    </w:t>
      </w:r>
      <w:r>
        <w:rPr>
          <w:rFonts w:ascii="Times New Roman;sans-serif" w:hAnsi="Times New Roman;sans-serif"/>
          <w:b w:val="false"/>
          <w:color w:val="000000"/>
          <w:sz w:val="20"/>
        </w:rPr>
        <w:t xml:space="preserve">by consideration received by the Company pursuant to a broker-assisted or other form of cashless exercise program implemented by the Company in connection with this Plan;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(e)    </w:t>
      </w:r>
      <w:r>
        <w:rPr>
          <w:rFonts w:ascii="Times New Roman;sans-serif" w:hAnsi="Times New Roman;sans-serif"/>
          <w:b w:val="false"/>
          <w:color w:val="000000"/>
          <w:sz w:val="20"/>
        </w:rPr>
        <w:t>by any combination of the foregoing; or</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(f)    </w:t>
      </w:r>
      <w:r>
        <w:rPr>
          <w:rFonts w:ascii="Times New Roman;sans-serif" w:hAnsi="Times New Roman;sans-serif"/>
          <w:b w:val="false"/>
          <w:color w:val="000000"/>
          <w:sz w:val="20"/>
        </w:rPr>
        <w:t>by any other method of payment as is permitted by applicable law.</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may limit the availability of any method of payment, to the extent the Committee determines, in its discretion, such limitation is necessary or advisable to comply with applicable law or facilitate the administration of this Plan. Unless determined otherwise by the Committee, all payments under any of the methods indicated above shall be made in United States dollars.</w:t>
      </w:r>
    </w:p>
    <w:p>
      <w:pPr>
        <w:pStyle w:val="TextBody"/>
        <w:bidi w:val="0"/>
        <w:spacing w:lineRule="auto" w:line="288" w:before="240" w:after="283"/>
        <w:jc w:val="both"/>
        <w:rPr/>
      </w:pPr>
      <w:r>
        <w:rPr>
          <w:rFonts w:ascii="Times New Roman;sans-serif" w:hAnsi="Times New Roman;sans-serif"/>
          <w:b/>
          <w:color w:val="000000"/>
          <w:sz w:val="20"/>
        </w:rPr>
        <w:t>12.    </w:t>
      </w:r>
      <w:r>
        <w:rPr>
          <w:rFonts w:ascii="Times New Roman;sans-serif" w:hAnsi="Times New Roman;sans-serif"/>
          <w:b/>
          <w:color w:val="000000"/>
          <w:sz w:val="20"/>
          <w:u w:val="single"/>
        </w:rPr>
        <w:t>GRANTS TO NON-EMPLOYEE DIRECTORS</w:t>
      </w:r>
      <w:r>
        <w:rPr>
          <w:rFonts w:ascii="Times New Roman;sans-serif" w:hAnsi="Times New Roman;sans-serif"/>
          <w:b w:val="false"/>
          <w:color w:val="000000"/>
          <w:sz w:val="20"/>
        </w:rPr>
        <w:t xml:space="preserve">. </w:t>
      </w:r>
    </w:p>
    <w:p>
      <w:pPr>
        <w:pStyle w:val="TextBody"/>
        <w:bidi w:val="0"/>
        <w:spacing w:lineRule="auto" w:line="288" w:before="240" w:after="283"/>
        <w:ind w:left="0" w:right="0" w:firstLine="720"/>
        <w:jc w:val="both"/>
        <w:rPr/>
      </w:pPr>
      <w:r>
        <w:rPr>
          <w:rFonts w:ascii="Times New Roman;sans-serif" w:hAnsi="Times New Roman;sans-serif"/>
          <w:b/>
          <w:color w:val="010000"/>
          <w:sz w:val="20"/>
        </w:rPr>
        <w:t>12.1.    </w:t>
      </w:r>
      <w:r>
        <w:rPr>
          <w:rFonts w:ascii="Times New Roman;sans-serif" w:hAnsi="Times New Roman;sans-serif"/>
          <w:b w:val="false"/>
          <w:color w:val="000000"/>
          <w:sz w:val="20"/>
          <w:u w:val="single"/>
        </w:rPr>
        <w:t>Grants and Eligibility</w:t>
      </w:r>
      <w:r>
        <w:rPr>
          <w:rFonts w:ascii="Times New Roman;sans-serif" w:hAnsi="Times New Roman;sans-serif"/>
          <w:b w:val="false"/>
          <w:color w:val="000000"/>
          <w:sz w:val="20"/>
        </w:rPr>
        <w:t xml:space="preserve">. Awards pursuant to this </w:t>
      </w:r>
      <w:r>
        <w:rPr>
          <w:rFonts w:ascii="Times New Roman;sans-serif" w:hAnsi="Times New Roman;sans-serif"/>
          <w:b w:val="false"/>
          <w:color w:val="000000"/>
          <w:sz w:val="20"/>
          <w:u w:val="single"/>
        </w:rPr>
        <w:t>Section 12</w:t>
      </w:r>
      <w:r>
        <w:rPr>
          <w:color w:val="000000"/>
        </w:rPr>
        <w:t xml:space="preserve"> </w:t>
      </w:r>
      <w:r>
        <w:rPr>
          <w:rFonts w:ascii="Times New Roman;sans-serif" w:hAnsi="Times New Roman;sans-serif"/>
          <w:b w:val="false"/>
          <w:color w:val="000000"/>
          <w:sz w:val="20"/>
        </w:rPr>
        <w:t xml:space="preserve">shall be granted only to Non-Employee Directors who are eligible to receive any type of Award offered under this Plan except ISOs. Awards pursuant to this </w:t>
      </w:r>
      <w:r>
        <w:rPr>
          <w:rFonts w:ascii="Times New Roman;sans-serif" w:hAnsi="Times New Roman;sans-serif"/>
          <w:b w:val="false"/>
          <w:color w:val="000000"/>
          <w:sz w:val="20"/>
          <w:u w:val="single"/>
        </w:rPr>
        <w:t>Section 12</w:t>
      </w:r>
      <w:r>
        <w:rPr>
          <w:color w:val="000000"/>
        </w:rPr>
        <w:t xml:space="preserve"> </w:t>
      </w:r>
      <w:r>
        <w:rPr>
          <w:rFonts w:ascii="Times New Roman;sans-serif" w:hAnsi="Times New Roman;sans-serif"/>
          <w:b w:val="false"/>
          <w:color w:val="000000"/>
          <w:sz w:val="20"/>
        </w:rPr>
        <w:t xml:space="preserve">may be automatically made pursuant to a policy adopted by the Board, or made from time to time as determined in the discretion of the Board. </w:t>
      </w:r>
    </w:p>
    <w:p>
      <w:pPr>
        <w:pStyle w:val="TextBody"/>
        <w:bidi w:val="0"/>
        <w:spacing w:lineRule="auto" w:line="288" w:before="240" w:after="283"/>
        <w:ind w:left="0" w:right="0" w:firstLine="720"/>
        <w:jc w:val="both"/>
        <w:rPr/>
      </w:pPr>
      <w:r>
        <w:rPr>
          <w:rFonts w:ascii="Times New Roman;sans-serif" w:hAnsi="Times New Roman;sans-serif"/>
          <w:b/>
          <w:color w:val="010000"/>
          <w:sz w:val="20"/>
        </w:rPr>
        <w:t>12.2.    </w:t>
      </w:r>
      <w:r>
        <w:rPr>
          <w:rFonts w:ascii="Times New Roman;sans-serif" w:hAnsi="Times New Roman;sans-serif"/>
          <w:b w:val="false"/>
          <w:color w:val="000000"/>
          <w:sz w:val="20"/>
          <w:u w:val="single"/>
        </w:rPr>
        <w:t>Calendar Year Limitation</w:t>
      </w:r>
      <w:r>
        <w:rPr>
          <w:rFonts w:ascii="Times New Roman;sans-serif" w:hAnsi="Times New Roman;sans-serif"/>
          <w:b w:val="false"/>
          <w:color w:val="000000"/>
          <w:sz w:val="20"/>
        </w:rPr>
        <w:t xml:space="preserve">. A Non-Employee Director may not receive Awards under this Plan that, when combined with cash compensation received for service as a Non-Employee Director, exceed (x) $750,000 in value (as described below) in any calendar year, for continuing Non-Employee Directors, or (y) $1,500,000 in value (as described below) in the initial calendar year,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they were serving in the capacity as an Employee or while they were a Consultant but not a Non-Employee Director will not count for purposes of the limitations set forth in this </w:t>
      </w:r>
      <w:r>
        <w:rPr>
          <w:rFonts w:ascii="Times New Roman;sans-serif" w:hAnsi="Times New Roman;sans-serif"/>
          <w:b w:val="false"/>
          <w:color w:val="000000"/>
          <w:sz w:val="20"/>
          <w:u w:val="single"/>
        </w:rPr>
        <w:t>Section 12.2</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pPr>
      <w:r>
        <w:rPr>
          <w:rFonts w:ascii="Times New Roman;sans-serif" w:hAnsi="Times New Roman;sans-serif"/>
          <w:b/>
          <w:color w:val="010000"/>
          <w:sz w:val="20"/>
        </w:rPr>
        <w:t>12.3.    </w:t>
      </w:r>
      <w:r>
        <w:rPr>
          <w:rFonts w:ascii="Times New Roman;sans-serif" w:hAnsi="Times New Roman;sans-serif"/>
          <w:b w:val="false"/>
          <w:color w:val="000000"/>
          <w:sz w:val="20"/>
          <w:u w:val="single"/>
        </w:rPr>
        <w:t>Vesting, Exercisability and Settlement</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 Awards will vest, become exercisable, and be settled as determined by the Board. The Exercise Price of Options and SARs granted to Non-Employee Directors will not be less than the Fair Market Value of the Shares at the time that such Option or SAR is granted.</w:t>
      </w:r>
    </w:p>
    <w:p>
      <w:pPr>
        <w:pStyle w:val="TextBody"/>
        <w:bidi w:val="0"/>
        <w:spacing w:lineRule="auto" w:line="288" w:before="240" w:after="283"/>
        <w:ind w:left="0" w:right="0" w:firstLine="720"/>
        <w:jc w:val="both"/>
        <w:rPr/>
      </w:pPr>
      <w:r>
        <w:rPr>
          <w:rFonts w:ascii="Times New Roman;sans-serif" w:hAnsi="Times New Roman;sans-serif"/>
          <w:b/>
          <w:color w:val="010000"/>
          <w:sz w:val="20"/>
        </w:rPr>
        <w:t>12.4.    </w:t>
      </w:r>
      <w:r>
        <w:rPr>
          <w:rFonts w:ascii="Times New Roman;sans-serif" w:hAnsi="Times New Roman;sans-serif"/>
          <w:b w:val="false"/>
          <w:color w:val="000000"/>
          <w:sz w:val="20"/>
          <w:u w:val="single"/>
        </w:rPr>
        <w:t>Election to Receive Awards in Lieu of Cash</w:t>
      </w:r>
      <w:r>
        <w:rPr>
          <w:rFonts w:ascii="Times New Roman;sans-serif" w:hAnsi="Times New Roman;sans-serif"/>
          <w:b w:val="false"/>
          <w:color w:val="000000"/>
          <w:sz w:val="20"/>
        </w:rPr>
        <w:t xml:space="preserve">. If permitted by the Committee, a Non-Employee Director may elect to receive his or her annual retainer payments and/or meeting fees from the Company in the form of cash or Awards or a combination thereof, as determined by the Committee. Such Awards will be issued under this Plan. An election under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will be filed with the Company on the form prescribed by the Company.</w:t>
      </w:r>
    </w:p>
    <w:p>
      <w:pPr>
        <w:pStyle w:val="TextBody"/>
        <w:bidi w:val="0"/>
        <w:spacing w:lineRule="auto" w:line="288" w:before="240" w:after="283"/>
        <w:jc w:val="both"/>
        <w:rPr/>
      </w:pPr>
      <w:r>
        <w:rPr>
          <w:rFonts w:ascii="Times New Roman;sans-serif" w:hAnsi="Times New Roman;sans-serif"/>
          <w:b/>
          <w:color w:val="000000"/>
          <w:sz w:val="20"/>
        </w:rPr>
        <w:t>13.    </w:t>
      </w:r>
      <w:r>
        <w:rPr>
          <w:rFonts w:ascii="Times New Roman;sans-serif" w:hAnsi="Times New Roman;sans-serif"/>
          <w:b/>
          <w:color w:val="000000"/>
          <w:sz w:val="20"/>
          <w:u w:val="single"/>
        </w:rPr>
        <w:t>WITHHOLDING TAXES</w:t>
      </w:r>
      <w:r>
        <w:rPr>
          <w:rFonts w:ascii="Times New Roman;sans-serif" w:hAnsi="Times New Roman;sans-serif"/>
          <w:b w:val="false"/>
          <w:color w:val="000000"/>
          <w:sz w:val="20"/>
        </w:rPr>
        <w:t>.</w:t>
      </w:r>
    </w:p>
    <w:p>
      <w:pPr>
        <w:pStyle w:val="TextBody"/>
        <w:bidi w:val="0"/>
        <w:spacing w:lineRule="auto" w:line="288" w:before="240" w:after="283"/>
        <w:ind w:left="0" w:right="0" w:firstLine="720"/>
        <w:jc w:val="both"/>
        <w:rPr/>
      </w:pPr>
      <w:r>
        <w:rPr>
          <w:rFonts w:ascii="Times New Roman;sans-serif" w:hAnsi="Times New Roman;sans-serif"/>
          <w:b/>
          <w:color w:val="010000"/>
          <w:sz w:val="20"/>
        </w:rPr>
        <w:t>13.1.    </w:t>
      </w:r>
      <w:r>
        <w:rPr>
          <w:rFonts w:ascii="Times New Roman;sans-serif" w:hAnsi="Times New Roman;sans-serif"/>
          <w:b w:val="false"/>
          <w:color w:val="000000"/>
          <w:sz w:val="20"/>
          <w:u w:val="single"/>
        </w:rPr>
        <w:t>Withholding Generally</w:t>
      </w:r>
      <w:r>
        <w:rPr>
          <w:rFonts w:ascii="Times New Roman;sans-serif" w:hAnsi="Times New Roman;sans-serif"/>
          <w:b w:val="false"/>
          <w:color w:val="000000"/>
          <w:sz w:val="20"/>
        </w:rPr>
        <w:t>. Whenever Shares are to be issued in satisfaction of Awards granted under this Plan or a tax event occurs, the Company may require the Participant to remit to the Company, or to the Parent, Subsidiary, or Affiliate, as applicable, employing the Participant an amount sufficient to satisfy applicable U.S. federal, state, local, and international income tax, social insurance, payroll tax, fringe benefits tax, payment on account or other tax-related items (the “</w:t>
      </w:r>
      <w:r>
        <w:rPr>
          <w:rFonts w:ascii="Times New Roman;sans-serif" w:hAnsi="Times New Roman;sans-serif"/>
          <w:b/>
          <w:i/>
          <w:color w:val="000000"/>
          <w:sz w:val="20"/>
        </w:rPr>
        <w:t>Tax-Related Items</w:t>
      </w:r>
      <w:r>
        <w:rPr>
          <w:color w:val="000000"/>
        </w:rPr>
        <w:t>”</w:t>
      </w:r>
      <w:r>
        <w:rPr>
          <w:rFonts w:ascii="Times New Roman;sans-serif" w:hAnsi="Times New Roman;sans-serif"/>
          <w:b w:val="false"/>
          <w:color w:val="000000"/>
          <w:sz w:val="20"/>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pStyle w:val="TextBody"/>
        <w:bidi w:val="0"/>
        <w:spacing w:lineRule="auto" w:line="288" w:before="240" w:after="283"/>
        <w:ind w:left="0" w:right="0" w:firstLine="720"/>
        <w:jc w:val="both"/>
        <w:rPr/>
      </w:pPr>
      <w:r>
        <w:rPr>
          <w:rFonts w:ascii="Times New Roman;sans-serif" w:hAnsi="Times New Roman;sans-serif"/>
          <w:b/>
          <w:color w:val="010000"/>
          <w:sz w:val="20"/>
        </w:rPr>
        <w:t>13.2.    </w:t>
      </w:r>
      <w:r>
        <w:rPr>
          <w:rFonts w:ascii="Times New Roman;sans-serif" w:hAnsi="Times New Roman;sans-serif"/>
          <w:b w:val="false"/>
          <w:color w:val="000000"/>
          <w:sz w:val="20"/>
          <w:u w:val="single"/>
        </w:rPr>
        <w:t>Stock Withholding</w:t>
      </w:r>
      <w:r>
        <w:rPr>
          <w:rFonts w:ascii="Times New Roman;sans-serif" w:hAnsi="Times New Roman;sans-serif"/>
          <w:b w:val="false"/>
          <w:color w:val="000000"/>
          <w:sz w:val="20"/>
        </w:rPr>
        <w:t>. The Committee, or its delegate(s), as permitted by applicable law, in its sole discretion and pursuant to such procedures as it may specify from time to time and subject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w:t>
      </w:r>
      <w:r>
        <w:rPr>
          <w:color w:val="0000FF"/>
        </w:rPr>
        <w:t xml:space="preserve"> </w:t>
      </w:r>
      <w:r>
        <w:rPr>
          <w:rFonts w:ascii="Times New Roman;sans-serif" w:hAnsi="Times New Roman;sans-serif"/>
          <w:b w:val="false"/>
          <w:color w:val="000000"/>
          <w:sz w:val="20"/>
        </w:rPr>
        <w:t>including up to the maximum permissible statutory tax rate for the applicable tax jurisdiction, to the extent consistent with applicable laws.</w:t>
      </w:r>
    </w:p>
    <w:p>
      <w:pPr>
        <w:pStyle w:val="TextBody"/>
        <w:bidi w:val="0"/>
        <w:spacing w:lineRule="auto" w:line="288" w:before="240" w:after="283"/>
        <w:jc w:val="both"/>
        <w:rPr/>
      </w:pPr>
      <w:r>
        <w:rPr>
          <w:rFonts w:ascii="Times New Roman;sans-serif" w:hAnsi="Times New Roman;sans-serif"/>
          <w:b/>
          <w:color w:val="000000"/>
          <w:sz w:val="20"/>
        </w:rPr>
        <w:t>14.    </w:t>
      </w:r>
      <w:r>
        <w:rPr>
          <w:rFonts w:ascii="Times New Roman;sans-serif" w:hAnsi="Times New Roman;sans-serif"/>
          <w:b/>
          <w:color w:val="000000"/>
          <w:sz w:val="20"/>
          <w:u w:val="single"/>
        </w:rPr>
        <w:t>TRANSFERABILITY</w:t>
      </w:r>
      <w:r>
        <w:rPr>
          <w:rFonts w:ascii="Times New Roman;sans-serif" w:hAnsi="Times New Roman;sans-serif"/>
          <w:b w:val="false"/>
          <w:color w:val="000000"/>
          <w:sz w:val="20"/>
        </w:rPr>
        <w:t>. 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pStyle w:val="TextBody"/>
        <w:bidi w:val="0"/>
        <w:spacing w:lineRule="auto" w:line="288" w:before="240" w:after="283"/>
        <w:jc w:val="both"/>
        <w:rPr/>
      </w:pPr>
      <w:r>
        <w:rPr>
          <w:rFonts w:ascii="Times New Roman;sans-serif" w:hAnsi="Times New Roman;sans-serif"/>
          <w:b/>
          <w:color w:val="000000"/>
          <w:sz w:val="20"/>
        </w:rPr>
        <w:t>15.    </w:t>
      </w:r>
      <w:r>
        <w:rPr>
          <w:rFonts w:ascii="Times New Roman;sans-serif" w:hAnsi="Times New Roman;sans-serif"/>
          <w:b/>
          <w:color w:val="000000"/>
          <w:sz w:val="20"/>
          <w:u w:val="single"/>
        </w:rPr>
        <w:t>PRIVILEGES OF STOCK OWNERSHIP; RESTRICTIONS ON SHARES</w:t>
      </w:r>
      <w:r>
        <w:rPr>
          <w:rFonts w:ascii="Times New Roman;sans-serif" w:hAnsi="Times New Roman;sans-serif"/>
          <w:b w:val="false"/>
          <w:color w:val="000000"/>
          <w:sz w:val="20"/>
        </w:rPr>
        <w:t>.</w:t>
      </w:r>
    </w:p>
    <w:p>
      <w:pPr>
        <w:pStyle w:val="TextBody"/>
        <w:bidi w:val="0"/>
        <w:spacing w:lineRule="auto" w:line="288" w:before="240" w:after="283"/>
        <w:ind w:left="0" w:right="0" w:firstLine="720"/>
        <w:jc w:val="both"/>
        <w:rPr/>
      </w:pPr>
      <w:r>
        <w:rPr>
          <w:rFonts w:ascii="Times New Roman;sans-serif" w:hAnsi="Times New Roman;sans-serif"/>
          <w:b/>
          <w:color w:val="010000"/>
          <w:sz w:val="20"/>
        </w:rPr>
        <w:t>15.1.    </w:t>
      </w:r>
      <w:r>
        <w:rPr>
          <w:rFonts w:ascii="Times New Roman;sans-serif" w:hAnsi="Times New Roman;sans-serif"/>
          <w:b w:val="false"/>
          <w:color w:val="000000"/>
          <w:sz w:val="20"/>
          <w:u w:val="single"/>
        </w:rPr>
        <w:t>Voting and Dividends</w:t>
      </w:r>
      <w:r>
        <w:rPr>
          <w:rFonts w:ascii="Times New Roman;sans-serif" w:hAnsi="Times New Roman;sans-serif"/>
          <w:b w:val="false"/>
          <w:color w:val="000000"/>
          <w:sz w:val="20"/>
        </w:rPr>
        <w:t>. 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such Shares are Restricted Stock, then any new, additional or different securities, or cash dividends, the Participant may become entitled to receive with respect to such Shares by virtue of a stock dividend, cash dividend, stock split or any other change in the corporate or capital structure of the Company will be subject to the same restrictions as the Restricted Stock;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the Participant will have no right to such stock dividends, cash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subject to the Award, on the earlier of the date on which the Award is exercised or settled or the date on which it is forfeited</w:t>
      </w:r>
      <w:r>
        <w:rPr>
          <w:color w:val="000000"/>
          <w:u w:val="single"/>
        </w:rPr>
        <w: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w:t>
      </w:r>
    </w:p>
    <w:p>
      <w:pPr>
        <w:pStyle w:val="TextBody"/>
        <w:bidi w:val="0"/>
        <w:spacing w:lineRule="auto" w:line="288" w:before="240" w:after="283"/>
        <w:ind w:left="0" w:right="0" w:firstLine="720"/>
        <w:jc w:val="both"/>
        <w:rPr/>
      </w:pPr>
      <w:r>
        <w:rPr>
          <w:rFonts w:ascii="Times New Roman;sans-serif" w:hAnsi="Times New Roman;sans-serif"/>
          <w:b/>
          <w:color w:val="010000"/>
          <w:sz w:val="20"/>
        </w:rPr>
        <w:t>15.2.    </w:t>
      </w:r>
      <w:r>
        <w:rPr>
          <w:rFonts w:ascii="Times New Roman;sans-serif" w:hAnsi="Times New Roman;sans-serif"/>
          <w:b w:val="false"/>
          <w:color w:val="000000"/>
          <w:sz w:val="20"/>
          <w:u w:val="single"/>
        </w:rPr>
        <w:t>Restrictions on Shares</w:t>
      </w:r>
      <w:r>
        <w:rPr>
          <w:rFonts w:ascii="Times New Roman;sans-serif" w:hAnsi="Times New Roman;sans-serif"/>
          <w:b w:val="false"/>
          <w:color w:val="000000"/>
          <w:sz w:val="20"/>
        </w:rPr>
        <w:t>. At the discretion of the Committee, the Company may reserve to itself and/or its assignee(s) a right to repurchase (a “</w:t>
      </w:r>
      <w:r>
        <w:rPr>
          <w:rFonts w:ascii="Times New Roman;sans-serif" w:hAnsi="Times New Roman;sans-serif"/>
          <w:b/>
          <w:i/>
          <w:color w:val="000000"/>
          <w:sz w:val="20"/>
        </w:rPr>
        <w:t>Right of Repurchase</w:t>
      </w:r>
      <w:r>
        <w:rPr>
          <w:color w:val="000000"/>
        </w:rPr>
        <w:t>”</w:t>
      </w:r>
      <w:r>
        <w:rPr>
          <w:rFonts w:ascii="Times New Roman;sans-serif" w:hAnsi="Times New Roman;sans-serif"/>
          <w:b w:val="false"/>
          <w:color w:val="000000"/>
          <w:sz w:val="20"/>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pStyle w:val="TextBody"/>
        <w:bidi w:val="0"/>
        <w:spacing w:lineRule="auto" w:line="288" w:before="240" w:after="283"/>
        <w:jc w:val="both"/>
        <w:rPr/>
      </w:pPr>
      <w:r>
        <w:rPr>
          <w:rFonts w:ascii="Times New Roman;sans-serif" w:hAnsi="Times New Roman;sans-serif"/>
          <w:b/>
          <w:color w:val="000000"/>
          <w:sz w:val="20"/>
        </w:rPr>
        <w:t>16.    </w:t>
      </w:r>
      <w:r>
        <w:rPr>
          <w:rFonts w:ascii="Times New Roman;sans-serif" w:hAnsi="Times New Roman;sans-serif"/>
          <w:b/>
          <w:color w:val="000000"/>
          <w:sz w:val="20"/>
          <w:u w:val="single"/>
        </w:rPr>
        <w:t>CERTIFICATES</w:t>
      </w:r>
      <w:r>
        <w:rPr>
          <w:rFonts w:ascii="Times New Roman;sans-serif" w:hAnsi="Times New Roman;sans-serif"/>
          <w:b w:val="false"/>
          <w:color w:val="000000"/>
          <w:sz w:val="20"/>
        </w:rPr>
        <w:t>. 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pStyle w:val="TextBody"/>
        <w:bidi w:val="0"/>
        <w:spacing w:lineRule="auto" w:line="288" w:before="240" w:after="283"/>
        <w:jc w:val="both"/>
        <w:rPr/>
      </w:pPr>
      <w:r>
        <w:rPr>
          <w:rFonts w:ascii="Times New Roman;sans-serif" w:hAnsi="Times New Roman;sans-serif"/>
          <w:b/>
          <w:color w:val="000000"/>
          <w:sz w:val="20"/>
        </w:rPr>
        <w:t>17.    </w:t>
      </w:r>
      <w:r>
        <w:rPr>
          <w:rFonts w:ascii="Times New Roman;sans-serif" w:hAnsi="Times New Roman;sans-serif"/>
          <w:b/>
          <w:color w:val="000000"/>
          <w:sz w:val="20"/>
          <w:u w:val="single"/>
        </w:rPr>
        <w:t>ESCROW; PLEDGE OF SHARES</w:t>
      </w:r>
      <w:r>
        <w:rPr>
          <w:rFonts w:ascii="Times New Roman;sans-serif" w:hAnsi="Times New Roman;sans-serif"/>
          <w:b w:val="false"/>
          <w:color w:val="000000"/>
          <w:sz w:val="20"/>
        </w:rPr>
        <w:t>. 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pStyle w:val="TextBody"/>
        <w:bidi w:val="0"/>
        <w:spacing w:lineRule="auto" w:line="288" w:before="240" w:after="283"/>
        <w:jc w:val="both"/>
        <w:rPr/>
      </w:pPr>
      <w:r>
        <w:rPr>
          <w:rFonts w:ascii="Times New Roman;sans-serif" w:hAnsi="Times New Roman;sans-serif"/>
          <w:b/>
          <w:color w:val="000000"/>
          <w:sz w:val="20"/>
        </w:rPr>
        <w:t>18.    </w:t>
      </w:r>
      <w:r>
        <w:rPr>
          <w:rFonts w:ascii="Times New Roman;sans-serif" w:hAnsi="Times New Roman;sans-serif"/>
          <w:b/>
          <w:color w:val="000000"/>
          <w:sz w:val="20"/>
          <w:u w:val="single"/>
        </w:rPr>
        <w:t>REPRICING; EXCHANGE AND BUYOUT OF AWARDS</w:t>
      </w:r>
      <w:r>
        <w:rPr>
          <w:rFonts w:ascii="Times New Roman;sans-serif" w:hAnsi="Times New Roman;sans-serif"/>
          <w:b w:val="false"/>
          <w:color w:val="000000"/>
          <w:sz w:val="20"/>
        </w:rPr>
        <w:t xml:space="preserve">. The repricing of Options or SARs, including pursuant to an Exchange Program, is not permitted without prior stockholder approval. </w:t>
      </w:r>
    </w:p>
    <w:p>
      <w:pPr>
        <w:pStyle w:val="TextBody"/>
        <w:bidi w:val="0"/>
        <w:spacing w:lineRule="auto" w:line="288" w:before="240" w:after="283"/>
        <w:jc w:val="both"/>
        <w:rPr/>
      </w:pPr>
      <w:r>
        <w:rPr>
          <w:rFonts w:ascii="Times New Roman;sans-serif" w:hAnsi="Times New Roman;sans-serif"/>
          <w:b/>
          <w:color w:val="000000"/>
          <w:sz w:val="20"/>
        </w:rPr>
        <w:t>19.    </w:t>
      </w:r>
      <w:r>
        <w:rPr>
          <w:rFonts w:ascii="Times New Roman;sans-serif" w:hAnsi="Times New Roman;sans-serif"/>
          <w:b/>
          <w:color w:val="000000"/>
          <w:sz w:val="20"/>
          <w:u w:val="single"/>
        </w:rPr>
        <w:t>SECURITIES LAW AND OTHER REGULATORY COMPLIANCE</w:t>
      </w:r>
      <w:r>
        <w:rPr>
          <w:rFonts w:ascii="Times New Roman;sans-serif" w:hAnsi="Times New Roman;sans-serif"/>
          <w:b w:val="false"/>
          <w:color w:val="000000"/>
          <w:sz w:val="20"/>
        </w:rPr>
        <w:t>. 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pStyle w:val="TextBody"/>
        <w:bidi w:val="0"/>
        <w:spacing w:lineRule="auto" w:line="288" w:before="240" w:after="283"/>
        <w:jc w:val="both"/>
        <w:rPr/>
      </w:pPr>
      <w:r>
        <w:rPr>
          <w:rFonts w:ascii="Times New Roman;sans-serif" w:hAnsi="Times New Roman;sans-serif"/>
          <w:b/>
          <w:color w:val="000000"/>
          <w:sz w:val="20"/>
        </w:rPr>
        <w:t>20.    </w:t>
      </w:r>
      <w:r>
        <w:rPr>
          <w:rFonts w:ascii="Times New Roman;sans-serif" w:hAnsi="Times New Roman;sans-serif"/>
          <w:b/>
          <w:color w:val="000000"/>
          <w:sz w:val="20"/>
          <w:u w:val="single"/>
        </w:rPr>
        <w:t>NO OBLIGATION TO EMPLOY</w:t>
      </w:r>
      <w:r>
        <w:rPr>
          <w:rFonts w:ascii="Times New Roman;sans-serif" w:hAnsi="Times New Roman;sans-serif"/>
          <w:b w:val="false"/>
          <w:color w:val="000000"/>
          <w:sz w:val="20"/>
        </w:rPr>
        <w:t>. 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pStyle w:val="TextBody"/>
        <w:bidi w:val="0"/>
        <w:spacing w:lineRule="auto" w:line="288" w:before="240" w:after="283"/>
        <w:jc w:val="both"/>
        <w:rPr/>
      </w:pPr>
      <w:r>
        <w:rPr>
          <w:rFonts w:ascii="Times New Roman;sans-serif" w:hAnsi="Times New Roman;sans-serif"/>
          <w:b/>
          <w:color w:val="000000"/>
          <w:sz w:val="20"/>
        </w:rPr>
        <w:t>21.    </w:t>
      </w:r>
      <w:r>
        <w:rPr>
          <w:rFonts w:ascii="Times New Roman;sans-serif" w:hAnsi="Times New Roman;sans-serif"/>
          <w:b/>
          <w:color w:val="000000"/>
          <w:sz w:val="20"/>
          <w:u w:val="single"/>
        </w:rPr>
        <w:t>CORPORATE TRANSACTIONS</w:t>
      </w:r>
      <w:r>
        <w:rPr>
          <w:rFonts w:ascii="Times New Roman;sans-serif" w:hAnsi="Times New Roman;sans-serif"/>
          <w:b w:val="false"/>
          <w:color w:val="000000"/>
          <w:sz w:val="20"/>
        </w:rPr>
        <w:t>.</w:t>
      </w:r>
    </w:p>
    <w:p>
      <w:pPr>
        <w:pStyle w:val="TextBody"/>
        <w:bidi w:val="0"/>
        <w:spacing w:lineRule="auto" w:line="288" w:before="240" w:after="283"/>
        <w:ind w:left="0" w:right="0" w:firstLine="720"/>
        <w:jc w:val="both"/>
        <w:rPr/>
      </w:pPr>
      <w:r>
        <w:rPr>
          <w:rFonts w:ascii="Times New Roman;sans-serif" w:hAnsi="Times New Roman;sans-serif"/>
          <w:b/>
          <w:color w:val="010000"/>
          <w:sz w:val="20"/>
        </w:rPr>
        <w:t>21.1.    </w:t>
      </w:r>
      <w:r>
        <w:rPr>
          <w:rFonts w:ascii="Times New Roman;sans-serif" w:hAnsi="Times New Roman;sans-serif"/>
          <w:b w:val="false"/>
          <w:color w:val="000000"/>
          <w:sz w:val="20"/>
          <w:u w:val="single"/>
        </w:rPr>
        <w:t>Treatment of Awards in the event of Corporate Transaction</w:t>
      </w:r>
      <w:r>
        <w:rPr>
          <w:rFonts w:ascii="Times New Roman;sans-serif" w:hAnsi="Times New Roman;sans-serif"/>
          <w:b w:val="false"/>
          <w:color w:val="000000"/>
          <w:sz w:val="20"/>
        </w:rPr>
        <w:t xml:space="preserve">. In the event of a Corporate Transaction any or all outstanding Awards shall be subject to the definitive agreement related thereto, and may be (a) continued, assumed or replaced by the successor corporation, which assumption or replacement shall be binding on all Participants, provided that the Exercise Price and the number and nature of shares issuable upon exercise of any Option or SAR, or any Award that is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Section 409A of the Code, will be adjusted appropriately pursuant to Section 424(a) of the Code and/or Section 409A of the Code, as applicable, (b) substituted by the successor corporation for equivalent awards or substantially similar consideration as was provided to stockholders (after taking into account the existing provisions of the Awards),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(c) replaced with substantially similar shares or other property subject to repurchase restrictions no less favorable to the Participant, (d) immediately vested (and exercisable, as applicable) and settled (as applicable), followed by the cancellation of such Awards upon or immediately prior to the effectiveness of such transaction or (e)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such successor or acquiring corporation (if any) refuses to continue, assume, convert, replace or substitute Awards or such Awards are not settled for their intrinsic value, as provided above, pursuant to a Corporate Transaction, then notwithstanding any other provision in this Plan to the contrary, such Awards shall have their vesting accelerate as to all Shares subject to such Award (and any applicable right of repurchase fully lapse) immediately prior to the Corporate Transaction and then such Awards will terminate. For purposes of determining the foregoing acceleration, Performance Awards shall be deemed earned and vested at the greater of (a) 100% of target level performance and (b) actual performance through the date of the Corporate Transaction.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Award vests in lieu of continuation, assumption, conversion, replacement or substitution in connection with a Corporate Transaction, as provided above, the Committee will notify the Participant in writing or electronically that such Award will be exercisable for a period of time determined by the Committee in its sole discretion, and such Award will terminate upon the expiration of such period without consideration.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shall have full power and authority to assign the Company’s right to repurchase, right to re-acquire and/or forfeiture rights to such successor or acquiring corporation. Awards need not be treated similarly in a Corporate Transaction and treatment may vary from Award to Award and/or from Participant to Participant.</w:t>
      </w:r>
    </w:p>
    <w:p>
      <w:pPr>
        <w:pStyle w:val="TextBody"/>
        <w:bidi w:val="0"/>
        <w:spacing w:lineRule="auto" w:line="288" w:before="240" w:after="283"/>
        <w:ind w:left="0" w:right="0" w:firstLine="720"/>
        <w:jc w:val="both"/>
        <w:rPr/>
      </w:pPr>
      <w:r>
        <w:rPr>
          <w:rFonts w:ascii="Times New Roman;sans-serif" w:hAnsi="Times New Roman;sans-serif"/>
          <w:b/>
          <w:color w:val="010000"/>
          <w:sz w:val="20"/>
        </w:rPr>
        <w:t>21.2.    </w:t>
      </w:r>
      <w:r>
        <w:rPr>
          <w:rFonts w:ascii="Times New Roman;sans-serif" w:hAnsi="Times New Roman;sans-serif"/>
          <w:b w:val="false"/>
          <w:color w:val="000000"/>
          <w:sz w:val="20"/>
          <w:u w:val="single"/>
        </w:rPr>
        <w:t>Assumption of Awards by the Company</w:t>
      </w:r>
      <w:r>
        <w:rPr>
          <w:rFonts w:ascii="Times New Roman;sans-serif" w:hAnsi="Times New Roman;sans-serif"/>
          <w:b w:val="false"/>
          <w:color w:val="000000"/>
          <w:sz w:val="20"/>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sans-serif" w:hAnsi="Times New Roman;sans-serif"/>
          <w:b w:val="false"/>
          <w:color w:val="000000"/>
          <w:sz w:val="20"/>
          <w:u w:val="single"/>
        </w:rPr>
        <w:t>except</w:t>
      </w:r>
      <w:r>
        <w:rPr>
          <w:color w:val="000000"/>
        </w:rPr>
        <w:t xml:space="preserve"> </w:t>
      </w:r>
      <w:r>
        <w:rPr>
          <w:rFonts w:ascii="Times New Roman;sans-serif" w:hAnsi="Times New Roman;sans-serif"/>
          <w:b w:val="false"/>
          <w:color w:val="000000"/>
          <w:sz w:val="20"/>
        </w:rPr>
        <w:t>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this Plan or authorized for grant to a Participant in a calendar year.</w:t>
      </w:r>
    </w:p>
    <w:p>
      <w:pPr>
        <w:pStyle w:val="TextBody"/>
        <w:bidi w:val="0"/>
        <w:spacing w:lineRule="auto" w:line="288" w:before="240" w:after="283"/>
        <w:ind w:left="0" w:right="0" w:firstLine="720"/>
        <w:jc w:val="both"/>
        <w:rPr/>
      </w:pPr>
      <w:r>
        <w:rPr>
          <w:rFonts w:ascii="Times New Roman;sans-serif" w:hAnsi="Times New Roman;sans-serif"/>
          <w:b/>
          <w:color w:val="010000"/>
          <w:sz w:val="20"/>
        </w:rPr>
        <w:t>21.3.    </w:t>
      </w:r>
      <w:r>
        <w:rPr>
          <w:rFonts w:ascii="Times New Roman;sans-serif" w:hAnsi="Times New Roman;sans-serif"/>
          <w:b w:val="false"/>
          <w:color w:val="000000"/>
          <w:sz w:val="20"/>
          <w:u w:val="single"/>
        </w:rPr>
        <w:t>Non-Employee Directors’ Awards</w:t>
      </w:r>
      <w:r>
        <w:rPr>
          <w:rFonts w:ascii="Times New Roman;sans-serif" w:hAnsi="Times New Roman;sans-serif"/>
          <w:b w:val="false"/>
          <w:color w:val="000000"/>
          <w:sz w:val="20"/>
        </w:rPr>
        <w:t>. 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w:t>
      </w:r>
    </w:p>
    <w:p>
      <w:pPr>
        <w:pStyle w:val="TextBody"/>
        <w:bidi w:val="0"/>
        <w:spacing w:lineRule="auto" w:line="288" w:before="240" w:after="283"/>
        <w:jc w:val="both"/>
        <w:rPr/>
      </w:pPr>
      <w:r>
        <w:rPr>
          <w:rFonts w:ascii="Times New Roman;sans-serif" w:hAnsi="Times New Roman;sans-serif"/>
          <w:b/>
          <w:color w:val="000000"/>
          <w:sz w:val="20"/>
        </w:rPr>
        <w:t>22.    </w:t>
      </w:r>
      <w:r>
        <w:rPr>
          <w:rFonts w:ascii="Times New Roman;sans-serif" w:hAnsi="Times New Roman;sans-serif"/>
          <w:b/>
          <w:color w:val="000000"/>
          <w:sz w:val="20"/>
          <w:u w:val="single"/>
        </w:rPr>
        <w:t>ADOPTION AND STOCKHOLDER APPROVAL</w:t>
      </w:r>
      <w:r>
        <w:rPr>
          <w:rFonts w:ascii="Times New Roman;sans-serif" w:hAnsi="Times New Roman;sans-serif"/>
          <w:b w:val="false"/>
          <w:color w:val="000000"/>
          <w:sz w:val="20"/>
        </w:rPr>
        <w:t>. This Plan will be submitted for the approval of the Company’s stockholders, consistent with applicable laws, within twelve (12) months before or after the date this Plan is adopted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color w:val="000000"/>
          <w:sz w:val="20"/>
        </w:rPr>
        <w:t>23.    </w:t>
      </w:r>
      <w:r>
        <w:rPr>
          <w:rFonts w:ascii="Times New Roman;sans-serif" w:hAnsi="Times New Roman;sans-serif"/>
          <w:b/>
          <w:color w:val="000000"/>
          <w:sz w:val="20"/>
          <w:u w:val="single"/>
        </w:rPr>
        <w:t>TERM OF PLAN/GOVERNING LAW.</w:t>
      </w:r>
      <w:r>
        <w:rPr>
          <w:color w:val="000000"/>
        </w:rPr>
        <w:t xml:space="preserve"> </w:t>
      </w:r>
      <w:r>
        <w:rPr>
          <w:rFonts w:ascii="Times New Roman;sans-serif" w:hAnsi="Times New Roman;sans-serif"/>
          <w:b w:val="false"/>
          <w:color w:val="000000"/>
          <w:sz w:val="20"/>
        </w:rPr>
        <w:t>Unless earlier terminated as provided herein, this Plan will become effective on the Effective Date and will 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pStyle w:val="TextBody"/>
        <w:bidi w:val="0"/>
        <w:spacing w:lineRule="auto" w:line="288" w:before="240" w:after="283"/>
        <w:jc w:val="both"/>
        <w:rPr/>
      </w:pPr>
      <w:r>
        <w:rPr>
          <w:rFonts w:ascii="Times New Roman;sans-serif" w:hAnsi="Times New Roman;sans-serif"/>
          <w:b/>
          <w:color w:val="000000"/>
          <w:sz w:val="20"/>
        </w:rPr>
        <w:t>24.    </w:t>
      </w:r>
      <w:r>
        <w:rPr>
          <w:rFonts w:ascii="Times New Roman;sans-serif" w:hAnsi="Times New Roman;sans-serif"/>
          <w:b/>
          <w:color w:val="000000"/>
          <w:sz w:val="20"/>
          <w:u w:val="single"/>
        </w:rPr>
        <w:t>AMENDMENT OR TERMINATION OF PLAN</w:t>
      </w:r>
      <w:r>
        <w:rPr>
          <w:rFonts w:ascii="Times New Roman;sans-serif" w:hAnsi="Times New Roman;sans-serif"/>
          <w:b w:val="false"/>
          <w:color w:val="000000"/>
          <w:sz w:val="20"/>
        </w:rPr>
        <w:t>. The Board may at any time terminate or amend this Plan in any 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this Plan will affect any then-outstanding Award unless expressly provided by the Committee. In any event, no termination or amendment of this Plan or any outstanding Award may adversely affect any then outstanding Award without the consent of the Participant, unless such termination or amendment is necessary to comply with applicable law, regulation, or rule.</w:t>
      </w:r>
    </w:p>
    <w:p>
      <w:pPr>
        <w:pStyle w:val="TextBody"/>
        <w:bidi w:val="0"/>
        <w:spacing w:lineRule="auto" w:line="288" w:before="240" w:after="283"/>
        <w:jc w:val="both"/>
        <w:rPr/>
      </w:pPr>
      <w:r>
        <w:rPr>
          <w:rFonts w:ascii="Times New Roman;sans-serif" w:hAnsi="Times New Roman;sans-serif"/>
          <w:b/>
          <w:color w:val="000000"/>
          <w:sz w:val="20"/>
        </w:rPr>
        <w:t>25.    </w:t>
      </w:r>
      <w:r>
        <w:rPr>
          <w:rFonts w:ascii="Times New Roman;sans-serif" w:hAnsi="Times New Roman;sans-serif"/>
          <w:b/>
          <w:color w:val="000000"/>
          <w:sz w:val="20"/>
          <w:u w:val="single"/>
        </w:rPr>
        <w:t>NONEXCLUSIVITY OF THIS PLAN</w:t>
      </w:r>
      <w:r>
        <w:rPr>
          <w:rFonts w:ascii="Times New Roman;sans-serif" w:hAnsi="Times New Roman;sans-serif"/>
          <w:b w:val="false"/>
          <w:color w:val="000000"/>
          <w:sz w:val="20"/>
        </w:rPr>
        <w:t>. 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pStyle w:val="TextBody"/>
        <w:bidi w:val="0"/>
        <w:spacing w:lineRule="auto" w:line="288" w:before="240" w:after="283"/>
        <w:jc w:val="both"/>
        <w:rPr/>
      </w:pPr>
      <w:r>
        <w:rPr>
          <w:rFonts w:ascii="Times New Roman;sans-serif" w:hAnsi="Times New Roman;sans-serif"/>
          <w:b/>
          <w:color w:val="000000"/>
          <w:sz w:val="20"/>
        </w:rPr>
        <w:t>26.    </w:t>
      </w:r>
      <w:r>
        <w:rPr>
          <w:rFonts w:ascii="Times New Roman;sans-serif" w:hAnsi="Times New Roman;sans-serif"/>
          <w:b/>
          <w:color w:val="000000"/>
          <w:sz w:val="20"/>
          <w:u w:val="single"/>
        </w:rPr>
        <w:t>INSIDER TRADING POLICY</w:t>
      </w:r>
      <w:r>
        <w:rPr>
          <w:rFonts w:ascii="Times New Roman;sans-serif" w:hAnsi="Times New Roman;sans-serif"/>
          <w:b w:val="false"/>
          <w:color w:val="000000"/>
          <w:sz w:val="20"/>
        </w:rPr>
        <w:t>. Each Participant who receives an Award will comply with any policy adopted by the Company from time to time covering transactions in the Company’s securities by Employees, officers, and/or Directors of the Company, as well as with any applicable insider trading or market abuse laws to which the Participant may be subject.</w:t>
      </w:r>
    </w:p>
    <w:p>
      <w:pPr>
        <w:pStyle w:val="TextBody"/>
        <w:bidi w:val="0"/>
        <w:spacing w:lineRule="auto" w:line="288" w:before="240" w:after="283"/>
        <w:jc w:val="both"/>
        <w:rPr/>
      </w:pPr>
      <w:r>
        <w:rPr>
          <w:rFonts w:ascii="Times New Roman;sans-serif" w:hAnsi="Times New Roman;sans-serif"/>
          <w:b/>
          <w:color w:val="000000"/>
          <w:sz w:val="20"/>
        </w:rPr>
        <w:t>27.    </w:t>
      </w:r>
      <w:r>
        <w:rPr>
          <w:rFonts w:ascii="Times New Roman;sans-serif" w:hAnsi="Times New Roman;sans-serif"/>
          <w:b/>
          <w:color w:val="000000"/>
          <w:sz w:val="20"/>
          <w:u w:val="single"/>
        </w:rPr>
        <w:t>ALL AWARDS SUBJECT TO COMPANY CLAWBACK OR RECOUPMENT POLICY</w:t>
      </w:r>
      <w:r>
        <w:rPr>
          <w:rFonts w:ascii="Times New Roman;sans-serif" w:hAnsi="Times New Roman;sans-serif"/>
          <w:b w:val="false"/>
          <w:color w:val="000000"/>
          <w:sz w:val="20"/>
        </w:rPr>
        <w:t>. All Awards, subject to applicable law, 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pStyle w:val="TextBody"/>
        <w:bidi w:val="0"/>
        <w:spacing w:lineRule="auto" w:line="288" w:before="240" w:after="283"/>
        <w:jc w:val="both"/>
        <w:rPr/>
      </w:pPr>
      <w:r>
        <w:rPr>
          <w:rFonts w:ascii="Times New Roman;sans-serif" w:hAnsi="Times New Roman;sans-serif"/>
          <w:b/>
          <w:color w:val="000000"/>
          <w:sz w:val="20"/>
        </w:rPr>
        <w:t>28.    </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 As used in this Plan, and except as elsewhere defined herein, the following terms will have the following meanings:</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28.1.    </w:t>
      </w:r>
      <w:r>
        <w:rPr>
          <w:color w:val="000000"/>
        </w:rPr>
        <w:t>“</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28.2.    </w:t>
      </w:r>
      <w:r>
        <w:rPr>
          <w:color w:val="000000"/>
        </w:rPr>
        <w:t>“</w:t>
      </w:r>
      <w:r>
        <w:rPr>
          <w:rFonts w:ascii="Times New Roman;sans-serif" w:hAnsi="Times New Roman;sans-serif"/>
          <w:b/>
          <w:i/>
          <w:color w:val="000000"/>
          <w:sz w:val="20"/>
        </w:rPr>
        <w:t>Award</w:t>
      </w:r>
      <w:r>
        <w:rPr>
          <w:color w:val="000000"/>
        </w:rPr>
        <w:t xml:space="preserve">” </w:t>
      </w:r>
      <w:r>
        <w:rPr>
          <w:rFonts w:ascii="Times New Roman;sans-serif" w:hAnsi="Times New Roman;sans-serif"/>
          <w:b w:val="false"/>
          <w:color w:val="000000"/>
          <w:sz w:val="20"/>
        </w:rPr>
        <w:t>means any award under this Plan, including any Option, Restricted Stock Award, Stock Bonus, Stock Appreciation Right, Restricted Stock Unit or Performance Award.</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28.3.    </w:t>
      </w:r>
      <w:r>
        <w:rPr>
          <w:color w:val="000000"/>
        </w:rPr>
        <w:t>“</w:t>
      </w:r>
      <w:r>
        <w:rPr>
          <w:rFonts w:ascii="Times New Roman;sans-serif" w:hAnsi="Times New Roman;sans-serif"/>
          <w:b/>
          <w:i/>
          <w:color w:val="000000"/>
          <w:sz w:val="20"/>
        </w:rPr>
        <w:t>Award Agreement</w:t>
      </w:r>
      <w:r>
        <w:rPr>
          <w:color w:val="000000"/>
        </w:rPr>
        <w:t xml:space="preserve">” </w:t>
      </w:r>
      <w:r>
        <w:rPr>
          <w:rFonts w:ascii="Times New Roman;sans-serif" w:hAnsi="Times New Roman;sans-serif"/>
          <w:b w:val="false"/>
          <w:color w:val="000000"/>
          <w:sz w:val="20"/>
        </w:rPr>
        <w:t>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28.4.    </w:t>
      </w:r>
      <w:r>
        <w:rPr>
          <w:color w:val="000000"/>
        </w:rPr>
        <w:t>“</w:t>
      </w:r>
      <w:r>
        <w:rPr>
          <w:rFonts w:ascii="Times New Roman;sans-serif" w:hAnsi="Times New Roman;sans-serif"/>
          <w:b/>
          <w:i/>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bidi w:val="0"/>
        <w:spacing w:lineRule="auto" w:line="288" w:before="240" w:after="283"/>
        <w:ind w:left="0" w:right="0" w:firstLine="720"/>
        <w:jc w:val="both"/>
        <w:rPr/>
      </w:pPr>
      <w:r>
        <w:rPr>
          <w:rFonts w:ascii="Times New Roman;sans-serif" w:hAnsi="Times New Roman;sans-serif"/>
          <w:b/>
          <w:color w:val="010000"/>
          <w:sz w:val="20"/>
        </w:rPr>
        <w:t>28.5.    </w:t>
      </w:r>
      <w:r>
        <w:rPr>
          <w:color w:val="000000"/>
        </w:rPr>
        <w:t>“</w:t>
      </w:r>
      <w:r>
        <w:rPr>
          <w:rFonts w:ascii="Times New Roman;sans-serif" w:hAnsi="Times New Roman;sans-serif"/>
          <w:b/>
          <w:i/>
          <w:color w:val="000000"/>
          <w:sz w:val="20"/>
        </w:rPr>
        <w:t>Cause</w:t>
      </w:r>
      <w:r>
        <w:rPr>
          <w:color w:val="000000"/>
        </w:rPr>
        <w:t xml:space="preserve">” </w:t>
      </w:r>
      <w:r>
        <w:rPr>
          <w:rFonts w:ascii="Times New Roman;sans-serif" w:hAnsi="Times New Roman;sans-serif"/>
          <w:b w:val="false"/>
          <w:color w:val="000000"/>
          <w:sz w:val="20"/>
        </w:rPr>
        <w:t xml:space="preserve">means a determination by the Company (and in the case of Participant who is subject to Section 16 of the Exchange Act, the Committee) that the Participant has committed an act or acts constituting any of the following: (a) willful failure substantially to perform his or her duties and responsibilities to the Company or deliberate violation of a Company policy (including the Company’s code of conduct);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while providing service to the Company, the provision of material aid to a competitor of the Company; (f) willful breach of any of his or her obligations under any written agreement or covenant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or (g) failure to cooperate with an internal investigation or an investigation by regulatory or law enforcement authorities after being instructed by the Company to cooperate. The determination as to whether Cause for a Participant’s termination exists will be made in good faith by the Company and will be final and binding on the Participant. This definition does not in any way limit the Company’s or any Parent’s or Subsidiary’s or Affiliate’s ability to terminate a Participant’s Service at any time. Notwithstanding the foregoing, the foregoing definition of “Cause” may, in part or in whole, be modified or replaced in each individual employment agreement, Award Agreement, or other applicable agreement with any Participant provided that such document specifically supersedes this definition. </w:t>
      </w:r>
    </w:p>
    <w:p>
      <w:pPr>
        <w:pStyle w:val="TextBody"/>
        <w:bidi w:val="0"/>
        <w:spacing w:lineRule="auto" w:line="288" w:before="240" w:after="283"/>
        <w:ind w:left="0" w:right="0" w:firstLine="720"/>
        <w:jc w:val="both"/>
        <w:rPr/>
      </w:pPr>
      <w:r>
        <w:rPr>
          <w:rFonts w:ascii="Times New Roman;sans-serif" w:hAnsi="Times New Roman;sans-serif"/>
          <w:b/>
          <w:color w:val="010000"/>
          <w:sz w:val="20"/>
        </w:rPr>
        <w:t>28.6.    </w:t>
      </w:r>
      <w:r>
        <w:rPr>
          <w:color w:val="000000"/>
        </w:rPr>
        <w:t>“</w:t>
      </w:r>
      <w:r>
        <w:rPr>
          <w:rFonts w:ascii="Times New Roman;sans-serif" w:hAnsi="Times New Roman;sans-serif"/>
          <w:b/>
          <w:i/>
          <w:color w:val="000000"/>
          <w:sz w:val="20"/>
        </w:rPr>
        <w:t>Code</w:t>
      </w:r>
      <w:r>
        <w:rPr>
          <w:color w:val="000000"/>
        </w:rPr>
        <w:t xml:space="preserve">” </w:t>
      </w:r>
      <w:r>
        <w:rPr>
          <w:rFonts w:ascii="Times New Roman;sans-serif" w:hAnsi="Times New Roman;sans-serif"/>
          <w:b w:val="false"/>
          <w:color w:val="000000"/>
          <w:sz w:val="20"/>
        </w:rPr>
        <w:t>means the United States Internal Revenue Code of 1986, as amended, and the regulations promulgated thereunder.</w:t>
      </w:r>
    </w:p>
    <w:p>
      <w:pPr>
        <w:pStyle w:val="TextBody"/>
        <w:bidi w:val="0"/>
        <w:spacing w:lineRule="auto" w:line="288" w:before="240" w:after="283"/>
        <w:ind w:left="0" w:right="0" w:firstLine="720"/>
        <w:jc w:val="both"/>
        <w:rPr/>
      </w:pPr>
      <w:r>
        <w:rPr>
          <w:rFonts w:ascii="Times New Roman;sans-serif" w:hAnsi="Times New Roman;sans-serif"/>
          <w:b/>
          <w:color w:val="010000"/>
          <w:sz w:val="20"/>
        </w:rPr>
        <w:t>28.7.    </w:t>
      </w:r>
      <w:r>
        <w:rPr>
          <w:color w:val="000000"/>
        </w:rPr>
        <w:t>“</w:t>
      </w:r>
      <w:r>
        <w:rPr>
          <w:rFonts w:ascii="Times New Roman;sans-serif" w:hAnsi="Times New Roman;sans-serif"/>
          <w:b/>
          <w:i/>
          <w:color w:val="000000"/>
          <w:sz w:val="20"/>
        </w:rPr>
        <w:t>Committee</w:t>
      </w:r>
      <w:r>
        <w:rPr>
          <w:color w:val="000000"/>
        </w:rPr>
        <w:t xml:space="preserve">” </w:t>
      </w:r>
      <w:r>
        <w:rPr>
          <w:rFonts w:ascii="Times New Roman;sans-serif" w:hAnsi="Times New Roman;sans-serif"/>
          <w:b w:val="false"/>
          <w:color w:val="000000"/>
          <w:sz w:val="20"/>
        </w:rPr>
        <w:t>means the Compensation Committee of the Board or those persons to whom administration of this Plan, or part of this Plan, has been delegated as permitted by law.</w:t>
      </w:r>
    </w:p>
    <w:p>
      <w:pPr>
        <w:pStyle w:val="TextBody"/>
        <w:bidi w:val="0"/>
        <w:spacing w:lineRule="auto" w:line="288" w:before="240" w:after="283"/>
        <w:ind w:left="0" w:right="0" w:firstLine="720"/>
        <w:jc w:val="both"/>
        <w:rPr/>
      </w:pPr>
      <w:r>
        <w:rPr>
          <w:rFonts w:ascii="Times New Roman;sans-serif" w:hAnsi="Times New Roman;sans-serif"/>
          <w:b/>
          <w:color w:val="010000"/>
          <w:sz w:val="20"/>
        </w:rPr>
        <w:t>28.8.    </w:t>
      </w:r>
      <w:r>
        <w:rPr>
          <w:color w:val="000000"/>
        </w:rPr>
        <w:t>“</w:t>
      </w:r>
      <w:r>
        <w:rPr>
          <w:rFonts w:ascii="Times New Roman;sans-serif" w:hAnsi="Times New Roman;sans-serif"/>
          <w:b/>
          <w:i/>
          <w:color w:val="000000"/>
          <w:sz w:val="20"/>
        </w:rPr>
        <w:t>Common Stock</w:t>
      </w:r>
      <w:r>
        <w:rPr>
          <w:color w:val="000000"/>
        </w:rPr>
        <w:t xml:space="preserve">” </w:t>
      </w:r>
      <w:r>
        <w:rPr>
          <w:rFonts w:ascii="Times New Roman;sans-serif" w:hAnsi="Times New Roman;sans-serif"/>
          <w:b w:val="false"/>
          <w:color w:val="000000"/>
          <w:sz w:val="20"/>
        </w:rPr>
        <w:t>means the common stock of the Company.</w:t>
      </w:r>
    </w:p>
    <w:p>
      <w:pPr>
        <w:pStyle w:val="TextBody"/>
        <w:bidi w:val="0"/>
        <w:spacing w:lineRule="auto" w:line="288" w:before="240" w:after="283"/>
        <w:ind w:left="0" w:right="0" w:firstLine="720"/>
        <w:jc w:val="both"/>
        <w:rPr/>
      </w:pPr>
      <w:r>
        <w:rPr>
          <w:rFonts w:ascii="Times New Roman;sans-serif" w:hAnsi="Times New Roman;sans-serif"/>
          <w:b/>
          <w:color w:val="010000"/>
          <w:sz w:val="20"/>
        </w:rPr>
        <w:t>28.9.    </w:t>
      </w:r>
      <w:r>
        <w:rPr>
          <w:color w:val="000000"/>
        </w:rPr>
        <w:t>“</w:t>
      </w:r>
      <w:r>
        <w:rPr>
          <w:rFonts w:ascii="Times New Roman;sans-serif" w:hAnsi="Times New Roman;sans-serif"/>
          <w:b/>
          <w:i/>
          <w:color w:val="000000"/>
          <w:sz w:val="20"/>
        </w:rPr>
        <w:t>Company</w:t>
      </w:r>
      <w:r>
        <w:rPr>
          <w:color w:val="000000"/>
        </w:rPr>
        <w:t xml:space="preserve">” </w:t>
      </w:r>
      <w:r>
        <w:rPr>
          <w:rFonts w:ascii="Times New Roman;sans-serif" w:hAnsi="Times New Roman;sans-serif"/>
          <w:b w:val="false"/>
          <w:color w:val="000000"/>
          <w:sz w:val="20"/>
        </w:rPr>
        <w:t>means Veracyte, Inc., a Delaware corporation, or any successor corporation.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28.10.    </w:t>
      </w:r>
      <w:r>
        <w:rPr>
          <w:color w:val="000000"/>
        </w:rPr>
        <w:t>“</w:t>
      </w:r>
      <w:r>
        <w:rPr>
          <w:rFonts w:ascii="Times New Roman;sans-serif" w:hAnsi="Times New Roman;sans-serif"/>
          <w:b/>
          <w:i/>
          <w:color w:val="000000"/>
          <w:sz w:val="20"/>
        </w:rPr>
        <w:t>Consultant</w:t>
      </w:r>
      <w:r>
        <w:rPr>
          <w:color w:val="000000"/>
        </w:rPr>
        <w:t xml:space="preserve">” </w:t>
      </w:r>
      <w:r>
        <w:rPr>
          <w:rFonts w:ascii="Times New Roman;sans-serif" w:hAnsi="Times New Roman;sans-serif"/>
          <w:b w:val="false"/>
          <w:color w:val="000000"/>
          <w:sz w:val="20"/>
        </w:rPr>
        <w:t>means any natural person, including an advisor or independent contractor, engaged by the Company or a Parent, Subsidiary, or Affiliate to render services to such entity.</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28.11.    </w:t>
      </w:r>
      <w:r>
        <w:rPr>
          <w:color w:val="000000"/>
        </w:rPr>
        <w:t xml:space="preserve"> “</w:t>
      </w:r>
      <w:r>
        <w:rPr>
          <w:rFonts w:ascii="Times New Roman;sans-serif" w:hAnsi="Times New Roman;sans-serif"/>
          <w:b/>
          <w:i/>
          <w:color w:val="000000"/>
          <w:sz w:val="20"/>
        </w:rPr>
        <w:t>Corporate Transaction</w:t>
      </w:r>
      <w:r>
        <w:rPr>
          <w:color w:val="000000"/>
        </w:rPr>
        <w:t xml:space="preserve">” </w:t>
      </w:r>
      <w:r>
        <w:rPr>
          <w:rFonts w:ascii="Times New Roman;sans-serif" w:hAnsi="Times New Roman;sans-serif"/>
          <w:b w:val="false"/>
          <w:color w:val="000000"/>
          <w:sz w:val="20"/>
        </w:rPr>
        <w:t>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definition,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transaction shall not constitute a Corporate Transaction if its sole purpose is to change the state of the Company’s incorporation or to create a holding company that will be owned in substantially the same proportions by the persons who held the Company’s securities immediately before such transaction, and a Corporate Transaction shall not be deemed to occur if the Company files a registration statement with the United States Securities and Exchange Commission for the initial or secondary public offering of securities or debt of the Company to the public.</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28.12.    </w:t>
      </w:r>
      <w:r>
        <w:rPr>
          <w:color w:val="000000"/>
        </w:rPr>
        <w:t>“</w:t>
      </w:r>
      <w:r>
        <w:rPr>
          <w:rFonts w:ascii="Times New Roman;sans-serif" w:hAnsi="Times New Roman;sans-serif"/>
          <w:b/>
          <w:i/>
          <w:color w:val="000000"/>
          <w:sz w:val="20"/>
        </w:rPr>
        <w:t>Director</w:t>
      </w:r>
      <w:r>
        <w:rPr>
          <w:color w:val="000000"/>
        </w:rPr>
        <w:t xml:space="preserve">” </w:t>
      </w:r>
      <w:r>
        <w:rPr>
          <w:rFonts w:ascii="Times New Roman;sans-serif" w:hAnsi="Times New Roman;sans-serif"/>
          <w:b w:val="false"/>
          <w:color w:val="000000"/>
          <w:sz w:val="20"/>
        </w:rPr>
        <w:t>means a member of the Board.</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28.13.    </w:t>
      </w:r>
      <w:r>
        <w:rPr>
          <w:color w:val="000000"/>
        </w:rPr>
        <w:t>“</w:t>
      </w:r>
      <w:r>
        <w:rPr>
          <w:rFonts w:ascii="Times New Roman;sans-serif" w:hAnsi="Times New Roman;sans-serif"/>
          <w:b/>
          <w:i/>
          <w:color w:val="000000"/>
          <w:sz w:val="20"/>
        </w:rPr>
        <w:t>Disability</w:t>
      </w:r>
      <w:r>
        <w:rPr>
          <w:color w:val="000000"/>
        </w:rPr>
        <w:t xml:space="preserve">” </w:t>
      </w:r>
      <w:r>
        <w:rPr>
          <w:rFonts w:ascii="Times New Roman;sans-serif" w:hAnsi="Times New Roman;sans-serif"/>
          <w:b w:val="false"/>
          <w:color w:val="000000"/>
          <w:sz w:val="20"/>
        </w:rPr>
        <w:t>means in the case of ISOs,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28.14.    </w:t>
      </w:r>
      <w:r>
        <w:rPr>
          <w:rFonts w:ascii="Times New Roman;sans-serif" w:hAnsi="Times New Roman;sans-serif"/>
          <w:b/>
          <w:i/>
          <w:color w:val="000000"/>
          <w:sz w:val="20"/>
        </w:rPr>
        <w:t>Dividend Equivalent Right</w:t>
      </w:r>
      <w:r>
        <w:rPr>
          <w:color w:val="000000"/>
        </w:rPr>
        <w:t xml:space="preserve">” </w:t>
      </w:r>
      <w:r>
        <w:rPr>
          <w:rFonts w:ascii="Times New Roman;sans-serif" w:hAnsi="Times New Roman;sans-serif"/>
          <w:b w:val="false"/>
          <w:color w:val="000000"/>
          <w:sz w:val="20"/>
        </w:rPr>
        <w:t xml:space="preserve">means the right of a Participant, granted at the discretion of the Committee or as otherwise provided by the Plan, to receive a credit for the account of such Participant in an amount equal to the cash, stock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property dividends in amounts equivalent to cash, stock or other property dividends for each Share represented by an Award held by such Participant.</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28.15.    </w:t>
      </w:r>
      <w:r>
        <w:rPr>
          <w:color w:val="000000"/>
        </w:rPr>
        <w:t>“</w:t>
      </w:r>
      <w:r>
        <w:rPr>
          <w:rFonts w:ascii="Times New Roman;sans-serif" w:hAnsi="Times New Roman;sans-serif"/>
          <w:b/>
          <w:i/>
          <w:color w:val="000000"/>
          <w:sz w:val="20"/>
        </w:rPr>
        <w:t>Effective Date</w:t>
      </w:r>
      <w:r>
        <w:rPr>
          <w:color w:val="000000"/>
        </w:rPr>
        <w:t xml:space="preserve">” </w:t>
      </w:r>
      <w:r>
        <w:rPr>
          <w:rFonts w:ascii="Times New Roman;sans-serif" w:hAnsi="Times New Roman;sans-serif"/>
          <w:b w:val="false"/>
          <w:color w:val="000000"/>
          <w:sz w:val="20"/>
        </w:rPr>
        <w:t>means the date this Plan is approved by the stockholders of the Company (which shall be within twelve (12) months of the approval of this Plan by the Board).</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28.16.    </w:t>
      </w:r>
      <w:r>
        <w:rPr>
          <w:color w:val="000000"/>
        </w:rPr>
        <w:t>“</w:t>
      </w:r>
      <w:r>
        <w:rPr>
          <w:rFonts w:ascii="Times New Roman;sans-serif" w:hAnsi="Times New Roman;sans-serif"/>
          <w:b/>
          <w:i/>
          <w:color w:val="000000"/>
          <w:sz w:val="20"/>
        </w:rPr>
        <w:t>Employee</w:t>
      </w:r>
      <w:r>
        <w:rPr>
          <w:color w:val="000000"/>
        </w:rPr>
        <w:t xml:space="preserve">” </w:t>
      </w:r>
      <w:r>
        <w:rPr>
          <w:rFonts w:ascii="Times New Roman;sans-serif" w:hAnsi="Times New Roman;sans-serif"/>
          <w:b w:val="false"/>
          <w:color w:val="000000"/>
          <w:sz w:val="20"/>
        </w:rPr>
        <w:t>means any person, including officers and Directors, providing services as an employee to the Company or any Parent, Subsidiary, or Affiliate. Neither service as a Director nor payment of a director’s fee by the Company will be sufficient to constitute “employment” by the Company.</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28.17.    </w:t>
      </w:r>
      <w:r>
        <w:rPr>
          <w:color w:val="000000"/>
        </w:rPr>
        <w:t>“</w:t>
      </w:r>
      <w:r>
        <w:rPr>
          <w:rFonts w:ascii="Times New Roman;sans-serif" w:hAnsi="Times New Roman;sans-serif"/>
          <w:b/>
          <w:i/>
          <w:color w:val="000000"/>
          <w:sz w:val="20"/>
        </w:rPr>
        <w:t>Exchange Act</w:t>
      </w:r>
      <w:r>
        <w:rPr>
          <w:color w:val="000000"/>
        </w:rPr>
        <w:t xml:space="preserve">” </w:t>
      </w:r>
      <w:r>
        <w:rPr>
          <w:rFonts w:ascii="Times New Roman;sans-serif" w:hAnsi="Times New Roman;sans-serif"/>
          <w:b w:val="false"/>
          <w:color w:val="000000"/>
          <w:sz w:val="20"/>
        </w:rPr>
        <w:t>means the United States Securities Exchange Act of 1934, as amended.</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28.18.    </w:t>
      </w:r>
      <w:r>
        <w:rPr>
          <w:color w:val="000000"/>
        </w:rPr>
        <w:t>“</w:t>
      </w:r>
      <w:r>
        <w:rPr>
          <w:rFonts w:ascii="Times New Roman;sans-serif" w:hAnsi="Times New Roman;sans-serif"/>
          <w:b/>
          <w:i/>
          <w:color w:val="000000"/>
          <w:sz w:val="20"/>
        </w:rPr>
        <w:t>Exchange Program</w:t>
      </w:r>
      <w:r>
        <w:rPr>
          <w:color w:val="000000"/>
        </w:rPr>
        <w:t xml:space="preserve">” </w:t>
      </w:r>
      <w:r>
        <w:rPr>
          <w:rFonts w:ascii="Times New Roman;sans-serif" w:hAnsi="Times New Roman;sans-serif"/>
          <w:b w:val="false"/>
          <w:color w:val="000000"/>
          <w:sz w:val="20"/>
        </w:rPr>
        <w:t>means a program approved by the Company’s stockholders pursuant to which (i) outstanding Awards are surrendered, cancelled, or exchanged for cash, the same type of Award, or a different Award (or combination thereof) or (ii) the exercise price of an outstanding Award is reduced.</w:t>
      </w:r>
    </w:p>
    <w:p>
      <w:pPr>
        <w:pStyle w:val="TextBody"/>
        <w:bidi w:val="0"/>
        <w:spacing w:lineRule="auto" w:line="288" w:before="240" w:after="283"/>
        <w:ind w:left="0" w:right="0" w:firstLine="720"/>
        <w:jc w:val="both"/>
        <w:rPr/>
      </w:pPr>
      <w:r>
        <w:rPr>
          <w:rFonts w:ascii="Times New Roman;sans-serif" w:hAnsi="Times New Roman;sans-serif"/>
          <w:b/>
          <w:color w:val="010000"/>
          <w:sz w:val="20"/>
        </w:rPr>
        <w:t>28.19.    </w:t>
      </w:r>
      <w:r>
        <w:rPr>
          <w:color w:val="000000"/>
        </w:rPr>
        <w:t>“</w:t>
      </w:r>
      <w:r>
        <w:rPr>
          <w:rFonts w:ascii="Times New Roman;sans-serif" w:hAnsi="Times New Roman;sans-serif"/>
          <w:b/>
          <w:i/>
          <w:color w:val="000000"/>
          <w:sz w:val="20"/>
        </w:rPr>
        <w:t>Exercise Price</w:t>
      </w:r>
      <w:r>
        <w:rPr>
          <w:color w:val="000000"/>
        </w:rPr>
        <w:t xml:space="preserve">” </w:t>
      </w:r>
      <w:r>
        <w:rPr>
          <w:rFonts w:ascii="Times New Roman;sans-serif" w:hAnsi="Times New Roman;sans-serif"/>
          <w:b w:val="false"/>
          <w:color w:val="000000"/>
          <w:sz w:val="20"/>
        </w:rPr>
        <w:t>means, with respect to an Option, the price at which a holder may purchase the Shares issuable upon exercise of an Option and with respect to a SAR, the price at which the SAR is granted to the holder thereof.</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28.20.    </w:t>
      </w:r>
      <w:r>
        <w:rPr>
          <w:color w:val="000000"/>
        </w:rPr>
        <w:t>“</w:t>
      </w:r>
      <w:r>
        <w:rPr>
          <w:rFonts w:ascii="Times New Roman;sans-serif" w:hAnsi="Times New Roman;sans-serif"/>
          <w:b/>
          <w:i/>
          <w:color w:val="000000"/>
          <w:sz w:val="20"/>
        </w:rPr>
        <w:t>Fair Market Value</w:t>
      </w:r>
      <w:r>
        <w:rPr>
          <w:color w:val="000000"/>
        </w:rPr>
        <w:t xml:space="preserve">” </w:t>
      </w:r>
      <w:r>
        <w:rPr>
          <w:rFonts w:ascii="Times New Roman;sans-serif" w:hAnsi="Times New Roman;sans-serif"/>
          <w:b w:val="false"/>
          <w:color w:val="000000"/>
          <w:sz w:val="20"/>
        </w:rPr>
        <w:t>means, as of any date, the value of a Share, determined as follows: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(a)    </w:t>
      </w:r>
      <w:r>
        <w:rPr>
          <w:rFonts w:ascii="Times New Roman;sans-serif" w:hAnsi="Times New Roman;sans-serif"/>
          <w:b w:val="false"/>
          <w:color w:val="000000"/>
          <w:sz w:val="20"/>
        </w:rPr>
        <w:t>If such Common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Common Stock is quoted or, if the Common Stock is not quoted on any such system, by the OTC Link Quote system;</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(b)    </w:t>
      </w:r>
      <w:r>
        <w:rPr>
          <w:rFonts w:ascii="Times New Roman;sans-serif" w:hAnsi="Times New Roman;sans-serif"/>
          <w:b w:val="false"/>
          <w:color w:val="000000"/>
          <w:sz w:val="20"/>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Committee determines;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(c)    </w:t>
      </w:r>
      <w:r>
        <w:rPr>
          <w:rFonts w:ascii="Times New Roman;sans-serif" w:hAnsi="Times New Roman;sans-serif"/>
          <w:b w:val="false"/>
          <w:color w:val="000000"/>
          <w:sz w:val="20"/>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Committee determines; or</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(d)    </w:t>
      </w:r>
      <w:r>
        <w:rPr>
          <w:rFonts w:ascii="Times New Roman;sans-serif" w:hAnsi="Times New Roman;sans-serif"/>
          <w:b w:val="false"/>
          <w:color w:val="000000"/>
          <w:sz w:val="20"/>
        </w:rPr>
        <w:t>by the Board or the Committee in good faith.</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28.21.    </w:t>
      </w:r>
      <w:r>
        <w:rPr>
          <w:color w:val="000000"/>
        </w:rPr>
        <w:t>“</w:t>
      </w:r>
      <w:r>
        <w:rPr>
          <w:rFonts w:ascii="Times New Roman;sans-serif" w:hAnsi="Times New Roman;sans-serif"/>
          <w:b/>
          <w:i/>
          <w:color w:val="000000"/>
          <w:sz w:val="20"/>
        </w:rPr>
        <w:t>Insider</w:t>
      </w:r>
      <w:r>
        <w:rPr>
          <w:color w:val="000000"/>
        </w:rPr>
        <w:t xml:space="preserve">” </w:t>
      </w:r>
      <w:r>
        <w:rPr>
          <w:rFonts w:ascii="Times New Roman;sans-serif" w:hAnsi="Times New Roman;sans-serif"/>
          <w:b w:val="false"/>
          <w:color w:val="000000"/>
          <w:sz w:val="20"/>
        </w:rPr>
        <w:t>means an officer or Director of the Company or any other person whose transactions in the Company’s Common Stock are subject to Section 16 of the Exchange Act.</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28.22.    </w:t>
      </w:r>
      <w:r>
        <w:rPr>
          <w:color w:val="000000"/>
        </w:rPr>
        <w:t>“</w:t>
      </w:r>
      <w:r>
        <w:rPr>
          <w:rFonts w:ascii="Times New Roman;sans-serif" w:hAnsi="Times New Roman;sans-serif"/>
          <w:b/>
          <w:i/>
          <w:color w:val="000000"/>
          <w:sz w:val="20"/>
        </w:rPr>
        <w:t>IRS</w:t>
      </w:r>
      <w:r>
        <w:rPr>
          <w:color w:val="000000"/>
        </w:rPr>
        <w:t xml:space="preserve">” </w:t>
      </w:r>
      <w:r>
        <w:rPr>
          <w:rFonts w:ascii="Times New Roman;sans-serif" w:hAnsi="Times New Roman;sans-serif"/>
          <w:b w:val="false"/>
          <w:color w:val="000000"/>
          <w:sz w:val="20"/>
        </w:rPr>
        <w:t>means the United States Internal Revenue Service.</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28.23.    </w:t>
      </w:r>
      <w:r>
        <w:rPr>
          <w:color w:val="000000"/>
        </w:rPr>
        <w:t>“</w:t>
      </w:r>
      <w:r>
        <w:rPr>
          <w:rFonts w:ascii="Times New Roman;sans-serif" w:hAnsi="Times New Roman;sans-serif"/>
          <w:b/>
          <w:i/>
          <w:color w:val="000000"/>
          <w:sz w:val="20"/>
        </w:rPr>
        <w:t>Non-Employee Director</w:t>
      </w:r>
      <w:r>
        <w:rPr>
          <w:color w:val="000000"/>
        </w:rPr>
        <w:t xml:space="preserve">” </w:t>
      </w:r>
      <w:r>
        <w:rPr>
          <w:rFonts w:ascii="Times New Roman;sans-serif" w:hAnsi="Times New Roman;sans-serif"/>
          <w:b w:val="false"/>
          <w:color w:val="000000"/>
          <w:sz w:val="20"/>
        </w:rPr>
        <w:t>means a Director who is not an Employee of the Company or any Parent, Subsidiary, or Affiliate.</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28.24.    </w:t>
      </w:r>
      <w:r>
        <w:rPr>
          <w:color w:val="000000"/>
        </w:rPr>
        <w:t>“</w:t>
      </w:r>
      <w:r>
        <w:rPr>
          <w:rFonts w:ascii="Times New Roman;sans-serif" w:hAnsi="Times New Roman;sans-serif"/>
          <w:b/>
          <w:i/>
          <w:color w:val="000000"/>
          <w:sz w:val="20"/>
        </w:rPr>
        <w:t>Option</w:t>
      </w:r>
      <w:r>
        <w:rPr>
          <w:color w:val="000000"/>
        </w:rPr>
        <w:t xml:space="preserve">” </w:t>
      </w:r>
      <w:r>
        <w:rPr>
          <w:rFonts w:ascii="Times New Roman;sans-serif" w:hAnsi="Times New Roman;sans-serif"/>
          <w:b w:val="false"/>
          <w:color w:val="000000"/>
          <w:sz w:val="20"/>
        </w:rPr>
        <w:t xml:space="preserve">means an Award as defined in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and granted under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28.25.    </w:t>
      </w:r>
      <w:r>
        <w:rPr>
          <w:color w:val="000000"/>
        </w:rPr>
        <w:t>“</w:t>
      </w:r>
      <w:r>
        <w:rPr>
          <w:rFonts w:ascii="Times New Roman;sans-serif" w:hAnsi="Times New Roman;sans-serif"/>
          <w:b/>
          <w:i/>
          <w:color w:val="000000"/>
          <w:sz w:val="20"/>
        </w:rPr>
        <w:t>Parent</w:t>
      </w:r>
      <w:r>
        <w:rPr>
          <w:color w:val="000000"/>
        </w:rPr>
        <w:t xml:space="preserve">” </w:t>
      </w:r>
      <w:r>
        <w:rPr>
          <w:rFonts w:ascii="Times New Roman;sans-serif" w:hAnsi="Times New Roman;sans-serif"/>
          <w:b w:val="false"/>
          <w:color w:val="000000"/>
          <w:sz w:val="20"/>
        </w:rPr>
        <w:t>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28.26.    </w:t>
      </w:r>
      <w:r>
        <w:rPr>
          <w:color w:val="000000"/>
        </w:rPr>
        <w:t>“</w:t>
      </w:r>
      <w:r>
        <w:rPr>
          <w:rFonts w:ascii="Times New Roman;sans-serif" w:hAnsi="Times New Roman;sans-serif"/>
          <w:b/>
          <w:i/>
          <w:color w:val="000000"/>
          <w:sz w:val="20"/>
        </w:rPr>
        <w:t>Participant</w:t>
      </w:r>
      <w:r>
        <w:rPr>
          <w:color w:val="000000"/>
        </w:rPr>
        <w:t xml:space="preserve">” </w:t>
      </w:r>
      <w:r>
        <w:rPr>
          <w:rFonts w:ascii="Times New Roman;sans-serif" w:hAnsi="Times New Roman;sans-serif"/>
          <w:b w:val="false"/>
          <w:color w:val="000000"/>
          <w:sz w:val="20"/>
        </w:rPr>
        <w:t>means a person who holds an Award under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28.27.    </w:t>
      </w:r>
      <w:r>
        <w:rPr>
          <w:color w:val="000000"/>
        </w:rPr>
        <w:t>“</w:t>
      </w:r>
      <w:r>
        <w:rPr>
          <w:rFonts w:ascii="Times New Roman;sans-serif" w:hAnsi="Times New Roman;sans-serif"/>
          <w:b/>
          <w:i/>
          <w:color w:val="000000"/>
          <w:sz w:val="20"/>
        </w:rPr>
        <w:t>Performance Award</w:t>
      </w:r>
      <w:r>
        <w:rPr>
          <w:color w:val="000000"/>
        </w:rPr>
        <w:t xml:space="preserve">” </w:t>
      </w:r>
      <w:r>
        <w:rPr>
          <w:rFonts w:ascii="Times New Roman;sans-serif" w:hAnsi="Times New Roman;sans-serif"/>
          <w:b w:val="false"/>
          <w:color w:val="000000"/>
          <w:sz w:val="20"/>
        </w:rPr>
        <w:t xml:space="preserve">means an Award as defined in </w:t>
      </w:r>
      <w:r>
        <w:rPr>
          <w:rFonts w:ascii="Times New Roman;sans-serif" w:hAnsi="Times New Roman;sans-serif"/>
          <w:b w:val="false"/>
          <w:color w:val="000000"/>
          <w:sz w:val="20"/>
          <w:u w:val="single"/>
        </w:rPr>
        <w:t>Section 10</w:t>
      </w:r>
      <w:r>
        <w:rPr>
          <w:color w:val="000000"/>
        </w:rPr>
        <w:t xml:space="preserve"> </w:t>
      </w:r>
      <w:r>
        <w:rPr>
          <w:rFonts w:ascii="Times New Roman;sans-serif" w:hAnsi="Times New Roman;sans-serif"/>
          <w:b w:val="false"/>
          <w:color w:val="000000"/>
          <w:sz w:val="20"/>
        </w:rPr>
        <w:t>and granted under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28.28.    </w:t>
      </w:r>
      <w:r>
        <w:rPr>
          <w:color w:val="000000"/>
        </w:rPr>
        <w:t>“</w:t>
      </w:r>
      <w:r>
        <w:rPr>
          <w:rFonts w:ascii="Times New Roman;sans-serif" w:hAnsi="Times New Roman;sans-serif"/>
          <w:b/>
          <w:i/>
          <w:color w:val="000000"/>
          <w:sz w:val="20"/>
        </w:rPr>
        <w:t>Performance Factors</w:t>
      </w:r>
      <w:r>
        <w:rPr>
          <w:color w:val="000000"/>
        </w:rPr>
        <w:t xml:space="preserve">” </w:t>
      </w:r>
      <w:r>
        <w:rPr>
          <w:rFonts w:ascii="Times New Roman;sans-serif" w:hAnsi="Times New Roman;sans-serif"/>
          <w:b w:val="false"/>
          <w:color w:val="000000"/>
          <w:sz w:val="20"/>
        </w:rPr>
        <w:t xml:space="preserve">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non-GAAP basis, and measured, to the extent applicable on an absolute basis or relative to a pre-established target, to determine whether the performance goals established by the Committee with respect to applicable Awards have been satisfied:</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(a)    </w:t>
      </w:r>
      <w:r>
        <w:rPr>
          <w:rFonts w:ascii="Times New Roman;sans-serif" w:hAnsi="Times New Roman;sans-serif"/>
          <w:b w:val="false"/>
          <w:color w:val="000000"/>
          <w:sz w:val="20"/>
        </w:rPr>
        <w:t>profit before tax;</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(b)    </w:t>
      </w:r>
      <w:r>
        <w:rPr>
          <w:rFonts w:ascii="Times New Roman;sans-serif" w:hAnsi="Times New Roman;sans-serif"/>
          <w:b w:val="false"/>
          <w:color w:val="000000"/>
          <w:sz w:val="20"/>
        </w:rPr>
        <w:t>billings;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(c)    </w:t>
      </w:r>
      <w:r>
        <w:rPr>
          <w:rFonts w:ascii="Times New Roman;sans-serif" w:hAnsi="Times New Roman;sans-serif"/>
          <w:b w:val="false"/>
          <w:color w:val="000000"/>
          <w:sz w:val="20"/>
        </w:rPr>
        <w:t xml:space="preserve">revenue;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(d)    </w:t>
      </w:r>
      <w:r>
        <w:rPr>
          <w:rFonts w:ascii="Times New Roman;sans-serif" w:hAnsi="Times New Roman;sans-serif"/>
          <w:b w:val="false"/>
          <w:color w:val="000000"/>
          <w:sz w:val="20"/>
        </w:rPr>
        <w:t xml:space="preserve">net revenue or return on operating revenue;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(e)    </w:t>
      </w:r>
      <w:r>
        <w:rPr>
          <w:rFonts w:ascii="Times New Roman;sans-serif" w:hAnsi="Times New Roman;sans-serif"/>
          <w:b w:val="false"/>
          <w:color w:val="000000"/>
          <w:sz w:val="20"/>
        </w:rPr>
        <w:t xml:space="preserve">earnings (which may include earnings before interest and taxes, earnings before taxes, net earnings, stock-based compensation expenses, depreciation, and amortization);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(f)    </w:t>
      </w:r>
      <w:r>
        <w:rPr>
          <w:rFonts w:ascii="Times New Roman;sans-serif" w:hAnsi="Times New Roman;sans-serif"/>
          <w:b w:val="false"/>
          <w:color w:val="000000"/>
          <w:sz w:val="20"/>
        </w:rPr>
        <w:t xml:space="preserve">operating income;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(g)    </w:t>
      </w:r>
      <w:r>
        <w:rPr>
          <w:rFonts w:ascii="Times New Roman;sans-serif" w:hAnsi="Times New Roman;sans-serif"/>
          <w:b w:val="false"/>
          <w:color w:val="000000"/>
          <w:sz w:val="20"/>
        </w:rPr>
        <w:t xml:space="preserve">operating margin;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(h)    </w:t>
      </w:r>
      <w:r>
        <w:rPr>
          <w:rFonts w:ascii="Times New Roman;sans-serif" w:hAnsi="Times New Roman;sans-serif"/>
          <w:b w:val="false"/>
          <w:color w:val="000000"/>
          <w:sz w:val="20"/>
        </w:rPr>
        <w:t xml:space="preserve">operating profit;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(i)    </w:t>
      </w:r>
      <w:r>
        <w:rPr>
          <w:rFonts w:ascii="Times New Roman;sans-serif" w:hAnsi="Times New Roman;sans-serif"/>
          <w:b w:val="false"/>
          <w:color w:val="000000"/>
          <w:sz w:val="20"/>
        </w:rPr>
        <w:t xml:space="preserve">controllable operating profit or net operating profit;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(j)    </w:t>
      </w:r>
      <w:r>
        <w:rPr>
          <w:rFonts w:ascii="Times New Roman;sans-serif" w:hAnsi="Times New Roman;sans-serif"/>
          <w:b w:val="false"/>
          <w:color w:val="000000"/>
          <w:sz w:val="20"/>
        </w:rPr>
        <w:t xml:space="preserve">net profit;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(k)    </w:t>
      </w:r>
      <w:r>
        <w:rPr>
          <w:rFonts w:ascii="Times New Roman;sans-serif" w:hAnsi="Times New Roman;sans-serif"/>
          <w:b w:val="false"/>
          <w:color w:val="000000"/>
          <w:sz w:val="20"/>
        </w:rPr>
        <w:t xml:space="preserve">gross margin;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(l)    </w:t>
      </w:r>
      <w:r>
        <w:rPr>
          <w:rFonts w:ascii="Times New Roman;sans-serif" w:hAnsi="Times New Roman;sans-serif"/>
          <w:b w:val="false"/>
          <w:color w:val="000000"/>
          <w:sz w:val="20"/>
        </w:rPr>
        <w:t xml:space="preserve">cost, operating expenses or operating expenses as a percentage of revenue;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(m)    </w:t>
      </w:r>
      <w:r>
        <w:rPr>
          <w:color w:val="000000"/>
        </w:rPr>
        <w:t xml:space="preserve"> </w:t>
      </w:r>
      <w:r>
        <w:rPr>
          <w:rFonts w:ascii="Times New Roman;sans-serif" w:hAnsi="Times New Roman;sans-serif"/>
          <w:b w:val="false"/>
          <w:color w:val="000000"/>
          <w:sz w:val="20"/>
        </w:rPr>
        <w:t xml:space="preserve">net income;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(n)    </w:t>
      </w:r>
      <w:r>
        <w:rPr>
          <w:rFonts w:ascii="Times New Roman;sans-serif" w:hAnsi="Times New Roman;sans-serif"/>
          <w:b w:val="false"/>
          <w:color w:val="000000"/>
          <w:sz w:val="20"/>
        </w:rPr>
        <w:t xml:space="preserve">earning per share;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(o)    </w:t>
      </w:r>
      <w:r>
        <w:rPr>
          <w:rFonts w:ascii="Times New Roman;sans-serif" w:hAnsi="Times New Roman;sans-serif"/>
          <w:b w:val="false"/>
          <w:color w:val="000000"/>
          <w:sz w:val="20"/>
        </w:rPr>
        <w:t xml:space="preserve">total stockholder return or relative total stockholder return;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(p)    </w:t>
      </w:r>
      <w:r>
        <w:rPr>
          <w:rFonts w:ascii="Times New Roman;sans-serif" w:hAnsi="Times New Roman;sans-serif"/>
          <w:b w:val="false"/>
          <w:color w:val="000000"/>
          <w:sz w:val="20"/>
        </w:rPr>
        <w:t xml:space="preserve">market share or market segment share;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(q)    </w:t>
      </w:r>
      <w:r>
        <w:rPr>
          <w:rFonts w:ascii="Times New Roman;sans-serif" w:hAnsi="Times New Roman;sans-serif"/>
          <w:b w:val="false"/>
          <w:color w:val="000000"/>
          <w:sz w:val="20"/>
        </w:rPr>
        <w:t xml:space="preserve">return on assets or net assets;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(r)    </w:t>
      </w:r>
      <w:r>
        <w:rPr>
          <w:rFonts w:ascii="Times New Roman;sans-serif" w:hAnsi="Times New Roman;sans-serif"/>
          <w:b w:val="false"/>
          <w:color w:val="000000"/>
          <w:sz w:val="20"/>
        </w:rPr>
        <w:t xml:space="preserve">the Company’s stock price;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(s)    </w:t>
      </w:r>
      <w:r>
        <w:rPr>
          <w:rFonts w:ascii="Times New Roman;sans-serif" w:hAnsi="Times New Roman;sans-serif"/>
          <w:b w:val="false"/>
          <w:color w:val="000000"/>
          <w:sz w:val="20"/>
        </w:rPr>
        <w:t xml:space="preserve">growth in stockholder value relative to a pre-determined index;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(t)    </w:t>
      </w:r>
      <w:r>
        <w:rPr>
          <w:rFonts w:ascii="Times New Roman;sans-serif" w:hAnsi="Times New Roman;sans-serif"/>
          <w:b w:val="false"/>
          <w:color w:val="000000"/>
          <w:sz w:val="20"/>
        </w:rPr>
        <w:t xml:space="preserve">return on equity;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(u)    </w:t>
      </w:r>
      <w:r>
        <w:rPr>
          <w:rFonts w:ascii="Times New Roman;sans-serif" w:hAnsi="Times New Roman;sans-serif"/>
          <w:b w:val="false"/>
          <w:color w:val="000000"/>
          <w:sz w:val="20"/>
        </w:rPr>
        <w:t xml:space="preserve">return on capital or on invested capital;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(v)    </w:t>
      </w:r>
      <w:r>
        <w:rPr>
          <w:rFonts w:ascii="Times New Roman;sans-serif" w:hAnsi="Times New Roman;sans-serif"/>
          <w:b w:val="false"/>
          <w:color w:val="000000"/>
          <w:sz w:val="20"/>
        </w:rPr>
        <w:t xml:space="preserve">cash flow (including free cash flow or operating cash flows) or cash flow margins;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(w)    </w:t>
      </w:r>
      <w:r>
        <w:rPr>
          <w:rFonts w:ascii="Times New Roman;sans-serif" w:hAnsi="Times New Roman;sans-serif"/>
          <w:b w:val="false"/>
          <w:color w:val="000000"/>
          <w:sz w:val="20"/>
        </w:rPr>
        <w:t xml:space="preserve">cash conversion cycle;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(x)    </w:t>
      </w:r>
      <w:r>
        <w:rPr>
          <w:rFonts w:ascii="Times New Roman;sans-serif" w:hAnsi="Times New Roman;sans-serif"/>
          <w:b w:val="false"/>
          <w:color w:val="000000"/>
          <w:sz w:val="20"/>
        </w:rPr>
        <w:t xml:space="preserve">economic value added;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(y)    </w:t>
      </w:r>
      <w:r>
        <w:rPr>
          <w:rFonts w:ascii="Times New Roman;sans-serif" w:hAnsi="Times New Roman;sans-serif"/>
          <w:b w:val="false"/>
          <w:color w:val="000000"/>
          <w:sz w:val="20"/>
        </w:rPr>
        <w:t xml:space="preserve">individual confidential business objectives;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(z)    </w:t>
      </w:r>
      <w:r>
        <w:rPr>
          <w:rFonts w:ascii="Times New Roman;sans-serif" w:hAnsi="Times New Roman;sans-serif"/>
          <w:b w:val="false"/>
          <w:color w:val="000000"/>
          <w:sz w:val="20"/>
        </w:rPr>
        <w:t xml:space="preserve">contract awards or backlog;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(aa)    </w:t>
      </w:r>
      <w:r>
        <w:rPr>
          <w:rFonts w:ascii="Times New Roman;sans-serif" w:hAnsi="Times New Roman;sans-serif"/>
          <w:b w:val="false"/>
          <w:color w:val="000000"/>
          <w:sz w:val="20"/>
        </w:rPr>
        <w:t xml:space="preserve">overhead or other expense reduction;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(bb)    </w:t>
      </w:r>
      <w:r>
        <w:rPr>
          <w:rFonts w:ascii="Times New Roman;sans-serif" w:hAnsi="Times New Roman;sans-serif"/>
          <w:b w:val="false"/>
          <w:color w:val="000000"/>
          <w:sz w:val="20"/>
        </w:rPr>
        <w:t xml:space="preserve">credit 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(cc)    </w:t>
      </w:r>
      <w:r>
        <w:rPr>
          <w:rFonts w:ascii="Times New Roman;sans-serif" w:hAnsi="Times New Roman;sans-serif"/>
          <w:b w:val="false"/>
          <w:color w:val="000000"/>
          <w:sz w:val="20"/>
        </w:rPr>
        <w:t xml:space="preserve">strategic plan development and implementation;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(dd)    </w:t>
      </w:r>
      <w:r>
        <w:rPr>
          <w:rFonts w:ascii="Times New Roman;sans-serif" w:hAnsi="Times New Roman;sans-serif"/>
          <w:b w:val="false"/>
          <w:color w:val="000000"/>
          <w:sz w:val="20"/>
        </w:rPr>
        <w:t xml:space="preserve">succession plan development and implementation;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(ee)    </w:t>
      </w:r>
      <w:r>
        <w:rPr>
          <w:rFonts w:ascii="Times New Roman;sans-serif" w:hAnsi="Times New Roman;sans-serif"/>
          <w:b w:val="false"/>
          <w:color w:val="000000"/>
          <w:sz w:val="20"/>
        </w:rPr>
        <w:t xml:space="preserve">improvement in workforce diversity;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(ff)    </w:t>
      </w:r>
      <w:r>
        <w:rPr>
          <w:rFonts w:ascii="Times New Roman;sans-serif" w:hAnsi="Times New Roman;sans-serif"/>
          <w:b w:val="false"/>
          <w:color w:val="000000"/>
          <w:sz w:val="20"/>
        </w:rPr>
        <w:t xml:space="preserve">customer indicators and/or satisfaction;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(gg)    </w:t>
      </w:r>
      <w:r>
        <w:rPr>
          <w:rFonts w:ascii="Times New Roman;sans-serif" w:hAnsi="Times New Roman;sans-serif"/>
          <w:b w:val="false"/>
          <w:color w:val="000000"/>
          <w:sz w:val="20"/>
        </w:rPr>
        <w:t xml:space="preserve">new product invention or innovation;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(hh)    </w:t>
      </w:r>
      <w:r>
        <w:rPr>
          <w:rFonts w:ascii="Times New Roman;sans-serif" w:hAnsi="Times New Roman;sans-serif"/>
          <w:b w:val="false"/>
          <w:color w:val="000000"/>
          <w:sz w:val="20"/>
        </w:rPr>
        <w:t xml:space="preserve">achievement of target levels of discovery and/or development of products and services, including but not limited to research or regulatory achievements; attainment of research and development milestones;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(ii)    </w:t>
      </w:r>
      <w:r>
        <w:rPr>
          <w:rFonts w:ascii="Times New Roman;sans-serif" w:hAnsi="Times New Roman;sans-serif"/>
          <w:b w:val="false"/>
          <w:color w:val="000000"/>
          <w:sz w:val="20"/>
        </w:rPr>
        <w:t>third party coverage and/or reimbursement objectives;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(jj)    </w:t>
      </w:r>
      <w:r>
        <w:rPr>
          <w:rFonts w:ascii="Times New Roman;sans-serif" w:hAnsi="Times New Roman;sans-serif"/>
          <w:b w:val="false"/>
          <w:color w:val="000000"/>
          <w:sz w:val="20"/>
        </w:rPr>
        <w:t>test volume metrics;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(kk)    </w:t>
      </w:r>
      <w:r>
        <w:rPr>
          <w:rFonts w:ascii="Times New Roman;sans-serif" w:hAnsi="Times New Roman;sans-serif"/>
          <w:b w:val="false"/>
          <w:color w:val="000000"/>
          <w:sz w:val="20"/>
        </w:rPr>
        <w:t xml:space="preserve">improvements in productivity;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(ll)    </w:t>
      </w:r>
      <w:r>
        <w:rPr>
          <w:rFonts w:ascii="Times New Roman;sans-serif" w:hAnsi="Times New Roman;sans-serif"/>
          <w:b w:val="false"/>
          <w:color w:val="000000"/>
          <w:sz w:val="20"/>
        </w:rPr>
        <w:t>bookings;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(mm)    </w:t>
      </w:r>
      <w:r>
        <w:rPr>
          <w:rFonts w:ascii="Times New Roman;sans-serif" w:hAnsi="Times New Roman;sans-serif"/>
          <w:b w:val="false"/>
          <w:color w:val="000000"/>
          <w:sz w:val="20"/>
        </w:rPr>
        <w:t xml:space="preserve">attainment of objective operating goals and employee metrics;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(nn)    </w:t>
      </w:r>
      <w:r>
        <w:rPr>
          <w:rFonts w:ascii="Times New Roman;sans-serif" w:hAnsi="Times New Roman;sans-serif"/>
          <w:b w:val="false"/>
          <w:color w:val="000000"/>
          <w:sz w:val="20"/>
        </w:rPr>
        <w:t>sales;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(oo)    </w:t>
      </w:r>
      <w:r>
        <w:rPr>
          <w:rFonts w:ascii="Times New Roman;sans-serif" w:hAnsi="Times New Roman;sans-serif"/>
          <w:b w:val="false"/>
          <w:color w:val="000000"/>
          <w:sz w:val="20"/>
        </w:rPr>
        <w:t xml:space="preserve">expenses;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(pp)    </w:t>
      </w:r>
      <w:r>
        <w:rPr>
          <w:rFonts w:ascii="Times New Roman;sans-serif" w:hAnsi="Times New Roman;sans-serif"/>
          <w:b w:val="false"/>
          <w:color w:val="000000"/>
          <w:sz w:val="20"/>
        </w:rPr>
        <w:t>balance of cash, cash equivalents, and marketable securities;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(qq)    </w:t>
      </w:r>
      <w:r>
        <w:rPr>
          <w:rFonts w:ascii="Times New Roman;sans-serif" w:hAnsi="Times New Roman;sans-serif"/>
          <w:b w:val="false"/>
          <w:color w:val="000000"/>
          <w:sz w:val="20"/>
        </w:rPr>
        <w:t>completion of an identified special project;</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(rr)    </w:t>
      </w:r>
      <w:r>
        <w:rPr>
          <w:rFonts w:ascii="Times New Roman;sans-serif" w:hAnsi="Times New Roman;sans-serif"/>
          <w:b w:val="false"/>
          <w:color w:val="000000"/>
          <w:sz w:val="20"/>
        </w:rPr>
        <w:t>completion of a joint venture or other corporate transaction;</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(ss)    </w:t>
      </w:r>
      <w:r>
        <w:rPr>
          <w:rFonts w:ascii="Times New Roman;sans-serif" w:hAnsi="Times New Roman;sans-serif"/>
          <w:b w:val="false"/>
          <w:color w:val="000000"/>
          <w:sz w:val="20"/>
        </w:rPr>
        <w:t>employee satisfaction and/or retention;</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(tt)    </w:t>
      </w:r>
      <w:r>
        <w:rPr>
          <w:rFonts w:ascii="Times New Roman;sans-serif" w:hAnsi="Times New Roman;sans-serif"/>
          <w:b w:val="false"/>
          <w:color w:val="000000"/>
          <w:sz w:val="20"/>
        </w:rPr>
        <w:t>research and development expenses;</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(uu)    </w:t>
      </w:r>
      <w:r>
        <w:rPr>
          <w:rFonts w:ascii="Times New Roman;sans-serif" w:hAnsi="Times New Roman;sans-serif"/>
          <w:b w:val="false"/>
          <w:color w:val="000000"/>
          <w:sz w:val="20"/>
        </w:rPr>
        <w:t xml:space="preserve">working capital targets and changes in working capital;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(vv)    </w:t>
      </w:r>
      <w:r>
        <w:rPr>
          <w:rFonts w:ascii="Times New Roman;sans-serif" w:hAnsi="Times New Roman;sans-serif"/>
          <w:b w:val="false"/>
          <w:color w:val="000000"/>
          <w:sz w:val="20"/>
        </w:rPr>
        <w:t xml:space="preserve">net new annual contract value; </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(ww)    </w:t>
      </w:r>
      <w:r>
        <w:rPr>
          <w:rFonts w:ascii="Times New Roman;sans-serif" w:hAnsi="Times New Roman;sans-serif"/>
          <w:b w:val="false"/>
          <w:color w:val="000000"/>
          <w:sz w:val="20"/>
        </w:rPr>
        <w:t>net expansion rate; and</w:t>
      </w:r>
    </w:p>
    <w:p>
      <w:pPr>
        <w:pStyle w:val="TextBody"/>
        <w:bidi w:val="0"/>
        <w:spacing w:lineRule="auto" w:line="288" w:before="240" w:after="283"/>
        <w:ind w:left="0" w:right="0" w:firstLine="1440"/>
        <w:jc w:val="both"/>
        <w:rPr/>
      </w:pPr>
      <w:r>
        <w:rPr>
          <w:rFonts w:ascii="Times New Roman;sans-serif" w:hAnsi="Times New Roman;sans-serif"/>
          <w:b w:val="false"/>
          <w:color w:val="010000"/>
          <w:sz w:val="20"/>
        </w:rPr>
        <w:t>(xx)    </w:t>
      </w:r>
      <w:r>
        <w:rPr>
          <w:rFonts w:ascii="Times New Roman;sans-serif" w:hAnsi="Times New Roman;sans-serif"/>
          <w:b w:val="false"/>
          <w:color w:val="000000"/>
          <w:sz w:val="20"/>
        </w:rPr>
        <w:t xml:space="preserve">any other metric that is capable of measurement as determined by the Committee.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pStyle w:val="TextBody"/>
        <w:bidi w:val="0"/>
        <w:spacing w:lineRule="auto" w:line="288" w:before="240" w:after="283"/>
        <w:ind w:left="0" w:right="0" w:firstLine="720"/>
        <w:jc w:val="both"/>
        <w:rPr/>
      </w:pPr>
      <w:r>
        <w:rPr>
          <w:rFonts w:ascii="Times New Roman;sans-serif" w:hAnsi="Times New Roman;sans-serif"/>
          <w:b/>
          <w:color w:val="010000"/>
          <w:sz w:val="20"/>
        </w:rPr>
        <w:t>28.29.    </w:t>
      </w:r>
      <w:r>
        <w:rPr>
          <w:color w:val="000000"/>
        </w:rPr>
        <w:t>“</w:t>
      </w:r>
      <w:r>
        <w:rPr>
          <w:rFonts w:ascii="Times New Roman;sans-serif" w:hAnsi="Times New Roman;sans-serif"/>
          <w:b/>
          <w:i/>
          <w:color w:val="000000"/>
          <w:sz w:val="20"/>
        </w:rPr>
        <w:t>Performance Period</w:t>
      </w:r>
      <w:r>
        <w:rPr>
          <w:color w:val="000000"/>
        </w:rPr>
        <w:t xml:space="preserve">” </w:t>
      </w:r>
      <w:r>
        <w:rPr>
          <w:rFonts w:ascii="Times New Roman;sans-serif" w:hAnsi="Times New Roman;sans-serif"/>
          <w:b w:val="false"/>
          <w:color w:val="000000"/>
          <w:sz w:val="20"/>
        </w:rPr>
        <w:t>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28.30.    </w:t>
      </w:r>
      <w:r>
        <w:rPr>
          <w:color w:val="000000"/>
        </w:rPr>
        <w:t>“</w:t>
      </w:r>
      <w:r>
        <w:rPr>
          <w:rFonts w:ascii="Times New Roman;sans-serif" w:hAnsi="Times New Roman;sans-serif"/>
          <w:b/>
          <w:i/>
          <w:color w:val="000000"/>
          <w:sz w:val="20"/>
        </w:rPr>
        <w:t>Permitted Transferee</w:t>
      </w:r>
      <w:r>
        <w:rPr>
          <w:color w:val="000000"/>
        </w:rPr>
        <w:t xml:space="preserve">” </w:t>
      </w:r>
      <w:r>
        <w:rPr>
          <w:rFonts w:ascii="Times New Roman;sans-serif" w:hAnsi="Times New Roman;sans-serif"/>
          <w:b w:val="false"/>
          <w:color w:val="000000"/>
          <w:sz w:val="20"/>
        </w:rPr>
        <w:t xml:space="preserve">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which these persons (or the Employee) control the management of assets, and any other entity in which these persons (or the Employee) own more than 50% of the voting interests.</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28.31.    </w:t>
      </w:r>
      <w:r>
        <w:rPr>
          <w:color w:val="000000"/>
        </w:rPr>
        <w:t>“</w:t>
      </w:r>
      <w:r>
        <w:rPr>
          <w:rFonts w:ascii="Times New Roman;sans-serif" w:hAnsi="Times New Roman;sans-serif"/>
          <w:b/>
          <w:i/>
          <w:color w:val="000000"/>
          <w:sz w:val="20"/>
        </w:rPr>
        <w:t>Plan</w:t>
      </w:r>
      <w:r>
        <w:rPr>
          <w:color w:val="000000"/>
        </w:rPr>
        <w:t xml:space="preserve">” </w:t>
      </w:r>
      <w:r>
        <w:rPr>
          <w:rFonts w:ascii="Times New Roman;sans-serif" w:hAnsi="Times New Roman;sans-serif"/>
          <w:b w:val="false"/>
          <w:color w:val="000000"/>
          <w:sz w:val="20"/>
        </w:rPr>
        <w:t>means this Veracyte, Inc. 2023 Equity Incentive Plan, as amended.</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28.32.    </w:t>
      </w:r>
      <w:r>
        <w:rPr>
          <w:color w:val="000000"/>
        </w:rPr>
        <w:t>“</w:t>
      </w:r>
      <w:r>
        <w:rPr>
          <w:rFonts w:ascii="Times New Roman;sans-serif" w:hAnsi="Times New Roman;sans-serif"/>
          <w:b/>
          <w:i/>
          <w:color w:val="000000"/>
          <w:sz w:val="20"/>
        </w:rPr>
        <w:t>Prior Plan</w:t>
      </w:r>
      <w:r>
        <w:rPr>
          <w:color w:val="000000"/>
        </w:rPr>
        <w:t xml:space="preserve">” </w:t>
      </w:r>
      <w:r>
        <w:rPr>
          <w:rFonts w:ascii="Times New Roman;sans-serif" w:hAnsi="Times New Roman;sans-serif"/>
          <w:b w:val="false"/>
          <w:color w:val="000000"/>
          <w:sz w:val="20"/>
        </w:rPr>
        <w:t>means the Veracyte, Inc. 2013 Stock Incentive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28.33.    </w:t>
      </w:r>
      <w:r>
        <w:rPr>
          <w:color w:val="000000"/>
        </w:rPr>
        <w:t>“</w:t>
      </w:r>
      <w:r>
        <w:rPr>
          <w:rFonts w:ascii="Times New Roman;sans-serif" w:hAnsi="Times New Roman;sans-serif"/>
          <w:b/>
          <w:i/>
          <w:color w:val="000000"/>
          <w:sz w:val="20"/>
        </w:rPr>
        <w:t>Purchase Price</w:t>
      </w:r>
      <w:r>
        <w:rPr>
          <w:color w:val="000000"/>
        </w:rPr>
        <w:t xml:space="preserve">” </w:t>
      </w:r>
      <w:r>
        <w:rPr>
          <w:rFonts w:ascii="Times New Roman;sans-serif" w:hAnsi="Times New Roman;sans-serif"/>
          <w:b w:val="false"/>
          <w:color w:val="000000"/>
          <w:sz w:val="20"/>
        </w:rPr>
        <w:t>means the price to be paid for Shares acquired under this Plan, other than Shares acquired upon exercise of an Option or SAR.</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28.34.    </w:t>
      </w:r>
      <w:r>
        <w:rPr>
          <w:color w:val="000000"/>
        </w:rPr>
        <w:t>“</w:t>
      </w:r>
      <w:r>
        <w:rPr>
          <w:rFonts w:ascii="Times New Roman;sans-serif" w:hAnsi="Times New Roman;sans-serif"/>
          <w:b/>
          <w:i/>
          <w:color w:val="000000"/>
          <w:sz w:val="20"/>
        </w:rPr>
        <w:t>Restricted Stock Award</w:t>
      </w:r>
      <w:r>
        <w:rPr>
          <w:color w:val="000000"/>
        </w:rPr>
        <w:t xml:space="preserve">” </w:t>
      </w:r>
      <w:r>
        <w:rPr>
          <w:rFonts w:ascii="Times New Roman;sans-serif" w:hAnsi="Times New Roman;sans-serif"/>
          <w:b w:val="false"/>
          <w:color w:val="000000"/>
          <w:sz w:val="20"/>
        </w:rPr>
        <w:t xml:space="preserve">means an Award as defined in </w:t>
      </w:r>
      <w:r>
        <w:rPr>
          <w:rFonts w:ascii="Times New Roman;sans-serif" w:hAnsi="Times New Roman;sans-serif"/>
          <w:b w:val="false"/>
          <w:color w:val="000000"/>
          <w:sz w:val="20"/>
          <w:u w:val="single"/>
        </w:rPr>
        <w:t>Section 6</w:t>
      </w:r>
      <w:r>
        <w:rPr>
          <w:color w:val="000000"/>
        </w:rPr>
        <w:t xml:space="preserve"> </w:t>
      </w:r>
      <w:r>
        <w:rPr>
          <w:rFonts w:ascii="Times New Roman;sans-serif" w:hAnsi="Times New Roman;sans-serif"/>
          <w:b w:val="false"/>
          <w:color w:val="000000"/>
          <w:sz w:val="20"/>
        </w:rPr>
        <w:t>and granted under this Plan, or issued pursuant to the early exercise of an Option.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28.35.    </w:t>
      </w:r>
      <w:r>
        <w:rPr>
          <w:color w:val="000000"/>
        </w:rPr>
        <w:t>“</w:t>
      </w:r>
      <w:r>
        <w:rPr>
          <w:rFonts w:ascii="Times New Roman;sans-serif" w:hAnsi="Times New Roman;sans-serif"/>
          <w:b/>
          <w:i/>
          <w:color w:val="000000"/>
          <w:sz w:val="20"/>
        </w:rPr>
        <w:t>Restricted Stock Unit</w:t>
      </w:r>
      <w:r>
        <w:rPr>
          <w:color w:val="000000"/>
        </w:rPr>
        <w:t xml:space="preserve">” </w:t>
      </w:r>
      <w:r>
        <w:rPr>
          <w:rFonts w:ascii="Times New Roman;sans-serif" w:hAnsi="Times New Roman;sans-serif"/>
          <w:b w:val="false"/>
          <w:color w:val="000000"/>
          <w:sz w:val="20"/>
        </w:rPr>
        <w:t xml:space="preserve">means an Award as defined in </w:t>
      </w:r>
      <w:r>
        <w:rPr>
          <w:rFonts w:ascii="Times New Roman;sans-serif" w:hAnsi="Times New Roman;sans-serif"/>
          <w:b w:val="false"/>
          <w:color w:val="000000"/>
          <w:sz w:val="20"/>
          <w:u w:val="single"/>
        </w:rPr>
        <w:t>Section 9</w:t>
      </w:r>
      <w:r>
        <w:rPr>
          <w:color w:val="000000"/>
        </w:rPr>
        <w:t xml:space="preserve"> </w:t>
      </w:r>
      <w:r>
        <w:rPr>
          <w:rFonts w:ascii="Times New Roman;sans-serif" w:hAnsi="Times New Roman;sans-serif"/>
          <w:b w:val="false"/>
          <w:color w:val="000000"/>
          <w:sz w:val="20"/>
        </w:rPr>
        <w:t>and granted under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28.36.    </w:t>
      </w:r>
      <w:r>
        <w:rPr>
          <w:color w:val="000000"/>
        </w:rPr>
        <w:t>“</w:t>
      </w:r>
      <w:r>
        <w:rPr>
          <w:rFonts w:ascii="Times New Roman;sans-serif" w:hAnsi="Times New Roman;sans-serif"/>
          <w:b/>
          <w:i/>
          <w:color w:val="000000"/>
          <w:sz w:val="20"/>
        </w:rPr>
        <w:t>SEC</w:t>
      </w:r>
      <w:r>
        <w:rPr>
          <w:color w:val="000000"/>
        </w:rPr>
        <w:t xml:space="preserve">” </w:t>
      </w:r>
      <w:r>
        <w:rPr>
          <w:rFonts w:ascii="Times New Roman;sans-serif" w:hAnsi="Times New Roman;sans-serif"/>
          <w:b w:val="false"/>
          <w:color w:val="000000"/>
          <w:sz w:val="20"/>
        </w:rPr>
        <w:t>means the United States Securities and Exchange Commission.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28.37.    </w:t>
      </w:r>
      <w:r>
        <w:rPr>
          <w:color w:val="000000"/>
        </w:rPr>
        <w:t>“</w:t>
      </w:r>
      <w:r>
        <w:rPr>
          <w:rFonts w:ascii="Times New Roman;sans-serif" w:hAnsi="Times New Roman;sans-serif"/>
          <w:b/>
          <w:i/>
          <w:color w:val="000000"/>
          <w:sz w:val="20"/>
        </w:rPr>
        <w:t>Securities Act</w:t>
      </w:r>
      <w:r>
        <w:rPr>
          <w:color w:val="000000"/>
        </w:rPr>
        <w:t xml:space="preserve">” </w:t>
      </w:r>
      <w:r>
        <w:rPr>
          <w:rFonts w:ascii="Times New Roman;sans-serif" w:hAnsi="Times New Roman;sans-serif"/>
          <w:b w:val="false"/>
          <w:color w:val="000000"/>
          <w:sz w:val="20"/>
        </w:rPr>
        <w:t>means the United States Securities Act of 1933, as amended.</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28.38.    </w:t>
      </w:r>
      <w:r>
        <w:rPr>
          <w:color w:val="000000"/>
        </w:rPr>
        <w:t>“</w:t>
      </w:r>
      <w:r>
        <w:rPr>
          <w:rFonts w:ascii="Times New Roman;sans-serif" w:hAnsi="Times New Roman;sans-serif"/>
          <w:b/>
          <w:i/>
          <w:color w:val="000000"/>
          <w:sz w:val="20"/>
        </w:rPr>
        <w:t>Service</w:t>
      </w:r>
      <w:r>
        <w:rPr>
          <w:color w:val="000000"/>
        </w:rPr>
        <w:t xml:space="preserve">” </w:t>
      </w:r>
      <w:r>
        <w:rPr>
          <w:rFonts w:ascii="Times New Roman;sans-serif" w:hAnsi="Times New Roman;sans-serif"/>
          <w:b w:val="false"/>
          <w:color w:val="000000"/>
          <w:sz w:val="20"/>
        </w:rPr>
        <w:t xml:space="preserve">will mean service as an Employee, Consultant, Director, or Non-Employee Director, subject to such further limitations as may be set forth in this Plan or the applicable Award Agreement. Service does not terminate when a Participant goes on a bona fide leave of absence that (a) was approved by the Company in writing or (b) is taken pursuant to a formal policy adopted from time to time by the Company and provided to Participants in writing, if the terms of such leave, as applicable, provide for continued Service crediting, or when continued Service crediting is required by applicable law. However, for purposes of determining whether an Option qualifies to be treated for tax purposes as an ISO, an Employee’s employment will be treated as terminating three months after such Employee commenced leave, unless such Employee’s right to return to active work is guaranteed by law or by a contract.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or during such change in working hours, as it may deem appropriate, except that in no event may an Award be exercised after the expiration of the term set forth in the applicable Award Agreement. A Participant will have terminated Service as of the date such Participant ceases to provide Service (regardless of whether the termination is in breach of local employment laws or is later found to be invalid) and Service will not be extended by any notice period or garden leave mandated by local law, </w:t>
      </w:r>
      <w:r>
        <w:rPr>
          <w:rFonts w:ascii="Times New Roman;sans-serif" w:hAnsi="Times New Roman;sans-serif"/>
          <w:b w:val="false"/>
          <w:color w:val="000000"/>
          <w:sz w:val="20"/>
          <w:u w:val="single"/>
        </w:rPr>
        <w:t>provided, however</w:t>
      </w:r>
      <w:r>
        <w:rPr>
          <w:rFonts w:ascii="Times New Roman;sans-serif" w:hAnsi="Times New Roman;sans-serif"/>
          <w:b w:val="false"/>
          <w:color w:val="000000"/>
          <w:sz w:val="20"/>
        </w:rPr>
        <w:t>, that a change in status from and amongst Employee, Consultant, Director or Non-Employee Director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pStyle w:val="TextBody"/>
        <w:bidi w:val="0"/>
        <w:spacing w:lineRule="auto" w:line="288" w:before="240" w:after="283"/>
        <w:ind w:left="0" w:right="0" w:firstLine="720"/>
        <w:jc w:val="both"/>
        <w:rPr/>
      </w:pPr>
      <w:r>
        <w:rPr>
          <w:rFonts w:ascii="Times New Roman;sans-serif" w:hAnsi="Times New Roman;sans-serif"/>
          <w:b/>
          <w:color w:val="010000"/>
          <w:sz w:val="20"/>
        </w:rPr>
        <w:t>28.39.    </w:t>
      </w:r>
      <w:r>
        <w:rPr>
          <w:color w:val="000000"/>
        </w:rPr>
        <w:t>“</w:t>
      </w:r>
      <w:r>
        <w:rPr>
          <w:rFonts w:ascii="Times New Roman;sans-serif" w:hAnsi="Times New Roman;sans-serif"/>
          <w:b/>
          <w:i/>
          <w:color w:val="000000"/>
          <w:sz w:val="20"/>
        </w:rPr>
        <w:t>Shares</w:t>
      </w:r>
      <w:r>
        <w:rPr>
          <w:color w:val="000000"/>
        </w:rPr>
        <w:t xml:space="preserve">” </w:t>
      </w:r>
      <w:r>
        <w:rPr>
          <w:rFonts w:ascii="Times New Roman;sans-serif" w:hAnsi="Times New Roman;sans-serif"/>
          <w:b w:val="false"/>
          <w:color w:val="000000"/>
          <w:sz w:val="20"/>
        </w:rPr>
        <w:t>means shares of the Common Stock and the common stock of any successor entity of the Company.</w:t>
      </w:r>
    </w:p>
    <w:p>
      <w:pPr>
        <w:pStyle w:val="TextBody"/>
        <w:bidi w:val="0"/>
        <w:spacing w:lineRule="auto" w:line="288" w:before="240" w:after="283"/>
        <w:ind w:left="0" w:right="0" w:firstLine="720"/>
        <w:jc w:val="both"/>
        <w:rPr/>
      </w:pPr>
      <w:r>
        <w:rPr>
          <w:rFonts w:ascii="Times New Roman;sans-serif" w:hAnsi="Times New Roman;sans-serif"/>
          <w:b/>
          <w:color w:val="010000"/>
          <w:sz w:val="20"/>
        </w:rPr>
        <w:t>28.40.    </w:t>
      </w:r>
      <w:r>
        <w:rPr>
          <w:color w:val="000000"/>
        </w:rPr>
        <w:t>“</w:t>
      </w:r>
      <w:r>
        <w:rPr>
          <w:rFonts w:ascii="Times New Roman;sans-serif" w:hAnsi="Times New Roman;sans-serif"/>
          <w:b/>
          <w:i/>
          <w:color w:val="000000"/>
          <w:sz w:val="20"/>
        </w:rPr>
        <w:t>Stock Appreciation Right</w:t>
      </w:r>
      <w:r>
        <w:rPr>
          <w:color w:val="000000"/>
        </w:rPr>
        <w:t xml:space="preserve">” </w:t>
      </w:r>
      <w:r>
        <w:rPr>
          <w:rFonts w:ascii="Times New Roman;sans-serif" w:hAnsi="Times New Roman;sans-serif"/>
          <w:b w:val="false"/>
          <w:color w:val="000000"/>
          <w:sz w:val="20"/>
        </w:rPr>
        <w:t xml:space="preserve">means an Award defined in </w:t>
      </w:r>
      <w:r>
        <w:rPr>
          <w:rFonts w:ascii="Times New Roman;sans-serif" w:hAnsi="Times New Roman;sans-serif"/>
          <w:b w:val="false"/>
          <w:color w:val="000000"/>
          <w:sz w:val="20"/>
          <w:u w:val="single"/>
        </w:rPr>
        <w:t>Section 8</w:t>
      </w:r>
      <w:r>
        <w:rPr>
          <w:color w:val="000000"/>
        </w:rPr>
        <w:t xml:space="preserve"> </w:t>
      </w:r>
      <w:r>
        <w:rPr>
          <w:rFonts w:ascii="Times New Roman;sans-serif" w:hAnsi="Times New Roman;sans-serif"/>
          <w:b w:val="false"/>
          <w:color w:val="000000"/>
          <w:sz w:val="20"/>
        </w:rPr>
        <w:t>and granted under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28.41.    </w:t>
      </w:r>
      <w:r>
        <w:rPr>
          <w:color w:val="000000"/>
        </w:rPr>
        <w:t>“</w:t>
      </w:r>
      <w:r>
        <w:rPr>
          <w:rFonts w:ascii="Times New Roman;sans-serif" w:hAnsi="Times New Roman;sans-serif"/>
          <w:b/>
          <w:i/>
          <w:color w:val="000000"/>
          <w:sz w:val="20"/>
        </w:rPr>
        <w:t>Stock Bonus</w:t>
      </w:r>
      <w:r>
        <w:rPr>
          <w:color w:val="000000"/>
        </w:rPr>
        <w:t xml:space="preserve">” </w:t>
      </w:r>
      <w:r>
        <w:rPr>
          <w:rFonts w:ascii="Times New Roman;sans-serif" w:hAnsi="Times New Roman;sans-serif"/>
          <w:b w:val="false"/>
          <w:color w:val="000000"/>
          <w:sz w:val="20"/>
        </w:rPr>
        <w:t xml:space="preserve">means an Award defined in </w:t>
      </w:r>
      <w:r>
        <w:rPr>
          <w:rFonts w:ascii="Times New Roman;sans-serif" w:hAnsi="Times New Roman;sans-serif"/>
          <w:b w:val="false"/>
          <w:color w:val="000000"/>
          <w:sz w:val="20"/>
          <w:u w:val="single"/>
        </w:rPr>
        <w:t>Section 7</w:t>
      </w:r>
      <w:r>
        <w:rPr>
          <w:color w:val="000000"/>
        </w:rPr>
        <w:t xml:space="preserve"> </w:t>
      </w:r>
      <w:r>
        <w:rPr>
          <w:rFonts w:ascii="Times New Roman;sans-serif" w:hAnsi="Times New Roman;sans-serif"/>
          <w:b w:val="false"/>
          <w:color w:val="000000"/>
          <w:sz w:val="20"/>
        </w:rPr>
        <w:t>and granted under this Plan.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28.42.    </w:t>
      </w:r>
      <w:r>
        <w:rPr>
          <w:color w:val="000000"/>
        </w:rPr>
        <w:t>“</w:t>
      </w:r>
      <w:r>
        <w:rPr>
          <w:rFonts w:ascii="Times New Roman;sans-serif" w:hAnsi="Times New Roman;sans-serif"/>
          <w:b/>
          <w:i/>
          <w:color w:val="000000"/>
          <w:sz w:val="20"/>
        </w:rPr>
        <w:t>Subsidiary</w:t>
      </w:r>
      <w:r>
        <w:rPr>
          <w:color w:val="000000"/>
        </w:rPr>
        <w:t xml:space="preserve">” </w:t>
      </w:r>
      <w:r>
        <w:rPr>
          <w:rFonts w:ascii="Times New Roman;sans-serif" w:hAnsi="Times New Roman;sans-serif"/>
          <w:b w:val="false"/>
          <w:color w:val="000000"/>
          <w:sz w:val="20"/>
        </w:rPr>
        <w:t>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bidi w:val="0"/>
        <w:spacing w:lineRule="auto" w:line="288" w:before="240" w:after="283"/>
        <w:ind w:left="0" w:right="0" w:firstLine="720"/>
        <w:jc w:val="both"/>
        <w:rPr/>
      </w:pPr>
      <w:r>
        <w:rPr>
          <w:rFonts w:ascii="Times New Roman;sans-serif" w:hAnsi="Times New Roman;sans-serif"/>
          <w:b/>
          <w:color w:val="010000"/>
          <w:sz w:val="20"/>
        </w:rPr>
        <w:t>28.43.    </w:t>
      </w:r>
      <w:r>
        <w:rPr>
          <w:color w:val="000000"/>
        </w:rPr>
        <w:t>“</w:t>
      </w:r>
      <w:r>
        <w:rPr>
          <w:rFonts w:ascii="Times New Roman;sans-serif" w:hAnsi="Times New Roman;sans-serif"/>
          <w:b/>
          <w:i/>
          <w:color w:val="000000"/>
          <w:sz w:val="20"/>
        </w:rPr>
        <w:t>Treasury Regulations</w:t>
      </w:r>
      <w:r>
        <w:rPr>
          <w:color w:val="000000"/>
        </w:rPr>
        <w:t xml:space="preserve">” </w:t>
      </w:r>
      <w:r>
        <w:rPr>
          <w:rFonts w:ascii="Times New Roman;sans-serif" w:hAnsi="Times New Roman;sans-serif"/>
          <w:b w:val="false"/>
          <w:color w:val="000000"/>
          <w:sz w:val="20"/>
        </w:rPr>
        <w:t>means regulations promulgated by the United States Treasury Department.</w:t>
      </w:r>
    </w:p>
    <w:p>
      <w:pPr>
        <w:pStyle w:val="TextBody"/>
        <w:bidi w:val="0"/>
        <w:spacing w:lineRule="auto" w:line="288" w:before="240" w:after="283"/>
        <w:ind w:left="0" w:right="0" w:firstLine="720"/>
        <w:jc w:val="both"/>
        <w:rPr/>
      </w:pPr>
      <w:r>
        <w:rPr>
          <w:rFonts w:ascii="Times New Roman;sans-serif" w:hAnsi="Times New Roman;sans-serif"/>
          <w:b/>
          <w:color w:val="010000"/>
          <w:sz w:val="20"/>
        </w:rPr>
        <w:t>28.44.    </w:t>
      </w:r>
      <w:r>
        <w:rPr>
          <w:color w:val="000000"/>
        </w:rPr>
        <w:t>“</w:t>
      </w:r>
      <w:r>
        <w:rPr>
          <w:rFonts w:ascii="Times New Roman;sans-serif" w:hAnsi="Times New Roman;sans-serif"/>
          <w:b/>
          <w:i/>
          <w:color w:val="000000"/>
          <w:sz w:val="20"/>
        </w:rPr>
        <w:t>Unvested Shares</w:t>
      </w:r>
      <w:r>
        <w:rPr>
          <w:color w:val="000000"/>
        </w:rPr>
        <w:t xml:space="preserve">” </w:t>
      </w:r>
      <w:r>
        <w:rPr>
          <w:rFonts w:ascii="Times New Roman;sans-serif" w:hAnsi="Times New Roman;sans-serif"/>
          <w:b w:val="false"/>
          <w:color w:val="000000"/>
          <w:sz w:val="20"/>
        </w:rPr>
        <w:t>means Shares that have not yet vested or are subject to a right of repurchase in favor of the Company (or any successor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515100" cy="2695575"/>
            <wp:effectExtent l="0" t="0" r="0" b="0"/>
            <wp:docPr id="9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2" descr=""/>
                    <pic:cNvPicPr>
                      <a:picLocks noChangeAspect="1" noChangeArrowheads="1"/>
                    </pic:cNvPicPr>
                  </pic:nvPicPr>
                  <pic:blipFill>
                    <a:blip r:embed="rId13"/>
                    <a:stretch>
                      <a:fillRect/>
                    </a:stretch>
                  </pic:blipFill>
                  <pic:spPr bwMode="auto">
                    <a:xfrm>
                      <a:off x="0" y="0"/>
                      <a:ext cx="6515100" cy="26955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drawing>
          <wp:inline distT="0" distB="0" distL="0" distR="0">
            <wp:extent cx="6515100" cy="4495800"/>
            <wp:effectExtent l="0" t="0" r="0" b="0"/>
            <wp:docPr id="9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3" descr=""/>
                    <pic:cNvPicPr>
                      <a:picLocks noChangeAspect="1" noChangeArrowheads="1"/>
                    </pic:cNvPicPr>
                  </pic:nvPicPr>
                  <pic:blipFill>
                    <a:blip r:embed="rId14"/>
                    <a:stretch>
                      <a:fillRect/>
                    </a:stretch>
                  </pic:blipFill>
                  <pic:spPr bwMode="auto">
                    <a:xfrm>
                      <a:off x="0" y="0"/>
                      <a:ext cx="6515100" cy="44958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drawing>
          <wp:inline distT="0" distB="0" distL="0" distR="0">
            <wp:extent cx="6515100" cy="504825"/>
            <wp:effectExtent l="0" t="0" r="0" b="0"/>
            <wp:docPr id="9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4" descr=""/>
                    <pic:cNvPicPr>
                      <a:picLocks noChangeAspect="1" noChangeArrowheads="1"/>
                    </pic:cNvPicPr>
                  </pic:nvPicPr>
                  <pic:blipFill>
                    <a:blip r:embed="rId15"/>
                    <a:stretch>
                      <a:fillRect/>
                    </a:stretch>
                  </pic:blipFill>
                  <pic:spPr bwMode="auto">
                    <a:xfrm>
                      <a:off x="0" y="0"/>
                      <a:ext cx="6515100" cy="5048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515100" cy="4295775"/>
            <wp:effectExtent l="0" t="0" r="0" b="0"/>
            <wp:docPr id="9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5" descr=""/>
                    <pic:cNvPicPr>
                      <a:picLocks noChangeAspect="1" noChangeArrowheads="1"/>
                    </pic:cNvPicPr>
                  </pic:nvPicPr>
                  <pic:blipFill>
                    <a:blip r:embed="rId16"/>
                    <a:stretch>
                      <a:fillRect/>
                    </a:stretch>
                  </pic:blipFill>
                  <pic:spPr bwMode="auto">
                    <a:xfrm>
                      <a:off x="0" y="0"/>
                      <a:ext cx="6515100" cy="4295775"/>
                    </a:xfrm>
                    <a:prstGeom prst="rect">
                      <a:avLst/>
                    </a:prstGeom>
                  </pic:spPr>
                </pic:pic>
              </a:graphicData>
            </a:graphic>
          </wp:inline>
        </w:drawing>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gif"/><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gif"/><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gif"/><Relationship Id="rId14" Type="http://schemas.openxmlformats.org/officeDocument/2006/relationships/image" Target="media/image10.gif"/><Relationship Id="rId15" Type="http://schemas.openxmlformats.org/officeDocument/2006/relationships/image" Target="media/image11.gif"/><Relationship Id="rId16" Type="http://schemas.openxmlformats.org/officeDocument/2006/relationships/image" Target="media/image12.gif"/><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49437</Words>
  <Characters>266959</Characters>
  <CharactersWithSpaces>315477</CharactersWithSpaces>
  <Paragraphs>2441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