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68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680"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680"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680"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(Do not check if a</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46" w:lineRule="exact"/>
        <w:rPr>
          <w:sz w:val="24"/>
          <w:szCs w:val="24"/>
          <w:color w:val="auto"/>
        </w:rPr>
      </w:pPr>
    </w:p>
    <w:p>
      <w:pPr>
        <w:sectPr>
          <w:pgSz w:w="11900" w:h="16838" w:orient="portrait"/>
          <w:cols w:equalWidth="0" w:num="4">
            <w:col w:w="2900" w:space="720"/>
            <w:col w:w="1520" w:space="720"/>
            <w:col w:w="2400" w:space="720"/>
            <w:col w:w="2300"/>
          </w:cols>
          <w:pgMar w:left="240" w:top="233" w:right="379" w:bottom="680" w:gutter="0" w:footer="0" w:header="0"/>
          <w:type w:val="continuous"/>
        </w:sectPr>
      </w:pPr>
    </w:p>
    <w:p>
      <w:pPr>
        <w:spacing w:after="0" w:line="34"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May 1, 2014, there were 21,172,326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68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9"/>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820" w:type="dxa"/>
            <w:vAlign w:val="bottom"/>
            <w:gridSpan w:val="6"/>
            <w:vMerge w:val="restart"/>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9"/>
            <w:vMerge w:val="continue"/>
          </w:tcPr>
          <w:p>
            <w:pPr>
              <w:spacing w:after="0"/>
              <w:rPr>
                <w:sz w:val="13"/>
                <w:szCs w:val="13"/>
                <w:color w:val="auto"/>
              </w:rPr>
            </w:pPr>
          </w:p>
        </w:tc>
        <w:tc>
          <w:tcPr>
            <w:tcW w:w="482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gridSpan w:val="1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Unaudited Financial Statements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gridSpan w:val="1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Balance Sheets as of March 31, 2014 and December 31, 2013 (Unaudited)</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60" w:type="dxa"/>
            <w:vAlign w:val="bottom"/>
            <w:gridSpan w:val="21"/>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Statements of Operations and Comprehensive Loss for the Three Month Periods Ended March 31, 2014 and 2013 (Unaudited)</w:t>
              </w:r>
            </w:hyperlink>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Statements of Cash Flows for the Three Month Periods Ended March 31, 2014 and 2013 (Unaudited)</w:t>
              </w:r>
            </w:hyperlink>
          </w:p>
        </w:tc>
        <w:tc>
          <w:tcPr>
            <w:tcW w:w="1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the Condensed Financial Statements (Unaudited)</w:t>
              </w:r>
            </w:hyperlink>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3. Quantitative and Qualitative Disclosures About Market Risk</w:t>
              </w:r>
            </w:hyperlink>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30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512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634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4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6. Exhibits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gridSpan w:val="1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EXHIBIT INDEX</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68"/>
        </w:trPr>
        <w:tc>
          <w:tcPr>
            <w:tcW w:w="180" w:type="dxa"/>
            <w:vAlign w:val="bottom"/>
            <w:tcBorders>
              <w:top w:val="single" w:sz="8" w:color="0000EE"/>
              <w:bottom w:val="single" w:sz="8" w:color="010101"/>
            </w:tcBorders>
          </w:tcPr>
          <w:p>
            <w:pPr>
              <w:spacing w:after="0"/>
              <w:rPr>
                <w:sz w:val="24"/>
                <w:szCs w:val="24"/>
                <w:color w:val="auto"/>
              </w:rPr>
            </w:pPr>
          </w:p>
        </w:tc>
        <w:tc>
          <w:tcPr>
            <w:tcW w:w="180" w:type="dxa"/>
            <w:vAlign w:val="bottom"/>
            <w:tcBorders>
              <w:top w:val="single" w:sz="8" w:color="0000EE"/>
              <w:bottom w:val="single" w:sz="8" w:color="010101"/>
            </w:tcBorders>
          </w:tcPr>
          <w:p>
            <w:pPr>
              <w:spacing w:after="0"/>
              <w:rPr>
                <w:sz w:val="24"/>
                <w:szCs w:val="24"/>
                <w:color w:val="auto"/>
              </w:rPr>
            </w:pPr>
          </w:p>
        </w:tc>
        <w:tc>
          <w:tcPr>
            <w:tcW w:w="740" w:type="dxa"/>
            <w:vAlign w:val="bottom"/>
            <w:tcBorders>
              <w:top w:val="single" w:sz="8" w:color="0000EE"/>
              <w:bottom w:val="single" w:sz="8" w:color="010101"/>
            </w:tcBorders>
          </w:tcPr>
          <w:p>
            <w:pPr>
              <w:spacing w:after="0"/>
              <w:rPr>
                <w:sz w:val="24"/>
                <w:szCs w:val="24"/>
                <w:color w:val="auto"/>
              </w:rPr>
            </w:pPr>
          </w:p>
        </w:tc>
        <w:tc>
          <w:tcPr>
            <w:tcW w:w="18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20" w:type="dxa"/>
            <w:vAlign w:val="bottom"/>
            <w:gridSpan w:val="1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5"/>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80" w:type="dxa"/>
            <w:vAlign w:val="bottom"/>
            <w:gridSpan w:val="4"/>
          </w:tcPr>
          <w:p>
            <w:pPr>
              <w:jc w:val="center"/>
              <w:ind w:right="1220"/>
              <w:spacing w:after="0"/>
              <w:rPr>
                <w:sz w:val="20"/>
                <w:szCs w:val="20"/>
                <w:color w:val="auto"/>
              </w:rPr>
            </w:pPr>
            <w:r>
              <w:rPr>
                <w:rFonts w:ascii="Arial" w:cs="Arial" w:eastAsia="Arial" w:hAnsi="Arial"/>
                <w:sz w:val="18"/>
                <w:szCs w:val="18"/>
                <w:b w:val="1"/>
                <w:bCs w:val="1"/>
                <w:color w:val="auto"/>
              </w:rPr>
              <w:t>VERACYTE, INC.</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8"/>
              </w:rPr>
              <w:t>CONDENSED BALANCE SHEETS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2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gridSpan w:val="15"/>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71,220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w w:val="96"/>
              </w:rPr>
              <w:t>Accounts receivable, net of allowance of $135 and $107 as of March 31, 2014 and December 31, 2013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Supplies inventory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760" w:type="dxa"/>
            <w:vAlign w:val="bottom"/>
            <w:tcBorders>
              <w:top w:val="single" w:sz="8" w:color="CCEEFF"/>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gridSpan w:val="15"/>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7,214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rPr>
              <w:t>Deferred Genzyme co-promotion fee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9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1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15,448</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1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120" w:type="dxa"/>
            <w:vAlign w:val="bottom"/>
            <w:gridSpan w:val="15"/>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20" w:type="dxa"/>
            <w:vAlign w:val="bottom"/>
            <w:gridSpan w:val="15"/>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940" w:type="dxa"/>
            <w:vAlign w:val="bottom"/>
            <w:gridSpan w:val="14"/>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$0.001 par value; 125,000,000 shares authorized, 21,164,410 and 21,143,313 shares issued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94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rPr>
              <w:t>and outstanding as of March 31, 2014 and December 31, 2013, 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142,592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142,071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940" w:type="dxa"/>
            <w:vAlign w:val="bottom"/>
            <w:gridSpan w:val="14"/>
            <w:shd w:val="clear" w:color="auto" w:fill="CCEEFF"/>
          </w:tcPr>
          <w:p>
            <w:pPr>
              <w:spacing w:after="0" w:line="201" w:lineRule="exact"/>
              <w:rPr>
                <w:sz w:val="20"/>
                <w:szCs w:val="20"/>
                <w:color w:val="auto"/>
              </w:rPr>
            </w:pPr>
            <w:r>
              <w:rPr>
                <w:rFonts w:ascii="Arial" w:cs="Arial" w:eastAsia="Arial" w:hAnsi="Arial"/>
                <w:sz w:val="18"/>
                <w:szCs w:val="18"/>
                <w:color w:val="auto"/>
                <w:w w:val="96"/>
              </w:rPr>
              <w:t>Preferred stock, $0.001 par value; 5,000,000 shares authorized, 0 shares issued and outstanding as of</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940" w:type="dxa"/>
            <w:vAlign w:val="bottom"/>
            <w:gridSpan w:val="14"/>
            <w:shd w:val="clear" w:color="auto" w:fill="CCEEFF"/>
          </w:tcPr>
          <w:p>
            <w:pPr>
              <w:ind w:left="180"/>
              <w:spacing w:after="0"/>
              <w:rPr>
                <w:sz w:val="20"/>
                <w:szCs w:val="20"/>
                <w:color w:val="auto"/>
              </w:rPr>
            </w:pPr>
            <w:r>
              <w:rPr>
                <w:rFonts w:ascii="Arial" w:cs="Arial" w:eastAsia="Arial" w:hAnsi="Arial"/>
                <w:sz w:val="18"/>
                <w:szCs w:val="18"/>
                <w:color w:val="auto"/>
              </w:rPr>
              <w:t>March 31, 2014 and December 31, 2013, respectively</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40" w:type="dxa"/>
            <w:vAlign w:val="bottom"/>
            <w:gridSpan w:val="14"/>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(92,323)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(85,649)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15"/>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72,454</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-6836410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-6836410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60"/>
          </w:cols>
          <w:pgMar w:left="240" w:top="125" w:right="19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6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21,148,342</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763,021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238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(6,674)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(6,895)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Genzyme co-promotion fee amortization</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(625)</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Change in value of preferred stock liability</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issuance costs</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Interest on debt balloon payment</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Prepaid expenses and current other assets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 and deferred rent</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(2,563)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r>
      <w:tr>
        <w:trPr>
          <w:trHeight w:val="210"/>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5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(6,757)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(556)</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r>
      <w:tr>
        <w:trPr>
          <w:trHeight w:val="210"/>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5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Payment of convertible preferred stock issuance costs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Proceeds from the exercise of common stock options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8"/>
                <w:szCs w:val="18"/>
                <w:color w:val="auto"/>
              </w:rPr>
            </w:pP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(6,983)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(6,930)</w:t>
            </w:r>
          </w:p>
        </w:tc>
        <w:tc>
          <w:tcPr>
            <w:tcW w:w="100" w:type="dxa"/>
            <w:vAlign w:val="bottom"/>
            <w:gridSpan w:val="2"/>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71,220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14,002</w:t>
            </w:r>
          </w:p>
        </w:tc>
        <w:tc>
          <w:tcPr>
            <w:tcW w:w="80" w:type="dxa"/>
            <w:vAlign w:val="bottom"/>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5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64,237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33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right="60" w:firstLine="648"/>
        <w:spacing w:after="0" w:line="261" w:lineRule="auto"/>
        <w:rPr>
          <w:sz w:val="20"/>
          <w:szCs w:val="20"/>
          <w:color w:val="auto"/>
        </w:rPr>
      </w:pPr>
      <w:r>
        <w:rPr>
          <w:rFonts w:ascii="Arial" w:cs="Arial" w:eastAsia="Arial" w:hAnsi="Arial"/>
          <w:sz w:val="17"/>
          <w:szCs w:val="17"/>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 in the United States.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The accompanying unaudited interim condensed financial statements have been prepared in accordance with accounting principles generally accepted in the United States of America (“GAAP”) for interim financial information. Accordingly, they do not include all of the information and notes required by GAAP for complete financial statements. The financial information for the three months ended March 31, 2014 and 2013 is unaudited but includes all adjustments (consisting of only normal recurring adjustments), which the Company considers necessary for a fair presentation of the results of operations for those periods. Interim results are not necessarily indicative of results for the full fiscal year.</w:t>
      </w:r>
    </w:p>
    <w:p>
      <w:pPr>
        <w:spacing w:after="0" w:line="17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audited financial statements and notes thereto included in the Company’s Annual Report on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the determination of fair value of the Company’s common stock prior to the Company’s initial public offering (“IPO”),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Through March 31, 2014, all of the Company’s revenues are derived from the sale of Afirma. The Company’s solution to date has been delivered primarily to physicians in the United States. The Company’s significant third-party payers and their related revenue as a percentage of total revenue are as follows:</w:t>
      </w:r>
    </w:p>
    <w:p>
      <w:pPr>
        <w:spacing w:after="0" w:line="17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240" w:type="dxa"/>
            <w:vAlign w:val="bottom"/>
          </w:tcPr>
          <w:p>
            <w:pPr>
              <w:spacing w:after="0"/>
              <w:rPr>
                <w:sz w:val="10"/>
                <w:szCs w:val="10"/>
                <w:color w:val="auto"/>
              </w:rPr>
            </w:pPr>
          </w:p>
        </w:tc>
        <w:tc>
          <w:tcPr>
            <w:tcW w:w="1100" w:type="dxa"/>
            <w:vAlign w:val="bottom"/>
            <w:tcBorders>
              <w:top w:val="single" w:sz="8" w:color="auto"/>
            </w:tcBorders>
          </w:tcPr>
          <w:p>
            <w:pPr>
              <w:jc w:val="center"/>
              <w:ind w:left="211"/>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gridSpan w:val="2"/>
          </w:tcPr>
          <w:p>
            <w:pPr>
              <w:spacing w:after="0"/>
              <w:rPr>
                <w:sz w:val="10"/>
                <w:szCs w:val="10"/>
                <w:color w:val="auto"/>
              </w:rPr>
            </w:pPr>
          </w:p>
        </w:tc>
      </w:tr>
      <w:tr>
        <w:trPr>
          <w:trHeight w:val="171"/>
        </w:trPr>
        <w:tc>
          <w:tcPr>
            <w:tcW w:w="82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United Healthcare</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4" w:name="page5"/>
    <w:bookmarkEnd w:id="4"/>
    <w:p>
      <w:pPr>
        <w:ind w:right="20" w:firstLine="648"/>
        <w:spacing w:after="0" w:line="277" w:lineRule="auto"/>
        <w:rPr>
          <w:sz w:val="20"/>
          <w:szCs w:val="20"/>
          <w:color w:val="auto"/>
        </w:rPr>
      </w:pPr>
      <w:r>
        <w:rPr>
          <w:rFonts w:ascii="Arial" w:cs="Arial" w:eastAsia="Arial" w:hAnsi="Arial"/>
          <w:sz w:val="18"/>
          <w:szCs w:val="18"/>
          <w:color w:val="auto"/>
        </w:rPr>
        <w:t>Accounts receivable from Medicare amounted to 83% and 78% of accounts receivable as of March 31, 2014 and December 31, 2013. No other third-party payer represented more than 10% of the Company’s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Deposits of $118,000 as of March 31, 2014 and December 31, 2013, respectively, were restricted from withdrawal and held by a bank in the form of collateral for letters of credit. The balance for each respective period consists of a letter of credit totaling $118,000 held as security for the lease of the Company’s office space in South San Francisco, California.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estimates an allowance for doubtful accounts against its individual accounts receivable based on estimates of expected reimbursement consistent with historical payment experience in relation to the amounts billed. Bad debt expense is included in general and administrative expense on the Company’s statements of operations and comprehensive loss. Accounts receivable are written off against the allowance when there is other substantive evidence that the account will not be paid. If the financial condition of our customers deteriorates, resulting in an impairment of their ability to make payment, additional allowances may be required.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balance of allowance for doubtful accounts as of March 31, 2014 and December 31, 2013, including charges to bad debt expense and write-offs, net of recoveries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2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gridSpan w:val="2"/>
          </w:tcPr>
          <w:p>
            <w:pPr>
              <w:jc w:val="right"/>
              <w:ind w:right="174"/>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gridSpan w:val="2"/>
          </w:tcPr>
          <w:p>
            <w:pPr>
              <w:spacing w:after="0"/>
              <w:rPr>
                <w:sz w:val="10"/>
                <w:szCs w:val="10"/>
                <w:color w:val="auto"/>
              </w:rPr>
            </w:pPr>
          </w:p>
        </w:tc>
      </w:tr>
      <w:tr>
        <w:trPr>
          <w:trHeight w:val="171"/>
        </w:trPr>
        <w:tc>
          <w:tcPr>
            <w:tcW w:w="5260" w:type="dxa"/>
            <w:vAlign w:val="bottom"/>
          </w:tcPr>
          <w:p>
            <w:pPr>
              <w:spacing w:after="0"/>
              <w:rPr>
                <w:sz w:val="14"/>
                <w:szCs w:val="14"/>
                <w:color w:val="auto"/>
              </w:rPr>
            </w:pPr>
          </w:p>
        </w:tc>
        <w:tc>
          <w:tcPr>
            <w:tcW w:w="408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4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138"/>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8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Charged to expense</w:t>
            </w:r>
          </w:p>
        </w:tc>
        <w:tc>
          <w:tcPr>
            <w:tcW w:w="3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net of recoveries</w:t>
            </w:r>
          </w:p>
        </w:tc>
        <w:tc>
          <w:tcPr>
            <w:tcW w:w="3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Ending balance</w:t>
            </w:r>
          </w:p>
        </w:tc>
        <w:tc>
          <w:tcPr>
            <w:tcW w:w="30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right="40" w:firstLine="720"/>
        <w:spacing w:after="0" w:line="273" w:lineRule="auto"/>
        <w:rPr>
          <w:sz w:val="20"/>
          <w:szCs w:val="20"/>
          <w:color w:val="auto"/>
        </w:rPr>
      </w:pPr>
      <w:r>
        <w:rPr>
          <w:rFonts w:ascii="Arial" w:cs="Arial" w:eastAsia="Arial" w:hAnsi="Arial"/>
          <w:sz w:val="17"/>
          <w:szCs w:val="17"/>
          <w:color w:val="auto"/>
        </w:rPr>
        <w:t>The Company capitalizes costs incurred in the application development stage to design and implement the software used in the tracking and reporting of laboratory activity. Costs incurred in the development of application of the software are capitalized and amortized over an estimated useful life of three years on a straight line basis. The total cost, accumulated depreciation and net book value was $507,000, $227,000 and $280,000 as of March 31, 2014, and was $482,000, $195,000 and $287,000 at December 31, 2013 and are included in property and equipment in the Company’s condensed balance sheets. During the three months ended March 31, 2014 and 2013, the Company capitalized $25,000 and $99,000 of software development costs. Amortization expense totaled $32,000 and $16,000, for the three months ended March 31, 2014 and 2013,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three months ended March 31, 2014 and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March 31, 2014 and December 31, 2013, the Company accrued $262,000 and $1.1 million, respectively, for liabilities associated with these employee and executive bonus plans which are included in accrued liabilities in the Company’s condensed balance sheets.</w:t>
      </w:r>
    </w:p>
    <w:p>
      <w:pPr>
        <w:sectPr>
          <w:pgSz w:w="11900" w:h="16838" w:orient="portrait"/>
          <w:cols w:equalWidth="0" w:num="1">
            <w:col w:w="11420"/>
          </w:cols>
          <w:pgMar w:left="240" w:top="125"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Company’s revenue is generated from the provision of diagnostic services using the Afirma solution. The Company’s service is completed upon the delivery of test results to the prescribing physician which triggers the billing for the service. The Company recognizes revenue related to billings for Medicare and commercial carriers on an accrual basis, net of contractual adjustments, when there is a predictable pattern of collectability. These contractual adjustments represent the difference between the list price (the billing rate) and the reimbursement expected to be received from Medicare or commercial payers. Upon ultimate collection, the amount received from Medicare and commercial payers with a predictable pattern of payment is compared to previous estimates and the contractual allowance is adjusted accordingly. Until a contract has been negotiated with a commercial carrier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directly from the patient, the related revenue is only recognized upon the earlier of payment notification, if applicable, or cash receipt.</w:t>
      </w:r>
    </w:p>
    <w:p>
      <w:pPr>
        <w:spacing w:after="0" w:line="178"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a contracted reimbursement rate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Cost of revenue is expensed as incurred and includes material and service costs, including cytopathology testing services performed by a third-party pathology group, stock-based compensation expense, direct labor costs, equipment and infrastructure expenses associated with testing tissue samples, shipping charges to transport samples, and allocated overhead including rent, information technology, equipment depreciation and utilities.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6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ectPr>
          <w:pgSz w:w="11900" w:h="16838" w:orient="portrait"/>
          <w:cols w:equalWidth="0" w:num="1">
            <w:col w:w="11420"/>
          </w:cols>
          <w:pgMar w:left="240" w:top="125" w:right="239" w:bottom="0" w:gutter="0" w:footer="0" w:header="0"/>
        </w:sectPr>
      </w:pPr>
    </w:p>
    <w:bookmarkStart w:id="6" w:name="page7"/>
    <w:bookmarkEnd w:id="6"/>
    <w:p>
      <w:pPr>
        <w:ind w:firstLine="648"/>
        <w:spacing w:after="0" w:line="255"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In July 2013, Financial Accounting Standards Board (“FASB”) issued Accounting Standards Update (“ASU”) No. 2013-11, </w:t>
      </w:r>
      <w:r>
        <w:rPr>
          <w:rFonts w:ascii="Arial" w:cs="Arial" w:eastAsia="Arial" w:hAnsi="Arial"/>
          <w:sz w:val="16"/>
          <w:szCs w:val="16"/>
          <w:i w:val="1"/>
          <w:iCs w:val="1"/>
          <w:color w:val="auto"/>
        </w:rPr>
        <w:t>Presentation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Unrecognized Tax Benefit when a Net Operating Loss Carryforward, a Similar Tax Loss, or a Tax Credit Carryforward Exists (a consensus of the FASB Emerging Issues Task Force). </w:t>
      </w:r>
      <w:r>
        <w:rPr>
          <w:rFonts w:ascii="Arial" w:cs="Arial" w:eastAsia="Arial" w:hAnsi="Arial"/>
          <w:sz w:val="16"/>
          <w:szCs w:val="16"/>
          <w:color w:val="auto"/>
        </w:rPr>
        <w:t>The amendments in this ASU provide guidance on the financial statements presentation of an unrecognized tax benefit when a</w:t>
      </w:r>
      <w:r>
        <w:rPr>
          <w:rFonts w:ascii="Arial" w:cs="Arial" w:eastAsia="Arial" w:hAnsi="Arial"/>
          <w:sz w:val="16"/>
          <w:szCs w:val="16"/>
          <w:i w:val="1"/>
          <w:iCs w:val="1"/>
          <w:color w:val="auto"/>
        </w:rPr>
        <w:t xml:space="preserve"> </w:t>
      </w:r>
      <w:r>
        <w:rPr>
          <w:rFonts w:ascii="Arial" w:cs="Arial" w:eastAsia="Arial" w:hAnsi="Arial"/>
          <w:sz w:val="16"/>
          <w:szCs w:val="16"/>
          <w:color w:val="auto"/>
        </w:rPr>
        <w:t>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The Company adopted this guidance during the first quarter of 2014 and such adoption did not have a material impact on the Company’s condensed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the calculation of basic and diluted net loss per common share for the three months ended March 31, 2014 and 2013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21,148,342</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763,021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1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outstanding shares of common stock equivalents have been excluded from diluted net loss per common share for the three months ended March 31, 2014 and 2013 because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8"/>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117"/>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outstanding options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3,166,419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13,271,122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equivalents</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3,166,419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15,584,229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660"/>
              <w:spacing w:after="0"/>
              <w:rPr>
                <w:sz w:val="20"/>
                <w:szCs w:val="20"/>
                <w:color w:val="auto"/>
              </w:rPr>
            </w:pPr>
            <w:r>
              <w:rPr>
                <w:rFonts w:ascii="Arial" w:cs="Arial" w:eastAsia="Arial" w:hAnsi="Arial"/>
                <w:sz w:val="18"/>
                <w:szCs w:val="18"/>
                <w:color w:val="auto"/>
              </w:rPr>
              <w:t>Accrued liabilities consist of the following (in thousands):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2,776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Accrued liabilities</w:t>
            </w:r>
          </w:p>
        </w:tc>
        <w:tc>
          <w:tcPr>
            <w:tcW w:w="16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20" w:hanging="324"/>
        <w:spacing w:after="0" w:line="264"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1900" w:h="16838" w:orient="portrait"/>
          <w:cols w:equalWidth="0" w:num="1">
            <w:col w:w="11420"/>
          </w:cols>
          <w:pgMar w:left="240" w:top="125" w:right="239" w:bottom="0" w:gutter="0" w:footer="0" w:header="0"/>
        </w:sectPr>
      </w:pPr>
    </w:p>
    <w:bookmarkStart w:id="7" w:name="page8"/>
    <w:bookmarkEnd w:id="7"/>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March 31, 2014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467"/>
              <w:spacing w:after="0"/>
              <w:rPr>
                <w:sz w:val="20"/>
                <w:szCs w:val="20"/>
                <w:color w:val="auto"/>
              </w:rPr>
            </w:pPr>
            <w:r>
              <w:rPr>
                <w:rFonts w:ascii="Arial" w:cs="Arial" w:eastAsia="Arial" w:hAnsi="Arial"/>
                <w:sz w:val="14"/>
                <w:szCs w:val="14"/>
                <w:b w:val="1"/>
                <w:bCs w:val="1"/>
                <w:color w:val="auto"/>
              </w:rPr>
              <w:t>As of March 31, 2014</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9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Level I</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Level II</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Level III</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2"/>
                <w:szCs w:val="12"/>
                <w:color w:val="auto"/>
              </w:rPr>
            </w:pPr>
          </w:p>
        </w:tc>
      </w:tr>
      <w:tr>
        <w:trPr>
          <w:trHeight w:val="196"/>
        </w:trPr>
        <w:tc>
          <w:tcPr>
            <w:tcW w:w="1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Money market funds</w:t>
            </w:r>
          </w:p>
        </w:tc>
        <w:tc>
          <w:tcPr>
            <w:tcW w:w="72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63,666</w:t>
            </w:r>
          </w:p>
        </w:tc>
        <w:tc>
          <w:tcPr>
            <w:tcW w:w="54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w w:val="88"/>
              </w:rPr>
              <w:t>—</w:t>
            </w:r>
          </w:p>
        </w:tc>
        <w:tc>
          <w:tcPr>
            <w:tcW w:w="1340" w:type="dxa"/>
            <w:vAlign w:val="bottom"/>
            <w:gridSpan w:val="3"/>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63,666</w:t>
            </w:r>
          </w:p>
        </w:tc>
        <w:tc>
          <w:tcPr>
            <w:tcW w:w="120" w:type="dxa"/>
            <w:vAlign w:val="bottom"/>
          </w:tcPr>
          <w:p>
            <w:pPr>
              <w:spacing w:after="0"/>
              <w:rPr>
                <w:sz w:val="18"/>
                <w:szCs w:val="18"/>
                <w:color w:val="auto"/>
              </w:rPr>
            </w:pPr>
          </w:p>
        </w:tc>
      </w:tr>
      <w:tr>
        <w:trPr>
          <w:trHeight w:val="210"/>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367"/>
              <w:spacing w:after="0"/>
              <w:rPr>
                <w:sz w:val="20"/>
                <w:szCs w:val="20"/>
                <w:color w:val="auto"/>
              </w:rPr>
            </w:pPr>
            <w:r>
              <w:rPr>
                <w:rFonts w:ascii="Arial" w:cs="Arial" w:eastAsia="Arial" w:hAnsi="Arial"/>
                <w:sz w:val="14"/>
                <w:szCs w:val="14"/>
                <w:b w:val="1"/>
                <w:bCs w:val="1"/>
                <w:color w:val="auto"/>
              </w:rPr>
              <w:t>As of December 31, 2013</w:t>
            </w: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Level I</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II</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Level III</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96"/>
        </w:trPr>
        <w:tc>
          <w:tcPr>
            <w:tcW w:w="1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Money market funds</w:t>
            </w:r>
          </w:p>
        </w:tc>
        <w:tc>
          <w:tcPr>
            <w:tcW w:w="7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69,972</w:t>
            </w:r>
          </w:p>
        </w:tc>
        <w:tc>
          <w:tcPr>
            <w:tcW w:w="5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907"/>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69,972</w:t>
            </w:r>
          </w:p>
        </w:tc>
        <w:tc>
          <w:tcPr>
            <w:tcW w:w="120" w:type="dxa"/>
            <w:vAlign w:val="bottom"/>
          </w:tcPr>
          <w:p>
            <w:pPr>
              <w:spacing w:after="0"/>
              <w:rPr>
                <w:sz w:val="18"/>
                <w:szCs w:val="18"/>
                <w:color w:val="auto"/>
              </w:rPr>
            </w:pPr>
          </w:p>
        </w:tc>
      </w:tr>
      <w:tr>
        <w:trPr>
          <w:trHeight w:val="210"/>
        </w:trPr>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ind w:right="907"/>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leases its headquarters and South San Francisco laboratory facilities under a non-cancelable lease agreement that expires March 31, 2016.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condensed balance sheets as of March 31, 2014 and December 31, 2013.</w:t>
      </w:r>
    </w:p>
    <w:p>
      <w:pPr>
        <w:spacing w:after="0" w:line="18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Company leases laboratory space in Austin, Texas. The lease expires on July 31, 2018. The Company provided a cash security deposit of $75,000, which is included in other assets in the Company’s balance sheet as of March 31, 2014 and December 31, 2013.</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March 31, 2014 are as follows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through December 31, 2014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r>
      <w:tr>
        <w:trPr>
          <w:trHeight w:val="210"/>
        </w:trPr>
        <w:tc>
          <w:tcPr>
            <w:tcW w:w="6800" w:type="dxa"/>
            <w:vAlign w:val="bottom"/>
            <w:gridSpan w:val="2"/>
          </w:tcPr>
          <w:p>
            <w:pPr>
              <w:ind w:left="18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Facilities rent expense was $213,000 and $216,000 for the three months ended March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 Purchase Agreement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had non-cancelable purchase obligations to contract manufacturers and suppliers for approximately $196,000 at March 31, 2014, all of which is estimated to be payable before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and did not draw the remaining $5.0 million on or before the expiration date of March 31, 2014. The carrying value of the debt approximates its fair value because the interest rate approximates market rates that the Company could obtain for debt with similar terms. The Company’s long-term debt obligation is a Level III liability. Level III inputs include unobservable inputs that are supported by little or no market activity and that are significant to the fair value of the underlying asset or liability.</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is required to repay the outstanding principal in 30 equal installments beginning 18 months after the date of the borrowing and is due in full in June 2017. The loan bears interest at a rate of 6.06% per annum. The loan carries prepayment penalties of 2.25% and 1.5% for prepayment within one and two years, respectively, of the loan origination and 0.75% thereafter. As of March 31, 2014, the net debt obligation is $4.9 million, consisting of the $5.0 million borrowing and the unpaid accrued balloon payment obligation net of the $100,000 discount on the note, of which $467,000 is included in current liabilities and $4.5 million is included in long-term debt in the Company’s balance sheets. The obligation includes an end of term payment of $223,000, representing 4.45% of the total outstanding principal balance, which accretes over the life of the loan as interest expense. As a result of the debt discount and the end of term payment, the effective interest rate for the loan differs from the contractual rate. Total interest on the debt was $111,000 for the three months ended March 31, 2014, comprised of $76,000 of nominal interest and $35,000 in interest expense related to the amortization of the debt discount and accretion of the end of term payment.</w:t>
      </w:r>
    </w:p>
    <w:p>
      <w:pPr>
        <w:sectPr>
          <w:pgSz w:w="11900" w:h="16838" w:orient="portrait"/>
          <w:cols w:equalWidth="0" w:num="1">
            <w:col w:w="11420"/>
          </w:cols>
          <w:pgMar w:left="240" w:top="125" w:right="239" w:bottom="0" w:gutter="0" w:footer="0" w:header="0"/>
        </w:sectPr>
      </w:pPr>
    </w:p>
    <w:bookmarkStart w:id="8" w:name="page9"/>
    <w:bookmarkEnd w:id="8"/>
    <w:p>
      <w:pPr>
        <w:spacing w:after="0" w:line="87"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The Company’s obligations under the loan and security agreement are secured by a security interest in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Preferred Stock Warrant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2013, in conjunction with the execution of the loan and security agreement, as discussed in Note 6, the Company issued to the lender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warrant to purchase up to 49,602 shares of Series C convertible preferred stock with an exercise price of $7.56 per share. Upon the draw down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term loan, the related warrant became exercisable for 24,801 shares. The lender exercised the warrant with respect to 24,801 shares through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cashless exercise in March 2014 resulting in the issuance of 13,739 shares of the Company’s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Restated Certificate of Incorporation authorizes the Company to issue 125,000,000 shares of common stock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March 31, 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and December 31, 2013, the Company had reserved shares of common stock for issuance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3,166,419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973,312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1,787,802</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 issued and outstanding</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24,801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4,139,731</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4,171,890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March 31, 2014 or December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(intrinsic value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Available</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for Grant</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1,787,802</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2,359,287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(850,092)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850,092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35,602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3,166,419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6.23</w:t>
            </w:r>
          </w:p>
        </w:tc>
        <w:tc>
          <w:tcPr>
            <w:tcW w:w="11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Options exercisable - March 31, 2014</w:t>
            </w: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2.88</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7.33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29,984</w:t>
            </w: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2,104,032</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CCEEFF"/>
            </w:tcBorders>
            <w:gridSpan w:val="2"/>
            <w:vMerge w:val="continue"/>
          </w:tcPr>
          <w:p>
            <w:pPr>
              <w:spacing w:after="0"/>
              <w:rPr>
                <w:sz w:val="20"/>
                <w:szCs w:val="20"/>
                <w:color w:val="auto"/>
              </w:rPr>
            </w:pPr>
          </w:p>
        </w:tc>
        <w:tc>
          <w:tcPr>
            <w:tcW w:w="118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 - March 31, 2014</w:t>
            </w:r>
          </w:p>
        </w:tc>
        <w:tc>
          <w:tcPr>
            <w:tcW w:w="10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2,994,431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6.04</w:t>
            </w:r>
          </w:p>
        </w:tc>
        <w:tc>
          <w:tcPr>
            <w:tcW w:w="118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33,330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of $17.13 per share as of March 31,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and exercisable stock options at March 31, 2014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gridSpan w:val="4"/>
          </w:tcPr>
          <w:p>
            <w:pPr>
              <w:ind w:left="1140"/>
              <w:spacing w:after="0"/>
              <w:rPr>
                <w:sz w:val="20"/>
                <w:szCs w:val="20"/>
                <w:color w:val="auto"/>
              </w:rPr>
            </w:pPr>
            <w:r>
              <w:rPr>
                <w:rFonts w:ascii="Arial" w:cs="Arial" w:eastAsia="Arial" w:hAnsi="Arial"/>
                <w:sz w:val="14"/>
                <w:szCs w:val="14"/>
                <w:b w:val="1"/>
                <w:bCs w:val="1"/>
                <w:color w:val="auto"/>
              </w:rPr>
              <w:t>Options Outstanding</w:t>
            </w:r>
          </w:p>
        </w:tc>
        <w:tc>
          <w:tcPr>
            <w:tcW w:w="3600" w:type="dxa"/>
            <w:vAlign w:val="bottom"/>
            <w:gridSpan w:val="4"/>
          </w:tcPr>
          <w:p>
            <w:pPr>
              <w:ind w:left="780"/>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300" w:type="dxa"/>
            <w:vAlign w:val="bottom"/>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w:t>
            </w: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680" w:type="dxa"/>
            <w:vAlign w:val="bottom"/>
            <w:gridSpan w:val="2"/>
            <w:vMerge w:val="continue"/>
          </w:tcPr>
          <w:p>
            <w:pPr>
              <w:spacing w:after="0"/>
              <w:rPr>
                <w:sz w:val="12"/>
                <w:szCs w:val="12"/>
                <w:color w:val="auto"/>
              </w:rPr>
            </w:pPr>
          </w:p>
        </w:tc>
        <w:tc>
          <w:tcPr>
            <w:tcW w:w="192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Number</w:t>
            </w:r>
          </w:p>
        </w:tc>
        <w:tc>
          <w:tcPr>
            <w:tcW w:w="1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9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Number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Price</w:t>
            </w:r>
          </w:p>
        </w:tc>
        <w:tc>
          <w:tcPr>
            <w:tcW w:w="1920" w:type="dxa"/>
            <w:vAlign w:val="bottom"/>
            <w:gridSpan w:val="2"/>
            <w:vMerge w:val="continue"/>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Life (in Years)</w:t>
            </w:r>
          </w:p>
        </w:tc>
        <w:tc>
          <w:tcPr>
            <w:tcW w:w="1900" w:type="dxa"/>
            <w:vAlign w:val="bottom"/>
            <w:gridSpan w:val="2"/>
            <w:vMerge w:val="continue"/>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$0.08</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6"/>
              </w:rPr>
              <w:t>177,750</w:t>
            </w:r>
          </w:p>
        </w:tc>
        <w:tc>
          <w:tcPr>
            <w:tcW w:w="3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3.81</w:t>
            </w:r>
          </w:p>
        </w:tc>
        <w:tc>
          <w:tcPr>
            <w:tcW w:w="3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177,750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8"/>
                <w:szCs w:val="18"/>
                <w:color w:val="auto"/>
              </w:rPr>
            </w:pPr>
          </w:p>
        </w:tc>
        <w:tc>
          <w:tcPr>
            <w:tcW w:w="1920" w:type="dxa"/>
            <w:vAlign w:val="bottom"/>
            <w:gridSpan w:val="2"/>
          </w:tcPr>
          <w:p>
            <w:pPr>
              <w:ind w:left="1040"/>
              <w:spacing w:after="0"/>
              <w:rPr>
                <w:sz w:val="20"/>
                <w:szCs w:val="20"/>
                <w:color w:val="auto"/>
              </w:rPr>
            </w:pPr>
            <w:r>
              <w:rPr>
                <w:rFonts w:ascii="Arial" w:cs="Arial" w:eastAsia="Arial" w:hAnsi="Arial"/>
                <w:sz w:val="18"/>
                <w:szCs w:val="18"/>
                <w:color w:val="auto"/>
              </w:rPr>
              <w:t>165,569</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5.49</w:t>
            </w:r>
          </w:p>
        </w:tc>
        <w:tc>
          <w:tcPr>
            <w:tcW w:w="3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165,569</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412,009</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6.43</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393,803</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20"/>
                <w:szCs w:val="20"/>
                <w:color w:val="auto"/>
              </w:rPr>
            </w:pPr>
          </w:p>
        </w:tc>
        <w:tc>
          <w:tcPr>
            <w:tcW w:w="1920" w:type="dxa"/>
            <w:vAlign w:val="bottom"/>
            <w:gridSpan w:val="2"/>
          </w:tcPr>
          <w:p>
            <w:pPr>
              <w:ind w:left="1040"/>
              <w:spacing w:after="0"/>
              <w:rPr>
                <w:sz w:val="20"/>
                <w:szCs w:val="20"/>
                <w:color w:val="auto"/>
              </w:rPr>
            </w:pPr>
            <w:r>
              <w:rPr>
                <w:rFonts w:ascii="Arial" w:cs="Arial" w:eastAsia="Arial" w:hAnsi="Arial"/>
                <w:sz w:val="18"/>
                <w:szCs w:val="18"/>
                <w:color w:val="auto"/>
              </w:rPr>
              <w:t>208,593</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7.44</w:t>
            </w:r>
          </w:p>
        </w:tc>
        <w:tc>
          <w:tcPr>
            <w:tcW w:w="30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174,226</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5"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$2.68</w:t>
            </w:r>
          </w:p>
        </w:tc>
        <w:tc>
          <w:tcPr>
            <w:tcW w:w="2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650,045</w:t>
            </w:r>
          </w:p>
        </w:tc>
        <w:tc>
          <w:tcPr>
            <w:tcW w:w="17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7.92</w:t>
            </w:r>
          </w:p>
        </w:tc>
        <w:tc>
          <w:tcPr>
            <w:tcW w:w="2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601,163</w:t>
            </w:r>
          </w:p>
        </w:tc>
        <w:tc>
          <w:tcPr>
            <w:tcW w:w="15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7.91</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$4.00</w:t>
            </w: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455,861</w:t>
            </w:r>
          </w:p>
        </w:tc>
        <w:tc>
          <w:tcPr>
            <w:tcW w:w="1740" w:type="dxa"/>
            <w:vAlign w:val="bottom"/>
          </w:tcPr>
          <w:p>
            <w:pPr>
              <w:jc w:val="right"/>
              <w:ind w:right="850"/>
              <w:spacing w:after="0"/>
              <w:rPr>
                <w:sz w:val="20"/>
                <w:szCs w:val="20"/>
                <w:color w:val="auto"/>
              </w:rPr>
            </w:pPr>
            <w:r>
              <w:rPr>
                <w:rFonts w:ascii="Arial" w:cs="Arial" w:eastAsia="Arial" w:hAnsi="Arial"/>
                <w:sz w:val="18"/>
                <w:szCs w:val="18"/>
                <w:color w:val="auto"/>
              </w:rPr>
              <w:t>8.73</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color w:val="auto"/>
              </w:rPr>
              <w:t>404,716</w:t>
            </w:r>
          </w:p>
        </w:tc>
        <w:tc>
          <w:tcPr>
            <w:tcW w:w="1520" w:type="dxa"/>
            <w:vAlign w:val="bottom"/>
          </w:tcPr>
          <w:p>
            <w:pPr>
              <w:jc w:val="center"/>
              <w:ind w:right="190"/>
              <w:spacing w:after="0"/>
              <w:rPr>
                <w:sz w:val="20"/>
                <w:szCs w:val="20"/>
                <w:color w:val="auto"/>
              </w:rPr>
            </w:pPr>
            <w:r>
              <w:rPr>
                <w:rFonts w:ascii="Arial" w:cs="Arial" w:eastAsia="Arial" w:hAnsi="Arial"/>
                <w:sz w:val="18"/>
                <w:szCs w:val="18"/>
                <w:color w:val="auto"/>
                <w:w w:val="91"/>
              </w:rPr>
              <w:t>8.72</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$6.04</w:t>
            </w:r>
          </w:p>
        </w:tc>
        <w:tc>
          <w:tcPr>
            <w:tcW w:w="2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197,875</w:t>
            </w:r>
          </w:p>
        </w:tc>
        <w:tc>
          <w:tcPr>
            <w:tcW w:w="17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9.22</w:t>
            </w:r>
          </w:p>
        </w:tc>
        <w:tc>
          <w:tcPr>
            <w:tcW w:w="2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153,055</w:t>
            </w:r>
          </w:p>
        </w:tc>
        <w:tc>
          <w:tcPr>
            <w:tcW w:w="15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9.22</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$7.92</w:t>
            </w: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9,000</w:t>
            </w:r>
          </w:p>
        </w:tc>
        <w:tc>
          <w:tcPr>
            <w:tcW w:w="1740" w:type="dxa"/>
            <w:vAlign w:val="bottom"/>
          </w:tcPr>
          <w:p>
            <w:pPr>
              <w:jc w:val="right"/>
              <w:ind w:right="850"/>
              <w:spacing w:after="0"/>
              <w:rPr>
                <w:sz w:val="20"/>
                <w:szCs w:val="20"/>
                <w:color w:val="auto"/>
              </w:rPr>
            </w:pPr>
            <w:r>
              <w:rPr>
                <w:rFonts w:ascii="Arial" w:cs="Arial" w:eastAsia="Arial" w:hAnsi="Arial"/>
                <w:sz w:val="18"/>
                <w:szCs w:val="18"/>
                <w:color w:val="auto"/>
              </w:rPr>
              <w:t>9.45</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2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39,625</w:t>
            </w:r>
          </w:p>
        </w:tc>
        <w:tc>
          <w:tcPr>
            <w:tcW w:w="17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9.51</w:t>
            </w:r>
          </w:p>
        </w:tc>
        <w:tc>
          <w:tcPr>
            <w:tcW w:w="2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33,750</w:t>
            </w:r>
          </w:p>
        </w:tc>
        <w:tc>
          <w:tcPr>
            <w:tcW w:w="15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1"/>
              </w:rPr>
              <w:t>9.51</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$14.34-18.24</w:t>
            </w: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850,092</w:t>
            </w:r>
          </w:p>
        </w:tc>
        <w:tc>
          <w:tcPr>
            <w:tcW w:w="1740" w:type="dxa"/>
            <w:vAlign w:val="bottom"/>
          </w:tcPr>
          <w:p>
            <w:pPr>
              <w:jc w:val="right"/>
              <w:ind w:right="850"/>
              <w:spacing w:after="0"/>
              <w:rPr>
                <w:sz w:val="20"/>
                <w:szCs w:val="20"/>
                <w:color w:val="auto"/>
              </w:rPr>
            </w:pPr>
            <w:r>
              <w:rPr>
                <w:rFonts w:ascii="Arial" w:cs="Arial" w:eastAsia="Arial" w:hAnsi="Arial"/>
                <w:sz w:val="18"/>
                <w:szCs w:val="18"/>
                <w:color w:val="auto"/>
              </w:rPr>
              <w:t>9.90</w:t>
            </w:r>
          </w:p>
        </w:tc>
        <w:tc>
          <w:tcPr>
            <w:tcW w:w="2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r>
      <w:tr>
        <w:trPr>
          <w:trHeight w:val="210"/>
        </w:trPr>
        <w:tc>
          <w:tcPr>
            <w:tcW w:w="1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$0.08-18.24</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3,166,419</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8.09</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2,104,032</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7.33</w:t>
            </w:r>
          </w:p>
        </w:tc>
      </w:tr>
      <w:tr>
        <w:trPr>
          <w:trHeight w:val="20"/>
        </w:trPr>
        <w:tc>
          <w:tcPr>
            <w:tcW w:w="1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weighted average fair value of stock options granted was $10.27 and $2.71 per share for the three months ended March 31, 2014 and 2013, respectively.</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weighted average fair value of stock options vested was $2.37 and $2.07 per share for the three months ended March 31, 2014 and 2013, respectively. The aggregate estimated grant date fair value of employee options to purchase common stock vested during the three months ended March 31, 2014 and 2013 was $0.4 million and $0.6 million, respectively</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weighted average fair value of stock options exercised was $2.53 and $0.87 per share for the three months ended March 31, 2014 and 2013, respectively. The intrinsic value of stock options exercised was $0.1 million and $0.5 million for the three months ended March 31, 2014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stock options for the three months ended March 31, 2014 and 2013, and are included in the unaudited statements of operations and comprehensive loss as follows (in thousands):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0"/>
        </w:trPr>
        <w:tc>
          <w:tcPr>
            <w:tcW w:w="8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2014, the Company had $9.2 million of unrecognized compensation expense related to unvested stock options, which is expected to be recognized over an estimated weighted-average period of 3.6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valuation model, based on the following assumptions:</w:t>
      </w:r>
    </w:p>
    <w:p>
      <w:pPr>
        <w:spacing w:after="0" w:line="16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77.17-78.54%</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80.52-81.41%</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6.08</w:t>
            </w:r>
          </w:p>
        </w:tc>
        <w:tc>
          <w:tcPr>
            <w:tcW w:w="2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5.0-6.08</w:t>
            </w:r>
          </w:p>
        </w:tc>
        <w:tc>
          <w:tcPr>
            <w:tcW w:w="1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1.83-1.99%</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0.88-1.16%</w:t>
            </w:r>
          </w:p>
        </w:tc>
        <w:tc>
          <w:tcPr>
            <w:tcW w:w="100" w:type="dxa"/>
            <w:vAlign w:val="bottom"/>
            <w:shd w:val="clear" w:color="auto" w:fill="CCEEFF"/>
          </w:tcPr>
          <w:p>
            <w:pPr>
              <w:spacing w:after="0"/>
              <w:rPr>
                <w:sz w:val="18"/>
                <w:szCs w:val="18"/>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8.68 years to 9.51 years as of March 31, 2014 and 8.47 years to</w:t>
      </w:r>
    </w:p>
    <w:p>
      <w:pPr>
        <w:ind w:right="20"/>
        <w:spacing w:after="0" w:line="255" w:lineRule="auto"/>
        <w:rPr>
          <w:sz w:val="20"/>
          <w:szCs w:val="20"/>
          <w:color w:val="auto"/>
        </w:rPr>
      </w:pPr>
      <w:r>
        <w:rPr>
          <w:rFonts w:ascii="Arial" w:cs="Arial" w:eastAsia="Arial" w:hAnsi="Arial"/>
          <w:sz w:val="18"/>
          <w:szCs w:val="18"/>
          <w:color w:val="auto"/>
        </w:rPr>
        <w:t>9.68 years as of March 31, 2013; risk free rate is based on the U.S. Treasury Constant Maturity rate with a term similar to the expected life of the option at the measurement date ranging from 2.54% to 2.66% as of March 31, 2014 and 1.55% to 1.80% as of March 31, 2013; expected dividend yield of 0%; and volatilities ranging from 76.70% to 76.87% as of March 31, 2014 and 80.27% to 80.99% as of March 31,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Genzyme Co-promotion Agreement</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May 2011, the Company received $100,000 from Genzyme Corporation (“Genzyme”) in connection with an extension of an exclusive right to negotiate a co-promotion agreement. 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40% from January 2013 through February 2014, and 32% beginning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incurred $2.8 million and $1.9 million in co-promotion expense in the three months ended March 31, 2014 and 2013, respectively, which is included in selling and marketing expenses the statements of operations and comprehensive loss. The Company amortized $625,000 of the $10.0 million up-front co-promotion fee in each of the three months ended March 31, 2014 and 2013, which is reflected as a reduction to selling and marketing expenses in the statements of operations and comprehensive loss. The Company’s outstanding obligation to Genzyme totaled $7.7 million and $6.7 million at March 31, 2014 and December 31, 2013, respectively. Of the $7.7 million obligation at March 31, 2014, $4.9 million is included in accounts payable and $2.8 million is included in accrued liabilities in the Company’s condensed</w:t>
      </w:r>
    </w:p>
    <w:p>
      <w:pPr>
        <w:sectPr>
          <w:pgSz w:w="11900" w:h="16838" w:orient="portrait"/>
          <w:cols w:equalWidth="0" w:num="1">
            <w:col w:w="11420"/>
          </w:cols>
          <w:pgMar w:left="240" w:top="140" w:right="239" w:bottom="0" w:gutter="0" w:footer="0" w:header="0"/>
        </w:sectPr>
      </w:pPr>
    </w:p>
    <w:bookmarkStart w:id="10" w:name="page11"/>
    <w:bookmarkEnd w:id="10"/>
    <w:p>
      <w:pPr>
        <w:spacing w:after="0" w:line="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balance sheets. Of the $6.7 million obligation at December 31, 2013, $1.8 million is included in accounts payable and $4.9 million is included in accrued liabilities in the Company’s condensed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unamortized balance of the co-promotion fee is reflected on the Company’s condensed balance sheets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1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w w:val="93"/>
              </w:rPr>
              <w:t>Deferred Genzyme co-promotion fee, net of current portion</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60" w:type="dxa"/>
            <w:vAlign w:val="bottom"/>
            <w:vMerge w:val="restart"/>
          </w:tcPr>
          <w:p>
            <w:pPr>
              <w:jc w:val="right"/>
              <w:ind w:right="111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Thyroid Cytology Partners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The Company does not have an ownership interest in or provide any form of financial or other support to TCP. 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statements of operations and comprehensive loss. All amounts to be received from TCP will be recorded in the same period as the corresponding lease costs. The Company incurred $887,000 and $711,000 in cytopathology testing and evaluation services expenses with TCP in the three months ended March 31, 2014 and 2013, respectively. The Company’s outstanding obligations to TCP for cytopathology testing services were $584,000 and $588,000 as of March 31, 2014 and December 31, 2013, respectively, and are included in accounts payable in the Company’s condensed balance sheets.</w:t>
      </w:r>
    </w:p>
    <w:p>
      <w:pPr>
        <w:spacing w:after="0" w:line="175"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Beginning in May 2013, TCP reimburses the Company for a proportionate share of the Company’s rent and related operating expense costs for the leased facility. TCP’s portion of rent and related operating expense costs for the shared space at the Austin, Texas facility was $20,000 for the three months ended March 31, 2014, and is included in other income in the Company’s statements of operations and comprehensive loss. The Company’s receivable from TCP for rent expense was $1,000 as of March 31, 2014 which is included in prepaid expenses and other current assets in the Company’s balance sheet.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months ended March 31, 2014 and 2013, respectively. The Company continues to maintain a valuation allowance for its U.S. federal and state deferred tax assets.</w:t>
      </w:r>
    </w:p>
    <w:p>
      <w:pPr>
        <w:spacing w:after="0" w:line="170"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On January 2, 2013, The American Taxpayer Relief Act of 2012 (“ATRA”), was signed into law. Under prior law, a taxpayer was entitled to a research tax credit for qualifying amounts incurred through December 31, 2011. The ATRA extends the research credit for two years for qualified research expenditures incurred through the end of 2013. The extension of the research credit is retroactive and includes amounts incurred after 2011.</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March 31, 2014, the Company had $0.8 million of unrecognized tax benefit, none of which, if recognized, would affect the effective tax rate as most of the unrecognized tax benefit is deferred tax assets currently offset by a valuation allowance.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recognized any interest and penalties related to uncertain tax positions as part of the income tax provision.</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Company files annual income tax returns in the United States only. 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 As of March 31, 2014, changes to the Company’s uncertain tax positions in the next twelve months that are reasonably possible are not expected to have a significant impact on the Company’s financial position or results of operations.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2013.</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 that our research and development, general and administrative and selling and marketing expenses will increase and our anticipated uses of those funds; our expectations regarding capital expenditures; our anticipated cash needs and our</w:t>
      </w:r>
    </w:p>
    <w:p>
      <w:pPr>
        <w:sectPr>
          <w:pgSz w:w="11900" w:h="16860" w:orient="portrait"/>
          <w:cols w:equalWidth="0" w:num="1">
            <w:col w:w="11460"/>
          </w:cols>
          <w:pgMar w:left="240" w:top="125" w:right="199" w:bottom="0" w:gutter="0" w:footer="0" w:header="0"/>
        </w:sectPr>
      </w:pPr>
    </w:p>
    <w:bookmarkStart w:id="11" w:name="page12"/>
    <w:bookmarkEnd w:id="11"/>
    <w:p>
      <w:pPr>
        <w:ind w:right="20"/>
        <w:spacing w:after="0" w:line="286" w:lineRule="auto"/>
        <w:rPr>
          <w:sz w:val="20"/>
          <w:szCs w:val="20"/>
          <w:color w:val="auto"/>
        </w:rPr>
      </w:pPr>
      <w:r>
        <w:rPr>
          <w:rFonts w:ascii="Arial" w:cs="Arial" w:eastAsia="Arial" w:hAnsi="Arial"/>
          <w:sz w:val="16"/>
          <w:szCs w:val="16"/>
          <w:color w:val="auto"/>
        </w:rPr>
        <w:t>estimates regarding our capital requirements; our need for additional financing; potential future sources of cash; our business strategy and our ability to execute our strategy; our ability to achieve and maintain reimbursement from third-party payers at acceptable levels; our belief that our published evidence provides a basis for inclusion of our test in treatment guidelines; the estimated size of the global market for Afirma; the potential benefits of the Afirma solution and any future products we may develop to patients, physicians and payers; the factors we believe drive demand for and reimbursement of our tests; our ability to sustain or increase demand for our tests; our intent to expand into other clinical areas; our ability to develop new tests, including the Afirma Malignancy Classifiers and a test for interstitial lung disease, and the timeframes for development or commercial launch; our dependence on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72"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Item 1A of this report, as well as risks and uncertainties related to: our limited operating history and history of losses since inception; our ability to increase usage of and reimbursement for Afirma and any new tests we may develop;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third parties;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ind w:right="880" w:firstLine="450"/>
        <w:spacing w:after="0" w:line="277" w:lineRule="auto"/>
        <w:rPr>
          <w:sz w:val="20"/>
          <w:szCs w:val="20"/>
          <w:color w:val="auto"/>
        </w:rPr>
      </w:pPr>
      <w:r>
        <w:rPr>
          <w:rFonts w:ascii="Arial" w:cs="Arial" w:eastAsia="Arial" w:hAnsi="Arial"/>
          <w:sz w:val="18"/>
          <w:szCs w:val="18"/>
          <w:color w:val="auto"/>
        </w:rPr>
        <w:t>Veracyte, Afirma, the Veracyte logo and the Afirma logo are our registered trademarks. We also refer to trademarks of other corporations or organizations in this report.</w:t>
      </w:r>
    </w:p>
    <w:p>
      <w:pPr>
        <w:spacing w:after="0" w:line="170" w:lineRule="exact"/>
        <w:rPr>
          <w:sz w:val="20"/>
          <w:szCs w:val="20"/>
          <w:color w:val="auto"/>
        </w:rPr>
      </w:pPr>
    </w:p>
    <w:p>
      <w:pPr>
        <w:ind w:right="80" w:firstLine="46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2" w:lineRule="auto"/>
        <w:rPr>
          <w:sz w:val="20"/>
          <w:szCs w:val="20"/>
          <w:color w:val="auto"/>
        </w:rPr>
      </w:pPr>
      <w:r>
        <w:rPr>
          <w:rFonts w:ascii="Arial" w:cs="Arial" w:eastAsia="Arial" w:hAnsi="Arial"/>
          <w:sz w:val="17"/>
          <w:szCs w:val="17"/>
          <w:color w:val="auto"/>
        </w:rPr>
        <w:t>We are a diagnostics company pioneering the field of molecular cytology focusing on genomic solutions that resolve diagnostic ambiguity and enable physicians to make more informed treatment decisions at an early stage of patient care. By improving preoperative diagnostic accuracy, we aim to help patients avoid unnecessary invasive procedures while reducing healthcare costs. Our first commercial solution, the Afirma</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xml:space="preserve"> Thyroid FNA Analysis, or Afirma, addresses a significant unmet need in thyroid nodule diagnosis. In the United States alone, physicians perform over 525,000 fine needle aspiration, or FNA, biopsies annually on thyroid nodules that are suspicious for cancer. Approximately 15% to 30% of FNAs analyzed using cytopathology alone yield inconclusive, or indeterminate, results. Prior to Afirma, the standard of care for patients with indeterminate cytopathology results was to surgically remove a portion or all of the thyroid to obtain an accurate diagnosis. The Afirma solution centers on our Gene Expression Classifier, which we refer to as the GEC. The GEC helps physicians reduce the number of unnecessary surgeries by approximately 50% by employing a proprietary 142-gene signature to preoperatively identify benign thyroid nodules among those deemed indeterminate using cytopathology.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New England Journal of Medicine </w:t>
      </w:r>
      <w:r>
        <w:rPr>
          <w:rFonts w:ascii="Arial" w:cs="Arial" w:eastAsia="Arial" w:hAnsi="Arial"/>
          <w:sz w:val="17"/>
          <w:szCs w:val="17"/>
          <w:color w:val="auto"/>
        </w:rPr>
        <w:t>in 2012. We believe the GEC is the only molecular test to meet the criteria established by the National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Cancer Network guidelines for moving patients with indeterminate thyroid nodule FNA results from diagnostic surgery to routine monitoring. Since we commercially launched Afirma in January 2011, we have received nearly 100,000 FNA samples for evaluation using Afirma and performed nearly 20,000 GECs to resolve indeterminate cytopathology results. We estimate the global potential market opportunity for Afirma to be greater than $1.3 billion and the addressable market to be approximately $800 million.</w:t>
      </w:r>
    </w:p>
    <w:p>
      <w:pPr>
        <w:spacing w:after="0" w:line="1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market and sell Afirma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increased the list price for the GEC from $4,275 to $4,875 per test in January 2014, while the list price for routine cytopathology remained at $490 per test. We obtained Medicare coverage for the GEC effective in January 2012 and contracted reimbursement at an agreed upon rate of $3,200. In addition, we received positive coverage decisions for the GEC from UnitedHealthcare, Aetna, Humana and Cigna all in 2013, and have also received positive coverage decisions from a number of other regional payers in 2013, and in 2014 received new positive coverage decisions from Emblem, HealthNet and Premera Blue Cross. Collectively, these payers represent over 125 million covered lives. Reimbursement rates vary by payer.</w:t>
      </w:r>
    </w:p>
    <w:p>
      <w:pPr>
        <w:spacing w:after="0" w:line="173"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Our revenue increased $3.1 million, or 71%, from $4.4 million for the three months ended March 31, 2013 to $7.5 million for the three months ended March 31, 2014. We incurred a net loss of $6.7 million and $6.9 million for the three months ended March 31, 2014 and 2013, respectively. As of March 31, 2014, we had an accumulated deficit of $92.3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ectPr>
          <w:pgSz w:w="11900" w:h="16838" w:orient="portrait"/>
          <w:cols w:equalWidth="0" w:num="1">
            <w:col w:w="11400"/>
          </w:cols>
          <w:pgMar w:left="240" w:top="125"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growth in our business is tied to the number of FNAs we receive. Approximately 95% of FNAs we receive are for the Afirma solution, which consists of cytopathology, and if the cytopathology result is indeterminate, the GEC. The remaining approximate 5% of FNAs are received from centers performing cytopathology in their institution where the cytopathology result is indeterminate and we perform the GEC only. Generally 8%-12%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RNA from which to render a finding.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date only a portion of payers have reimbursed us at full list price. Revenue growth depends on our ability to achieve broader reimbursement at increased levels from third-party payers and to expand our base of prescribing physicians. To drive increased adoption of Afirma, we have increased our internal sales force in high-volume geographies domestically, and we plan to increase our marketing efforts and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and as payers enter into contracts with us,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significant portion of our revenue is recognized when cash is received. Medicare and three small commercial payers are the only payers with agreed upon reimbursement rates or expected payments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82"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As of December 31, 2013, cumulative amounts billed for tests processed which were not recognized as revenue upon delivery of a patient report because our accrual revenue recognition criteria were not met and for which we have not received either notification of payment or collected cash totaled $40.9 million. Of this amount, we collected $2.7 million in the three months ended March 31, 2014.</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March 31, 2014, cumulative amounts billed for tests processed which were not recognized as revenue upon delivery of a patient report because our accrual revenue recognition criteria were not met and for which we have not received either notification of payment or collected cash totaled $48.5 million.</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for previously performed but unpaid Afirma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$10.0 million fee we received from Genzyme under our co-promotion agreement is being amortized over a four-year period beginning in 2012, and is recorded as a reduction of selling and marketing expenses. We amortized $0.6 million of the $10.0 million in each of the three months ended March 31, 2014 and 2013, and these offsets to expense are included in selling and marketing expense in our condensed statement of operations. The co-promotion agreement requires that we pay a certain percentage of our cash receipts to Genzyme, which percentage decreases over time. The percentage was 40% from January 2013 through February 2014, and decreased to 32% in March 2014 and will remain at this level thereafter. Our co-promotion fees were $2.8 million and $1.9 million in the three months ended March 31, 2014 and 2013, respectively, and are included in selling and marketing expense in our condensed statement of operations. As our cash collections grow, both from volume growth as well as from increased reimbursement rates and collections for Afirma, the total amount we pay to Genzyme will increase in absolute dollars although the percentage of revenue we are required to pay Genzyme has decreased over time. We believe our relationship with Genzyme will accelerate sales of Afirma. As a result, our selling and marketing expense may be higher than what we would have incurred if we alone were marketing and promoting Afirma.</w:t>
      </w:r>
    </w:p>
    <w:p>
      <w:pPr>
        <w:sectPr>
          <w:pgSz w:w="11900" w:h="16838" w:orient="portrait"/>
          <w:cols w:equalWidth="0" w:num="1">
            <w:col w:w="11420"/>
          </w:cols>
          <w:pgMar w:left="240" w:top="341" w:right="239" w:bottom="0" w:gutter="0" w:footer="0" w:header="0"/>
        </w:sectPr>
      </w:pPr>
    </w:p>
    <w:bookmarkStart w:id="13" w:name="page14"/>
    <w:bookmarkEnd w:id="13"/>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States in which we obtain regulatory authorization to market Afirma and achieve a specified level of reimbursement. Genzyme has also agreed to spend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$0.5 million to support clinical development expenses required for entry into the international markets covered by our agreement. This obligation expires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2014.</w:t>
      </w:r>
    </w:p>
    <w:p>
      <w:pPr>
        <w:spacing w:after="0" w:line="21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between January 2014 and January 2015, we will be required to repay 40% of the $10.0 million fee we received. The percentage decreases to 30% of such fee if we were to terminate the agreement between January 2015 and January 2016. Subsequent to January 2016, we are not required to repay any portion of the fee in the event we terminate the agreement without cause.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our Afirma Malignancy Classifiers, currently in pilot stage of commercialization, which we believe will enhance our Afirma Thyroid FNA Analysis as a comprehensive way to manage thyroid nodule patients and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 Volume and Collections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We generate revenue from the sale of our Afirma solution. We generally invoice third-party payers upon delivery of a patient report to the prescribing physician. As such, we take the assignment of benefits and the risk of collection from the third-party payer and individual patients.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tests performed where an agreed upon reimbursement rate and/or a predictable history of collections exists, such as in the case of Medicare, we recognize revenue upon delivery of a patient report to the prescribing physician based on the established billing rate less contractual and other adjustments to arrive at the amount that we expect to collect. We determine the amount we expect to collect based on a per payer, per contract or agreement basis, after analyzing payment history. The expected amount is typically lower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Upon ultimate collection, the amount received from Medicare and commercial payers with a predictable pattern of payment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ectPr>
          <w:pgSz w:w="11900" w:h="16839" w:orient="portrait"/>
          <w:cols w:equalWidth="0" w:num="1">
            <w:col w:w="11420"/>
          </w:cols>
          <w:pgMar w:left="240" w:top="125" w:right="23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w:t>
      </w:r>
    </w:p>
    <w:p>
      <w:pPr>
        <w:sectPr>
          <w:pgSz w:w="11900" w:h="16839" w:orient="portrait"/>
          <w:cols w:equalWidth="0" w:num="1">
            <w:col w:w="11420"/>
          </w:cols>
          <w:pgMar w:left="240" w:top="125" w:right="239" w:bottom="0" w:gutter="0" w:footer="0" w:header="0"/>
          <w:type w:val="continuous"/>
        </w:sectPr>
      </w:pPr>
    </w:p>
    <w:bookmarkStart w:id="14" w:name="page15"/>
    <w:bookmarkEnd w:id="14"/>
    <w:p>
      <w:pPr>
        <w:spacing w:after="0" w:line="2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and evaluating various platforms. We expect that in the next 12 months the increase in research and development expenses will be for the continued development and support of Afirma and other new products and programs under development, including Afirma Malignancy Classifiers and our lung program. Specifically, we plan to increase the body of clinical and pharmacoeconomic evidence to support inclusion in additional clinical practice guidelines in order to expand our base of prescribing physicians and achieve broader reimbursement for Afirma. In our lung program, we expect to incur expenses related to the collection of prospective samples and costs associated with advancing the program into product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360" w:firstLine="648"/>
        <w:spacing w:after="0" w:line="288"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w:t>
      </w:r>
    </w:p>
    <w:p>
      <w:pPr>
        <w:jc w:val="both"/>
        <w:ind w:right="220"/>
        <w:spacing w:after="0" w:line="302" w:lineRule="auto"/>
        <w:rPr>
          <w:sz w:val="20"/>
          <w:szCs w:val="20"/>
          <w:color w:val="auto"/>
        </w:rPr>
      </w:pPr>
      <w:r>
        <w:rPr>
          <w:rFonts w:ascii="Arial" w:cs="Arial" w:eastAsia="Arial" w:hAnsi="Arial"/>
          <w:sz w:val="16"/>
          <w:szCs w:val="16"/>
          <w:color w:val="auto"/>
        </w:rPr>
        <w:t>12 months primarily driven by the co-promotion fees to Genzyme, which fees increase as cash receipts from Afirma increase (test volume is increasing at a greater rate than the contractual rate reduction), the costs of hiring additional internal sales and marketing personnel associated with further penetrating the domestic market and selectively launching in international markets, and marketing and education expenses to drive market penetration and reimbursement.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w:t>
      </w:r>
    </w:p>
    <w:p>
      <w:pPr>
        <w:spacing w:after="0" w:line="271" w:lineRule="auto"/>
        <w:rPr>
          <w:sz w:val="20"/>
          <w:szCs w:val="20"/>
          <w:color w:val="auto"/>
        </w:rPr>
      </w:pPr>
      <w:r>
        <w:rPr>
          <w:rFonts w:ascii="Arial" w:cs="Arial" w:eastAsia="Arial" w:hAnsi="Arial"/>
          <w:sz w:val="17"/>
          <w:szCs w:val="17"/>
          <w:color w:val="auto"/>
        </w:rPr>
        <w:t>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group to support anticipated increased demand for our tests, we hire more personnel in accounting and finance, and we incur increasing expenses related to the documentation of our internal controls in connection with Section 404 of the Sarbanes-Oxley Act.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is from interest on our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the loan agreement entered into in June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Other income (expense), net is related primarily to the change in value of the preferred stock liability associated with our obligation to issue additional shares of Series C convertible preferred stock. In November 2012, we entered into a tranched Series C convertible preferred stock purchase agreement. In connection with the initial closing, we agreed to issue to the purchasers, and the purchasers agreed to purchase, additional shares of the Series C convertible preferred stock within a specified timeframe. We determined that the liability to issue additional Series C convertible preferred stock at a future date was a freestanding instrument that should be accounted for as a liability. Accordingly, we recorded a liability related to this instrument at the time of the initial close in November 2012, and we remeasured the liability at each reporting period with the corresponding gain or loss from the adjustment recorded as other income (expense), net through the issuance of the final Series C tranche in June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unaudited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ectPr>
          <w:pgSz w:w="11900" w:h="16867" w:orient="portrait"/>
          <w:cols w:equalWidth="0" w:num="1">
            <w:col w:w="11420"/>
          </w:cols>
          <w:pgMar w:left="240" w:top="341" w:right="239" w:bottom="0" w:gutter="0" w:footer="0" w:header="0"/>
        </w:sectPr>
      </w:pPr>
    </w:p>
    <w:bookmarkStart w:id="15" w:name="page16"/>
    <w:bookmarkEnd w:id="15"/>
    <w:p>
      <w:pPr>
        <w:ind w:right="180"/>
        <w:spacing w:after="0" w:line="342" w:lineRule="auto"/>
        <w:rPr>
          <w:sz w:val="20"/>
          <w:szCs w:val="20"/>
          <w:color w:val="auto"/>
        </w:rPr>
      </w:pPr>
      <w:r>
        <w:rPr>
          <w:rFonts w:ascii="Arial" w:cs="Arial" w:eastAsia="Arial" w:hAnsi="Arial"/>
          <w:sz w:val="16"/>
          <w:szCs w:val="16"/>
          <w:color w:val="auto"/>
        </w:rPr>
        <w:t>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revenue is generated from the provision of diagnostic services using the Afirma solution. Our service is completed upon the delivery of test results to the prescribing physician which triggers the billing for the service. We recognize revenue related to billings for Medicare and commercial payers on an accrual basis, net of contractual adjustments, when there is a predictable pattern of collectability. These contractual adjustments represent the difference between the list price (the billing rate) and either the reimbursement rate set by Medicare or the expected payment amounts by commercial payers. Upon ultimate collection, the amount received from Medicare and commercial payers with a predictable pattern of payment is compared to previous estimates and the contractual allowance is adjusted accordingly.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69"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all services performed, we consider whether or not the following revenue recognition criteria are met: persuasive evidence of an arrangement exists; delivery has occurred or services have been rendered; the fee is fixed or determinable; and collectability is reasonably assured.</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a contracted reimbursement rate and/or a predictable pattern of collectability with individual third-party payers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accordingly, we recognize revenue upon delivery of the patient report. Some patients have out-of-pocket costs for amounts not covered by their insurance carrier, and we may bill the patient directly for these amounts in the form of co-payments and co-insurance in accordance with their insurance carrier and health plans. Some payers may not cover the GEC as ordered by the prescribing physician under their reimbursement policies. We pursue reimbursement from such patients on a case-by-case basis. In the absence of contracted reimbursement coverage or a predictable pattern and history of collectability, we believe that the fee is fixed or determinable and collectability is reasonably assured only upon receipt of third-party payer notification of payment or when cash is received and accordingly, recognize revenue at that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estimate an allowance for doubtful accounts against our individual accounts receivable based on estimates of expected payment consistent with historical payment experience. Our allowance for doubtful accounts is evaluated on a regular basis and adjusted when trends or significant events indicate that a change in estimate is appropriate. Historically, the amounts of uncollectible individual accounts receivable that have been written off have been consistent with management’s expectations. Accounts receivable are written off against the allowance when the appeals process is exhausted or when there is other substantive evidence that the account will not be paid. If the financial conditions of our customers were to deteriorate resulting in an impairment of their ability to make payments, additional allowances may be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 connection with our Series C convertible preferred stock and the preferred stock warrant liability related to the issuance of a warrant for Series C convertible preferred stock, each as a derivative financial instrument liability at their fair value on the date of issuance, and we remeasured them on each subsequent balance sheet date. The changes in fair value were recognized as a gain or loss from the adjustment to other income (expense), net in the statements of operations and comprehensive loss. We estimated the fair value of this liability using option-pricing models that include assumptions for future financings, expected volatility, expected life, yield and risk-free interest rate. The preferred stock liability was extinguished in 2013 and the warrant to purchase Series C convertible preferred stock was converted into a warrant to purchase our common stock as of the close of our initial public offering and was exercised through a cashless exercise in March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2013, our gross deferred tax assets were $32.8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2013 and March 31, 2014. We will continue to maintain a full valuation allowance on our deferred tax assets until there is sufficient evidence to support the reversal of all or some portion of this allowance.</w:t>
      </w:r>
    </w:p>
    <w:p>
      <w:pPr>
        <w:sectPr>
          <w:pgSz w:w="11900" w:h="16838" w:orient="portrait"/>
          <w:cols w:equalWidth="0" w:num="1">
            <w:col w:w="11400"/>
          </w:cols>
          <w:pgMar w:left="240" w:top="125" w:right="25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ectPr>
          <w:pgSz w:w="11900" w:h="16838" w:orient="portrait"/>
          <w:cols w:equalWidth="0" w:num="1">
            <w:col w:w="11400"/>
          </w:cols>
          <w:pgMar w:left="240" w:top="125" w:right="259" w:bottom="0" w:gutter="0" w:footer="0" w:header="0"/>
          <w:type w:val="continuous"/>
        </w:sectPr>
      </w:pPr>
    </w:p>
    <w:bookmarkStart w:id="16" w:name="page17"/>
    <w:bookmarkEnd w:id="16"/>
    <w:p>
      <w:pPr>
        <w:ind w:right="14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valuation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2014 and 2013</w:t>
      </w: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Dollar</w:t>
            </w:r>
          </w:p>
        </w:tc>
        <w:tc>
          <w:tcPr>
            <w:tcW w:w="14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Change</w:t>
            </w:r>
          </w:p>
        </w:tc>
        <w:tc>
          <w:tcPr>
            <w:tcW w:w="150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1400" w:type="dxa"/>
            <w:vAlign w:val="bottom"/>
          </w:tcPr>
          <w:p>
            <w:pPr>
              <w:jc w:val="right"/>
              <w:ind w:right="4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28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ind w:right="4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(6,575)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8"/>
                <w:szCs w:val="18"/>
                <w:color w:val="auto"/>
              </w:rPr>
            </w:pPr>
          </w:p>
        </w:tc>
        <w:tc>
          <w:tcPr>
            <w:tcW w:w="1400" w:type="dxa"/>
            <w:vAlign w:val="bottom"/>
          </w:tcPr>
          <w:p>
            <w:pPr>
              <w:jc w:val="right"/>
              <w:ind w:right="4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5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c>
          <w:tcPr>
            <w:tcW w:w="28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8"/>
                <w:szCs w:val="18"/>
                <w:color w:val="auto"/>
              </w:rPr>
              <w:t>FNAs</w:t>
            </w: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vMerge w:val="restart"/>
          </w:tcPr>
          <w:p>
            <w:pPr>
              <w:jc w:val="right"/>
              <w:ind w:right="4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14,373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3,616</w:t>
            </w:r>
          </w:p>
        </w:tc>
        <w:tc>
          <w:tcPr>
            <w:tcW w:w="2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Revenue increased $3.1 million, or 71%, for the three months ended March 31, 2014 compared to the same period in 2013, primarily as a result of a $2.4 million increase in commercial revenue from increased reimbursement and collections and a $0.7 million increase in Medicare revenue as a result of increased Afirma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revenue increased $0.8 million, or 30%, for the three months ended March 31, 2014 compared to the same period in 2013. This increase was primarily due to a $0.8 million, or 32%, increase in variable costs that are directly related to the increase in the number of FNAs received, offset in part by continuing refinements in our testing process and economies of scale related to the increase in FNAs. FNAs received increased by 3,616, or 34%, from 10,757 in the three months ended March 31, 2013 to 14,373 in the three months ended March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Research and development expense increased $0.1 million, or 6%, for the three months ended March 31, 2014 compared to the same period in 2013. This increase was primarily due to a $0.2 million increase in personnel expenses related to an increase in headcount, offset by a $0.1 decrease in direct research and development laboratory supplies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Selling and marketing expense increased $1.6 million, or 60%, for the three months ended March 31, 2014 compared to the same period in 2013. This increase was primarily due to a $0.9 million increase in net expense recognized under our co-promotion agreement with Genzyme, partially offset by amortization of the deferred fee, a $0.5 million increase in personnel expenses related to an increase in headcount, and a $0.2 million increase in other selling and marketing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General and administrative expense increased $1.2 million, or 43%, for the three months ended March 31, 2014 compared to the same period in 2013. This increase was primarily due to higher costs associated with operating as a public company, including a $0.3 million increase in personnel expenses and a related increase in headcount, a $0.6 million increase in professional fees, $0.2 million increase in stock-based compensation expense, and $0.1 million increase in insurance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ectPr>
          <w:pgSz w:w="11900" w:h="16838" w:orient="portrait"/>
          <w:cols w:equalWidth="0" w:num="1">
            <w:col w:w="11420"/>
          </w:cols>
          <w:pgMar w:left="240" w:top="341" w:right="239" w:bottom="154" w:gutter="0" w:footer="0" w:header="0"/>
        </w:sectPr>
      </w:pPr>
    </w:p>
    <w:bookmarkStart w:id="17" w:name="page18"/>
    <w:bookmarkEnd w:id="17"/>
    <w:p>
      <w:pPr>
        <w:spacing w:after="0" w:line="78"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Interest expense increased $0.1 million for the three months ended March 31, 2014 compared to the same period in 2013. Interest expense of $0.1 million for the three months ended March 31, 2014 is interest incurred on the June 2013 drawdown of $5.0 million under our loan and security agreement. We did not have any debt in the same period in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Other income (expense), net increased $1.0 million from net other expenses of $1.0 million for the three months ended March 31, 2013 to net other income of $12,000 for the three months ended March 31, 2014. The $12,000 of net other income in the three months ended March 31, 2014 consisted of sublease rental income and interest income, offset by debt financing costs. The $1.0 million of net other expense in the three months ended March 31, 2013 consisted of a $1.0 million increase in the fair value of the preferred stock liability in the three months ended March 31, 2013 related to our Series C convertible preferred stock. The preferred stock liability was extinguished in June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We have incurred net losses since our inception. For the three months ended March 31, 2014, and the year ended December 31, 2013, we had a net loss of $6.7 million and $25.6 million, respectively, and we expect to incur additional losses in 2014 and in future years. As of March 31, 2014, we had an accumulated deficit of $92.3 million. To date, we have generated only limited revenue, and we may never achieve revenue sufficient to offset our expenses. As of March 31, 2014, we had $64.2 million in cash and cash equivalents. We believe our existing cash and cash equivalents as of March 31, 2014 and our revenue from the sale of Afirma will be sufficient to meet our anticipated cash requirements for at least the next 12 months.</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Since inception, we have received $153.4 million in net proceeds from various sources with which to finance our operations, including net proceeds of $78.6 million from sales of our preferred stock, net proceeds of $59.2 million from our IPO, $10.0 million from the Genzyme co-promotion agreement, net borrowings of $4.9 million under our loan and security agreement, and $0.7 million from the exercise of stock options. As of March 31, 2014 and December 31, 2013, we had $64.2 million and $71.2 million of cash and cash equivalents, respectively.</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June 2013, we entered into a loan and security agreement with a financial institution. This agreement provides for term loans of up to an aggregate of $10.0 million. On entering into the agreement, we drew down an initial $5.0 million term loan. We opted not to draw the remaining $5.0 million and the option to do so expired on March 31, 2014. Amounts drawn under the loan and security agreement were used for working capital and general corporate purposes.</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term loan bears interest at a fixed rate equal to 6.06%. We are required to repay any outstanding principal amounts in 30 equal monthly installments beginning 18 months after the date of the borrowing. On the date of our final principal payment, we must also pay an end-of-term payment equal to 4.45% of the amount borrowed. We may, at our option, prepay the term loan borrowings by paying the lender a prepayment premium.</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draw-down of the $5.0 million term loan under the loan and security agreement, we issued the lender a warrant to purchase 24,801 shares of our common stock upon completion of the IPO. The lender exercised the warrant through a cashless exercise in March 2014, resulting in the issuance of 13,739 shares of common stock at an exercise price of $7.56 per share.</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internal sales force to drive increased adoption of and reimbursement for Afirma, prepare to commercialize our Afirma Malignancy Classifiers, continue our research and development efforts with respect to our lung program and further develop our product pipeline, and manage increases in billing and cash collection transactional volumes, and the costs of being a public company. Cash used to fund operating expenses is impacted by the timing of when we pay expenses, as reflected in the change in our outstanding accounts payable and accrued expenses.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that our near- and longer-term liquidity requirements will continue to consist of selling and marketing expenses, research and development expenses, working capital, and general corporate expenses associated with the growth of our business. Based on our current business plan, we believe our existing cash and cash equivalents as of March 31, 2014 and our revenue from the sale of Afirma will be sufficient to meet our anticipated cash requirements for at least the next 12 months.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 or market development programs, which could lower the economic value of those programs to us.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2014 and 2013:</w:t>
      </w:r>
    </w:p>
    <w:p>
      <w:pPr>
        <w:sectPr>
          <w:pgSz w:w="11900" w:h="16917" w:orient="portrait"/>
          <w:cols w:equalWidth="0" w:num="1">
            <w:col w:w="11420"/>
          </w:cols>
          <w:pgMar w:left="240" w:top="125" w:right="239" w:bottom="0" w:gutter="0" w:footer="0" w:header="0"/>
        </w:sectPr>
      </w:pPr>
    </w:p>
    <w:p>
      <w:pPr>
        <w:spacing w:after="0" w:line="217" w:lineRule="exact"/>
        <w:rPr>
          <w:sz w:val="20"/>
          <w:szCs w:val="20"/>
          <w:color w:val="auto"/>
        </w:rPr>
      </w:pPr>
    </w:p>
    <w:p>
      <w:pPr>
        <w:jc w:val="center"/>
        <w:ind w:left="558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March 31,</w:t>
      </w:r>
    </w:p>
    <w:p>
      <w:pPr>
        <w:sectPr>
          <w:pgSz w:w="11900" w:h="16917" w:orient="portrait"/>
          <w:cols w:equalWidth="0" w:num="1">
            <w:col w:w="11420"/>
          </w:cols>
          <w:pgMar w:left="240" w:top="125" w:right="239" w:bottom="0" w:gutter="0" w:footer="0" w:header="0"/>
          <w:type w:val="continuous"/>
        </w:sectPr>
      </w:pPr>
    </w:p>
    <w:bookmarkStart w:id="18" w:name="page19"/>
    <w:bookmarkEnd w:id="18"/>
    <w:tbl>
      <w:tblPr>
        <w:tblLayout w:type="fixed"/>
        <w:tblInd w:w="98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6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(6,757)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6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in financing activities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used in operating activities for the three months ended March 31, 2014 was $6.8 million. The net loss of $6.7 million reflects non-cash charges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$0.6 million in amortization of the deferred fee received from Genzyme, offset primarily by $0.5 million of stock-based compensation expense,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of depreciation and amortization. The increase in net operating assets of $0.3 million was primarily due to a $0.5 million decrease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and accrued liabilities resulting from the timing of payments, offset by a $0.2 million net decrease in supplies inventory, prepaid expenses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21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Cash used in operating activities for the three months ended March 31, 2013 was $6.6 million. The net loss of $6.9 million reflects non-cash charges of $1.0 million for the change in the value of the preferred stock liability, $0.6 million in amortization of the deferred fee received from Genzyme,</w:t>
      </w:r>
    </w:p>
    <w:p>
      <w:pPr>
        <w:spacing w:after="0" w:line="255" w:lineRule="auto"/>
        <w:rPr>
          <w:sz w:val="20"/>
          <w:szCs w:val="20"/>
          <w:color w:val="auto"/>
        </w:rPr>
      </w:pPr>
      <w:r>
        <w:rPr>
          <w:rFonts w:ascii="Arial" w:cs="Arial" w:eastAsia="Arial" w:hAnsi="Arial"/>
          <w:sz w:val="18"/>
          <w:szCs w:val="18"/>
          <w:color w:val="auto"/>
        </w:rPr>
        <w:t>$0.2 million of depreciation and amortization, $0.2 million of stock-based and equity-based compensation and $0.1 million of bad debt expense. The decrease in net operating assets of $0.6 million was primarily due to a $0.8 million decrease in accounts payable and accrued liabilities due to timing of payments offset by a $0.3 million decrease in supply inventory due to the increase in volume of testing performed.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Cash used in investing activities is primarily related to the acquisition of property and equipment was $0.1 million and $0.5 million for the three months ended March 31, 2014 and 2013, respectively. Purchases of property and equipment were primarily for laboratory equipment in 2014. Purchases of property and equipment were primarily related to research and development and laboratory equipment in 2013.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Cash used in financing activities for the three months ended March 31, 2014 of $0.1 million consisted of IPO related disbursements during this period, net of proceeds received from the exercise of options to purchase our common stock. Cash provided by financing activities for the three months ended March 31, 2013 consisted primarily of $0.2 million in proceeds received from the exercise of options to purchase our common stock, offset by $52,000 of costs in connection with the issuance of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three months ended March 31, 2014, there were no material changes to our contractual obligations and commitments described under Management’s Discussion and Analysis of Financial Condition and Results of Operations in our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In July 2013, Financial Accounting Standards Board, or FASB, issued Accounting Standards Update (“ASU”), No. 2013-11, </w:t>
      </w:r>
      <w:r>
        <w:rPr>
          <w:rFonts w:ascii="Arial" w:cs="Arial" w:eastAsia="Arial" w:hAnsi="Arial"/>
          <w:sz w:val="16"/>
          <w:szCs w:val="16"/>
          <w:i w:val="1"/>
          <w:iCs w:val="1"/>
          <w:color w:val="auto"/>
        </w:rPr>
        <w:t>Presentation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Unrecognized Tax Benefit when a Net Operating Loss Carryforward, a Similar Tax Loss, or a Tax Credit Carryforward Exists (a consensus of the FASB Emerging Issues Task Force). </w:t>
      </w:r>
      <w:r>
        <w:rPr>
          <w:rFonts w:ascii="Arial" w:cs="Arial" w:eastAsia="Arial" w:hAnsi="Arial"/>
          <w:sz w:val="16"/>
          <w:szCs w:val="16"/>
          <w:color w:val="auto"/>
        </w:rPr>
        <w:t>The amendments in this ASU provide guidance on the financial statements presentation of an unrecognized tax benefit when a</w:t>
      </w:r>
      <w:r>
        <w:rPr>
          <w:rFonts w:ascii="Arial" w:cs="Arial" w:eastAsia="Arial" w:hAnsi="Arial"/>
          <w:sz w:val="16"/>
          <w:szCs w:val="16"/>
          <w:i w:val="1"/>
          <w:iCs w:val="1"/>
          <w:color w:val="auto"/>
        </w:rPr>
        <w:t xml:space="preserve"> </w:t>
      </w:r>
      <w:r>
        <w:rPr>
          <w:rFonts w:ascii="Arial" w:cs="Arial" w:eastAsia="Arial" w:hAnsi="Arial"/>
          <w:sz w:val="16"/>
          <w:szCs w:val="16"/>
          <w:color w:val="auto"/>
        </w:rPr>
        <w:t>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and are effective for fiscal years, and interim periods within those years, beginning after December 15, 2013. We adopted this guidance during the first quarter of 2014 and such adoption did not have a material impact on our condensed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We had cash and cash equivalents of $64.2 million as of March 31, 2014, which consists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unaudited interim condensed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ectPr>
          <w:pgSz w:w="11900" w:h="16838" w:orient="portrait"/>
          <w:cols w:equalWidth="0" w:num="1">
            <w:col w:w="11400"/>
          </w:cols>
          <w:pgMar w:left="240" w:top="120" w:right="259" w:bottom="0" w:gutter="0" w:footer="0" w:header="0"/>
        </w:sectPr>
      </w:pPr>
    </w:p>
    <w:bookmarkStart w:id="19" w:name="page20"/>
    <w:bookmarkEnd w:id="19"/>
    <w:p>
      <w:pPr>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quarterly period covered by this Form 10-Q,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incurred net losses since our inception. For each of the three months ended March 31, 2014 and 2013, we had a net loss of $6.7 million and $6.9 million, respectively, and we expect to incur additional losses in the future. From inception through March 31, 2014, we had an accumulated deficit of $92.3 million. To date, we have generated only limited revenue, and we may never achieve revenue sufficient to offset our expenses. Over the next several years, we expect to continue to devote substantially all of our resources to increase adoption of, and reimbursement for, Afirma, to successfully commercialize our Afirma Malignancy Classifiers which we expect to launch in the second quarter of 2014, and to develop future diagnostic solutions. We may never achieve or sustain profitability, and our failure to achieve and sustain profitability in the future could cause the market price of our common stock to decline.</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successfully launch our Afirma Malignancy Classifiers, or successfully develop and commercialize other solutions, our revenue and our ability to achieve and sustain profitability would be impaired, and the market price of our common stock could decline.</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Reimbursement on behalf of patients covered by Medicare accounted for 29% and 34% of our revenue for the three months ended March 31, 2014 and March 31, 2013, respectively. UnitedHealthcare accounted for 17% and 10% of our revenue for the three months ended March 31, 2014 and March 31, 2013, respectively. Aetna accounted for 10% and 9% of our revenue for the three months ended March 31, 2014 and March 31,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succeeded Palmetto as the MAC for our region. We believe the transition is complete with claims being processed by Noridian using the Z code established by Palmetto at the prior negotiated pricing level. This change, or any future changes, in the MAC processing Medicare claims for the GEC could result in a change in the coverage or reimbursement rates for the GEC, or the loss of coverage. In addition, the transition to Noridian has resulted in some delays in payments made to us on behalf of Medicare patients and a slower payment cycle in general.</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do not have a contracted rate of reimbursement with Aetna, Cigna,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20" w:name="page21"/>
    <w:bookmarkEnd w:id="20"/>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81"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 insurance or co-payment requirement which may result in further delay or decreased likelihood of collection.</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In addition, the planned launch of our Afirma Malignancy Classifiers in the second quarter of 2014 and any other new products we may develop in the future may require that we expend substantial time and resources in order to obtain reimbursement. Our failure to establish broad adoption of and reimbursement for our products, or our inability to maintain existing reimbursement from payers, will negatively impact our ability to generate revenue and achieve profitability, as well as our future prospects and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Finally, as we commercially launch the Afirma Malignancy Classifiers, should we experience difficulties in the introduction, this may impact physicians’ view of the Afirma solution and cause them to stop ordering our services.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was 40% and decreased to 32% in March 2014 and will remain at this level thereafter. Our agreement with Genzyme expires in 2027 and either party may terminate the agreement at any time without cause and with six months prior notice. If we were to terminate the agreement without cause prior to January 2015, we would be required to repay 40% of the $10.0 million fee we received from Genzyme. Such percentage would be reduced to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w:t>
      </w:r>
    </w:p>
    <w:p>
      <w:pPr>
        <w:sectPr>
          <w:pgSz w:w="11900" w:h="16874" w:orient="portrait"/>
          <w:cols w:equalWidth="0" w:num="1">
            <w:col w:w="11420"/>
          </w:cols>
          <w:pgMar w:left="240" w:top="125" w:right="239" w:bottom="0" w:gutter="0" w:footer="0" w:header="0"/>
        </w:sectPr>
      </w:pPr>
    </w:p>
    <w:bookmarkStart w:id="21" w:name="page22"/>
    <w:bookmarkEnd w:id="21"/>
    <w:p>
      <w:pPr>
        <w:spacing w:after="0" w:line="2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price of our common stock would likely decline. Finally, should we recognize revenue from payers on an accrual basis and later determine the expected payments, collectability or other judgments underlying our decision to accrue revenue or the accrued amounts change, our financial results could be negatively impacted in future quarters.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 higher costs, and harm our customer relations and reputation. In addition, in order to mitigate these risks, we maintain inventories of these supplies at higher levels than would be the case if multiple sources of supply were available.</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8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demand for Afirma grows, and as we commercialize new products such as our Afirma Malignancy Classifiers,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 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would affect our business.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ectPr>
          <w:pgSz w:w="11900" w:h="16863" w:orient="portrait"/>
          <w:cols w:equalWidth="0" w:num="1">
            <w:col w:w="11400"/>
          </w:cols>
          <w:pgMar w:left="240" w:top="125" w:right="259" w:bottom="0" w:gutter="0" w:footer="0" w:header="0"/>
        </w:sectPr>
      </w:pPr>
    </w:p>
    <w:bookmarkStart w:id="22" w:name="page23"/>
    <w:bookmarkEnd w:id="22"/>
    <w:p>
      <w:pPr>
        <w:ind w:right="40" w:firstLine="648"/>
        <w:spacing w:after="0" w:line="271" w:lineRule="auto"/>
        <w:rPr>
          <w:sz w:val="20"/>
          <w:szCs w:val="20"/>
          <w:color w:val="auto"/>
        </w:rPr>
      </w:pPr>
      <w:r>
        <w:rPr>
          <w:rFonts w:ascii="Arial" w:cs="Arial" w:eastAsia="Arial" w:hAnsi="Arial"/>
          <w:sz w:val="17"/>
          <w:szCs w:val="17"/>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7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may require us to expand and move our operations. This could disrupt our business, will require investment of resources, and may cause employee retention issues depending upon the location. If we are unable to manage our growth effectively, it may be difficult for us to execute our business strategy and our business could be harmed.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between the list price for Afirma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we introduce new tests, such as the Afirma Malignancy Classifiers,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8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ectPr>
          <w:pgSz w:w="11900" w:h="16838" w:orient="portrait"/>
          <w:cols w:equalWidth="0" w:num="1">
            <w:col w:w="11420"/>
          </w:cols>
          <w:pgMar w:left="240" w:top="341" w:right="239" w:bottom="63" w:gutter="0" w:footer="0" w:header="0"/>
        </w:sectPr>
      </w:pPr>
    </w:p>
    <w:bookmarkStart w:id="23" w:name="page24"/>
    <w:bookmarkEnd w:id="23"/>
    <w:p>
      <w:pPr>
        <w:spacing w:after="0" w:line="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business strategy includes international expansion, primarily through our co-promotion agreement with Genzyme,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50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as well as academic institutions that measure mutational markers such as BRAF and KRAS to identify nodules that are malignant instead of benign. In the future, we may also face competition from companies developing new products or technologies.</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are in the process of developing a product for interstitial lung disease and other potential products. Our product for interstitial lung disease may not be fully developed and introduced as planned in 2016. In order to develop and commercialize diagnostic products, we need to:</w:t>
      </w:r>
    </w:p>
    <w:p>
      <w:pPr>
        <w:sectPr>
          <w:pgSz w:w="11900" w:h="16842" w:orient="portrait"/>
          <w:cols w:equalWidth="0" w:num="1">
            <w:col w:w="11420"/>
          </w:cols>
          <w:pgMar w:left="240" w:top="125" w:right="239" w:bottom="0" w:gutter="0" w:footer="0" w:header="0"/>
        </w:sectPr>
      </w:pPr>
    </w:p>
    <w:bookmarkStart w:id="24" w:name="page25"/>
    <w:bookmarkEnd w:id="24"/>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6"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 If we relocate either of our facilities, we would be required to undergo certification at our new facility in order to offer our tests.</w:t>
      </w:r>
    </w:p>
    <w:p>
      <w:pPr>
        <w:spacing w:after="0" w:line="16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both of our clinical reference laboratories are required to be licensed on a test-specific basis by New York</w:t>
      </w:r>
    </w:p>
    <w:p>
      <w:pPr>
        <w:sectPr>
          <w:pgSz w:w="11900" w:h="16952" w:orient="portrait"/>
          <w:cols w:equalWidth="0" w:num="1">
            <w:col w:w="11400"/>
          </w:cols>
          <w:pgMar w:left="240" w:top="341" w:right="259" w:bottom="0" w:gutter="0" w:footer="0" w:header="0"/>
        </w:sectPr>
      </w:pPr>
    </w:p>
    <w:bookmarkStart w:id="25" w:name="page26"/>
    <w:bookmarkEnd w:id="25"/>
    <w:p>
      <w:pPr>
        <w:ind w:right="40"/>
        <w:spacing w:after="0" w:line="270" w:lineRule="auto"/>
        <w:rPr>
          <w:sz w:val="20"/>
          <w:szCs w:val="20"/>
          <w:color w:val="auto"/>
        </w:rPr>
      </w:pPr>
      <w:r>
        <w:rPr>
          <w:rFonts w:ascii="Arial" w:cs="Arial" w:eastAsia="Arial" w:hAnsi="Arial"/>
          <w:sz w:val="17"/>
          <w:szCs w:val="17"/>
          <w:color w:val="auto"/>
        </w:rPr>
        <w:t>State.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7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Some patients may decide not to use Afirma due to its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These events may result in patients delaying or forgoing medical checkups or treatment due to their inability to pay for our test, which could have an adverse effect on our revenue.</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subject to other regulation by both the federal government and the states in which we conduct our business, including:</w:t>
      </w:r>
    </w:p>
    <w:p>
      <w:pPr>
        <w:sectPr>
          <w:pgSz w:w="11900" w:h="16838" w:orient="portrait"/>
          <w:cols w:equalWidth="0" w:num="1">
            <w:col w:w="11420"/>
          </w:cols>
          <w:pgMar w:left="240" w:top="125" w:right="239" w:bottom="0" w:gutter="0" w:footer="0" w:header="0"/>
        </w:sectPr>
      </w:pPr>
    </w:p>
    <w:bookmarkStart w:id="26" w:name="page27"/>
    <w:bookmarkEnd w:id="26"/>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law and state anti-kickback prohibitions;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physician self-referral prohibition, commonly known as the Stark Law, and state equivalents;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Medicare civil money penalty and exclusion requirements;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civil and criminal penalties and state equivalents;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Foreign Corrupt Practices Act of 1977, which applies to our international activities.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In early 2014, we significantly expanded our sales force. There can be no assurance that they will be successful in maintaining and growing the business in their territory. We may have difficulties locating and recruiting additional sales personnel in the future or retaining qualified salespeople, which could cause a delay or decline in the rate of adoption of our solution. Finally, our business requires specialized capabilities in reimbursement, billing, finance,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at-will, which means that either we or the employee may terminate their employment at any time. We do not carry key man insurance for any of our employees.</w:t>
      </w:r>
    </w:p>
    <w:p>
      <w:pPr>
        <w:spacing w:after="0" w:line="1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ectPr>
          <w:pgSz w:w="11900" w:h="16838" w:orient="portrait"/>
          <w:cols w:equalWidth="0" w:num="1">
            <w:col w:w="11420"/>
          </w:cols>
          <w:pgMar w:left="240" w:top="125" w:right="239" w:bottom="0" w:gutter="0" w:footer="0" w:header="0"/>
        </w:sectPr>
      </w:pPr>
    </w:p>
    <w:bookmarkStart w:id="27" w:name="page28"/>
    <w:bookmarkEnd w:id="27"/>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pending United States utility patent applications and two patents which expire between 2030 and 2031 related to methods that are used in the Afirma diagnostic and one pending United States utility patent application relating to our lung disease product under development. It is possible that none of our</w:t>
      </w:r>
    </w:p>
    <w:p>
      <w:pPr>
        <w:sectPr>
          <w:pgSz w:w="11900" w:h="16945" w:orient="portrait"/>
          <w:cols w:equalWidth="0" w:num="1">
            <w:col w:w="11420"/>
          </w:cols>
          <w:pgMar w:left="240" w:top="125" w:right="239" w:bottom="0" w:gutter="0" w:footer="0" w:header="0"/>
        </w:sectPr>
      </w:pPr>
    </w:p>
    <w:bookmarkStart w:id="28" w:name="page29"/>
    <w:bookmarkEnd w:id="28"/>
    <w:p>
      <w:pPr>
        <w:spacing w:after="0" w:line="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ectPr>
          <w:pgSz w:w="11900" w:h="16845" w:orient="portrait"/>
          <w:cols w:equalWidth="0" w:num="1">
            <w:col w:w="11420"/>
          </w:cols>
          <w:pgMar w:left="240" w:top="125" w:right="239" w:bottom="0" w:gutter="0" w:footer="0" w:header="0"/>
        </w:sectPr>
      </w:pPr>
    </w:p>
    <w:bookmarkStart w:id="29" w:name="page30"/>
    <w:bookmarkEnd w:id="29"/>
    <w:p>
      <w:pPr>
        <w:ind w:right="160"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8"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ectPr>
          <w:pgSz w:w="11900" w:h="16838" w:orient="portrait"/>
          <w:cols w:equalWidth="0" w:num="1">
            <w:col w:w="11420"/>
          </w:cols>
          <w:pgMar w:left="240" w:top="341" w:right="239" w:bottom="45" w:gutter="0" w:footer="0" w:header="0"/>
        </w:sectPr>
      </w:pPr>
    </w:p>
    <w:bookmarkStart w:id="30" w:name="page31"/>
    <w:bookmarkEnd w:id="30"/>
    <w:p>
      <w:pPr>
        <w:spacing w:after="0" w:line="3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will be required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our internal controls. If we have material weaknesses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and effective fashion. During the evaluation and testing process, if we identify one or more material weaknesses in our internal controls,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 in the future.</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periodic 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ectPr>
          <w:pgSz w:w="11900" w:h="16874" w:orient="portrait"/>
          <w:cols w:equalWidth="0" w:num="1">
            <w:col w:w="11420"/>
          </w:cols>
          <w:pgMar w:left="240" w:top="125" w:right="239" w:bottom="0" w:gutter="0" w:footer="0" w:header="0"/>
        </w:sectPr>
      </w:pPr>
    </w:p>
    <w:bookmarkStart w:id="31" w:name="page32"/>
    <w:bookmarkEnd w:id="31"/>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stock price could decline as a result of sales of a large number of shares of our common stock in the public market or the perception that such sales could occur. On May 1, 2014, 21,172,326 shares of common stock were outstanding. Of these shares, 5,100,351 are freely tradable, without restriction, in the public market. Based on shares outstanding as of May 1, 2014, up to an additional 16,071,975 shares of common stock are eligible for sale in the public market, of which 14,825,544 shares are held by directors, executive officers and other affiliates and are subject to volume limitations under Rule 144 under the Securities Act, and other restrictions. In addition, 3,250,319 shares of common stock that are subject to outstanding options as of May 1, 2014 will become eligible for sale in the public market to the extent permitted by the provisions of various vesting agreements, Rule 144 under the Securities Act and other restrictions. We have filed a registration statement on Form S-8 under the Securities Act covering all of the shares of common stock subject to options outstanding and reserved for issuance under our stock incentive plans. This registration statement became effective immediately upon filing, and shares covered by this registration statement are eligible for sale in the public markets, subject to Rule 144 limitations applicable to affiliates and other restrictions. If these additional shares are sold, or if it is perceived that they will be sold, in the public market, the trading price of our common stock could decline.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May 1, 2014, directors and executive officers and their affiliates beneficially owned, in the aggregate, 71.5%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ectPr>
          <w:pgSz w:w="11900" w:h="16838" w:orient="portrait"/>
          <w:cols w:equalWidth="0" w:num="1">
            <w:col w:w="11420"/>
          </w:cols>
          <w:pgMar w:left="240" w:top="341" w:right="239" w:bottom="0" w:gutter="0" w:footer="0" w:header="0"/>
        </w:sectPr>
      </w:pPr>
    </w:p>
    <w:bookmarkStart w:id="32" w:name="page33"/>
    <w:bookmarkEnd w:id="32"/>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 mentioned provisions.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6"/>
                <w:szCs w:val="16"/>
                <w:color w:val="auto"/>
              </w:rPr>
            </w:pPr>
          </w:p>
        </w:tc>
        <w:tc>
          <w:tcPr>
            <w:tcW w:w="9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96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9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960" w:type="dxa"/>
            <w:vAlign w:val="bottom"/>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9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96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96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280" w:firstLine="8"/>
        <w:spacing w:after="0" w:line="264"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60" w:type="dxa"/>
            <w:vAlign w:val="bottom"/>
            <w:gridSpan w:val="2"/>
          </w:tcPr>
          <w:p>
            <w:pPr>
              <w:ind w:left="426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2"/>
          </w:tcPr>
          <w:p>
            <w:pPr>
              <w:ind w:left="426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tcPr>
          <w:p>
            <w:pPr>
              <w:ind w:left="4160"/>
              <w:spacing w:after="0"/>
              <w:rPr>
                <w:sz w:val="20"/>
                <w:szCs w:val="20"/>
                <w:color w:val="auto"/>
              </w:rPr>
            </w:pPr>
            <w:r>
              <w:rPr>
                <w:rFonts w:ascii="Arial" w:cs="Arial" w:eastAsia="Arial" w:hAnsi="Arial"/>
                <w:sz w:val="18"/>
                <w:szCs w:val="18"/>
                <w:color w:val="auto"/>
              </w:rPr>
              <w:t>44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4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7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9960" w:type="dxa"/>
            <w:vAlign w:val="bottom"/>
            <w:gridSpan w:val="2"/>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9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 Oxley Act of 2002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33" w:name="page34"/>
    <w:bookmarkEnd w:id="33"/>
    <w:p>
      <w:pPr>
        <w:jc w:val="both"/>
        <w:spacing w:after="0" w:line="297" w:lineRule="auto"/>
        <w:rPr>
          <w:sz w:val="20"/>
          <w:szCs w:val="20"/>
          <w:color w:val="auto"/>
        </w:rPr>
      </w:pPr>
      <w:r>
        <w:rPr>
          <w:rFonts w:ascii="Arial" w:cs="Arial" w:eastAsia="Arial" w:hAnsi="Arial"/>
          <w:sz w:val="16"/>
          <w:szCs w:val="16"/>
          <w:color w:val="auto"/>
        </w:rPr>
        <w:t>#101.SCH #101.CAL #101.DEF #101.LAB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Document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226060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780" w:space="680"/>
            <w:col w:w="9760"/>
          </w:cols>
          <w:pgMar w:left="240" w:top="125" w:right="439" w:bottom="1440" w:gutter="0" w:footer="0" w:header="0"/>
        </w:sectPr>
      </w:pP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(the “Securities Act”) except to the extent that the registrant specifically incorporates it by reference.</w:t>
      </w:r>
    </w:p>
    <w:p>
      <w:pPr>
        <w:spacing w:after="0" w:line="187" w:lineRule="exact"/>
        <w:rPr>
          <w:sz w:val="20"/>
          <w:szCs w:val="20"/>
          <w:color w:val="auto"/>
        </w:rPr>
      </w:pPr>
    </w:p>
    <w:p>
      <w:pPr>
        <w:jc w:val="both"/>
        <w:ind w:right="40" w:firstLine="8"/>
        <w:spacing w:after="0" w:line="264" w:lineRule="auto"/>
        <w:tabs>
          <w:tab w:leader="none" w:pos="1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440" w:hanging="173"/>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440" w:hanging="173"/>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jc w:val="both"/>
        <w:ind w:right="440" w:firstLine="267"/>
        <w:spacing w:after="0" w:line="342" w:lineRule="auto"/>
        <w:tabs>
          <w:tab w:leader="none" w:pos="4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60" w:firstLine="267"/>
        <w:spacing w:after="0" w:line="277" w:lineRule="auto"/>
        <w:tabs>
          <w:tab w:leader="none" w:pos="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267"/>
        <w:spacing w:after="0" w:line="277" w:lineRule="auto"/>
        <w:tabs>
          <w:tab w:leader="none" w:pos="4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260" w:right="420" w:firstLine="266"/>
        <w:spacing w:after="0" w:line="264" w:lineRule="auto"/>
        <w:tabs>
          <w:tab w:leader="none" w:pos="7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60" w:right="20" w:firstLine="266"/>
        <w:spacing w:after="0" w:line="308" w:lineRule="auto"/>
        <w:tabs>
          <w:tab w:leader="none" w:pos="714"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260" w:right="60" w:firstLine="266"/>
        <w:spacing w:after="0" w:line="264" w:lineRule="auto"/>
        <w:tabs>
          <w:tab w:leader="none" w:pos="7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267"/>
        <w:spacing w:after="0" w:line="308" w:lineRule="auto"/>
        <w:tabs>
          <w:tab w:leader="none" w:pos="43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260" w:right="400" w:firstLine="266"/>
        <w:spacing w:after="0" w:line="277" w:lineRule="auto"/>
        <w:tabs>
          <w:tab w:leader="none" w:pos="7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60" w:right="340" w:firstLine="266"/>
        <w:spacing w:after="0" w:line="277" w:lineRule="auto"/>
        <w:tabs>
          <w:tab w:leader="none" w:pos="7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4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2014</w:t>
      </w: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80" w:firstLine="259"/>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2014,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520" w:hanging="25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60" w:firstLine="267"/>
        <w:spacing w:after="0" w:line="501" w:lineRule="auto"/>
        <w:tabs>
          <w:tab w:leader="none" w:pos="5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2014</w:t>
      </w: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2019-12-07T15:15:05Z</dcterms:created>
  <dcterms:modified xsi:type="dcterms:W3CDTF">2019-12-07T15:15:05Z</dcterms:modified>
</cp:coreProperties>
</file>