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February 25, 2020</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S-8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6"/>
          <w:szCs w:val="36"/>
          <w:color w:val="auto"/>
        </w:rPr>
        <w:t>Veracyte,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10"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7400" w:type="dxa"/>
            <w:vAlign w:val="bottom"/>
          </w:tcPr>
          <w:p>
            <w:pPr>
              <w:jc w:val="center"/>
              <w:ind w:right="2030"/>
              <w:spacing w:after="0"/>
              <w:rPr>
                <w:sz w:val="20"/>
                <w:szCs w:val="20"/>
                <w:color w:val="auto"/>
              </w:rPr>
            </w:pPr>
            <w:r>
              <w:rPr>
                <w:rFonts w:ascii="Arial" w:cs="Arial" w:eastAsia="Arial" w:hAnsi="Arial"/>
                <w:sz w:val="18"/>
                <w:szCs w:val="18"/>
                <w:color w:val="auto"/>
                <w:w w:val="89"/>
              </w:rPr>
              <w:t>Delaware</w:t>
            </w:r>
          </w:p>
        </w:tc>
        <w:tc>
          <w:tcPr>
            <w:tcW w:w="1780" w:type="dxa"/>
            <w:vAlign w:val="bottom"/>
          </w:tcPr>
          <w:p>
            <w:pPr>
              <w:jc w:val="right"/>
              <w:ind w:right="150"/>
              <w:spacing w:after="0"/>
              <w:rPr>
                <w:sz w:val="20"/>
                <w:szCs w:val="20"/>
                <w:color w:val="auto"/>
              </w:rPr>
            </w:pPr>
            <w:r>
              <w:rPr>
                <w:rFonts w:ascii="Arial" w:cs="Arial" w:eastAsia="Arial" w:hAnsi="Arial"/>
                <w:sz w:val="18"/>
                <w:szCs w:val="18"/>
                <w:color w:val="auto"/>
              </w:rPr>
              <w:t>20-5455398</w:t>
            </w:r>
          </w:p>
        </w:tc>
      </w:tr>
      <w:tr>
        <w:trPr>
          <w:trHeight w:val="216"/>
        </w:trPr>
        <w:tc>
          <w:tcPr>
            <w:tcW w:w="7400" w:type="dxa"/>
            <w:vAlign w:val="bottom"/>
          </w:tcPr>
          <w:p>
            <w:pPr>
              <w:jc w:val="center"/>
              <w:ind w:right="2030"/>
              <w:spacing w:after="0"/>
              <w:rPr>
                <w:sz w:val="20"/>
                <w:szCs w:val="20"/>
                <w:color w:val="auto"/>
              </w:rPr>
            </w:pPr>
            <w:r>
              <w:rPr>
                <w:rFonts w:ascii="Arial" w:cs="Arial" w:eastAsia="Arial" w:hAnsi="Arial"/>
                <w:sz w:val="18"/>
                <w:szCs w:val="18"/>
                <w:color w:val="auto"/>
                <w:w w:val="92"/>
              </w:rPr>
              <w:t>(State or other jurisdiction of</w:t>
            </w:r>
          </w:p>
        </w:tc>
        <w:tc>
          <w:tcPr>
            <w:tcW w:w="1780" w:type="dxa"/>
            <w:vAlign w:val="bottom"/>
          </w:tcPr>
          <w:p>
            <w:pPr>
              <w:jc w:val="center"/>
              <w:ind w:left="390"/>
              <w:spacing w:after="0"/>
              <w:rPr>
                <w:sz w:val="20"/>
                <w:szCs w:val="20"/>
                <w:color w:val="auto"/>
              </w:rPr>
            </w:pPr>
            <w:r>
              <w:rPr>
                <w:rFonts w:ascii="Arial" w:cs="Arial" w:eastAsia="Arial" w:hAnsi="Arial"/>
                <w:sz w:val="18"/>
                <w:szCs w:val="18"/>
                <w:color w:val="auto"/>
                <w:w w:val="92"/>
              </w:rPr>
              <w:t>(I.R.S. Employer</w:t>
            </w:r>
          </w:p>
        </w:tc>
      </w:tr>
      <w:tr>
        <w:trPr>
          <w:trHeight w:val="230"/>
        </w:trPr>
        <w:tc>
          <w:tcPr>
            <w:tcW w:w="740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 or organization)</w:t>
            </w:r>
          </w:p>
        </w:tc>
        <w:tc>
          <w:tcPr>
            <w:tcW w:w="1780" w:type="dxa"/>
            <w:vAlign w:val="bottom"/>
          </w:tcPr>
          <w:p>
            <w:pPr>
              <w:jc w:val="center"/>
              <w:ind w:left="350"/>
              <w:spacing w:after="0"/>
              <w:rPr>
                <w:sz w:val="20"/>
                <w:szCs w:val="20"/>
                <w:color w:val="auto"/>
              </w:rPr>
            </w:pPr>
            <w:r>
              <w:rPr>
                <w:rFonts w:ascii="Arial" w:cs="Arial" w:eastAsia="Arial" w:hAnsi="Arial"/>
                <w:sz w:val="18"/>
                <w:szCs w:val="18"/>
                <w:color w:val="auto"/>
                <w:w w:val="95"/>
              </w:rPr>
              <w:t>Identification No.)</w:t>
            </w:r>
          </w:p>
        </w:tc>
      </w:tr>
      <w:tr>
        <w:trPr>
          <w:trHeight w:val="472"/>
        </w:trPr>
        <w:tc>
          <w:tcPr>
            <w:tcW w:w="7400" w:type="dxa"/>
            <w:vAlign w:val="bottom"/>
          </w:tcPr>
          <w:p>
            <w:pPr>
              <w:jc w:val="center"/>
              <w:ind w:right="2030"/>
              <w:spacing w:after="0"/>
              <w:rPr>
                <w:sz w:val="20"/>
                <w:szCs w:val="20"/>
                <w:color w:val="auto"/>
              </w:rPr>
            </w:pPr>
            <w:r>
              <w:rPr>
                <w:rFonts w:ascii="Arial" w:cs="Arial" w:eastAsia="Arial" w:hAnsi="Arial"/>
                <w:sz w:val="18"/>
                <w:szCs w:val="18"/>
                <w:color w:val="auto"/>
                <w:w w:val="90"/>
              </w:rPr>
              <w:t>6000 Shoreline Court, Suite 300</w:t>
            </w: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94080</w:t>
            </w:r>
          </w:p>
        </w:tc>
      </w:tr>
      <w:tr>
        <w:trPr>
          <w:trHeight w:val="230"/>
        </w:trPr>
        <w:tc>
          <w:tcPr>
            <w:tcW w:w="7400" w:type="dxa"/>
            <w:vAlign w:val="bottom"/>
          </w:tcPr>
          <w:p>
            <w:pPr>
              <w:jc w:val="center"/>
              <w:ind w:right="2030"/>
              <w:spacing w:after="0"/>
              <w:rPr>
                <w:sz w:val="20"/>
                <w:szCs w:val="20"/>
                <w:color w:val="auto"/>
              </w:rPr>
            </w:pPr>
            <w:r>
              <w:rPr>
                <w:rFonts w:ascii="Arial" w:cs="Arial" w:eastAsia="Arial" w:hAnsi="Arial"/>
                <w:sz w:val="18"/>
                <w:szCs w:val="18"/>
                <w:color w:val="auto"/>
                <w:w w:val="91"/>
              </w:rPr>
              <w:t>South San Francisco, California (Address of Principal Executive Offices)</w:t>
            </w:r>
          </w:p>
        </w:tc>
        <w:tc>
          <w:tcPr>
            <w:tcW w:w="1780" w:type="dxa"/>
            <w:vAlign w:val="bottom"/>
          </w:tcPr>
          <w:p>
            <w:pPr>
              <w:jc w:val="center"/>
              <w:ind w:left="330"/>
              <w:spacing w:after="0"/>
              <w:rPr>
                <w:sz w:val="20"/>
                <w:szCs w:val="20"/>
                <w:color w:val="auto"/>
              </w:rPr>
            </w:pPr>
            <w:r>
              <w:rPr>
                <w:rFonts w:ascii="Arial" w:cs="Arial" w:eastAsia="Arial" w:hAnsi="Arial"/>
                <w:sz w:val="18"/>
                <w:szCs w:val="18"/>
                <w:color w:val="auto"/>
                <w:w w:val="94"/>
              </w:rPr>
              <w:t>(Zip Code)</w:t>
            </w:r>
          </w:p>
        </w:tc>
      </w:tr>
      <w:tr>
        <w:trPr>
          <w:trHeight w:val="270"/>
        </w:trPr>
        <w:tc>
          <w:tcPr>
            <w:tcW w:w="7400" w:type="dxa"/>
            <w:vAlign w:val="bottom"/>
          </w:tcPr>
          <w:p>
            <w:pPr>
              <w:jc w:val="center"/>
              <w:ind w:left="3490"/>
              <w:spacing w:after="0"/>
              <w:rPr>
                <w:sz w:val="20"/>
                <w:szCs w:val="20"/>
                <w:color w:val="auto"/>
              </w:rPr>
            </w:pPr>
            <w:r>
              <w:rPr>
                <w:rFonts w:ascii="Arial" w:cs="Arial" w:eastAsia="Arial" w:hAnsi="Arial"/>
                <w:sz w:val="18"/>
                <w:szCs w:val="18"/>
                <w:color w:val="auto"/>
                <w:w w:val="90"/>
              </w:rPr>
              <w:t>Veracyte, Inc. 2013 Stock Incentive Plan</w:t>
            </w:r>
          </w:p>
        </w:tc>
        <w:tc>
          <w:tcPr>
            <w:tcW w:w="1780" w:type="dxa"/>
            <w:vAlign w:val="bottom"/>
          </w:tcPr>
          <w:p>
            <w:pPr>
              <w:spacing w:after="0"/>
              <w:rPr>
                <w:sz w:val="23"/>
                <w:szCs w:val="23"/>
                <w:color w:val="auto"/>
              </w:rPr>
            </w:pPr>
          </w:p>
        </w:tc>
      </w:tr>
      <w:tr>
        <w:trPr>
          <w:trHeight w:val="270"/>
        </w:trPr>
        <w:tc>
          <w:tcPr>
            <w:tcW w:w="7400" w:type="dxa"/>
            <w:vAlign w:val="bottom"/>
          </w:tcPr>
          <w:p>
            <w:pPr>
              <w:jc w:val="center"/>
              <w:ind w:left="3490"/>
              <w:spacing w:after="0"/>
              <w:rPr>
                <w:sz w:val="20"/>
                <w:szCs w:val="20"/>
                <w:color w:val="auto"/>
              </w:rPr>
            </w:pPr>
            <w:r>
              <w:rPr>
                <w:rFonts w:ascii="Arial" w:cs="Arial" w:eastAsia="Arial" w:hAnsi="Arial"/>
                <w:sz w:val="18"/>
                <w:szCs w:val="18"/>
                <w:color w:val="auto"/>
                <w:w w:val="94"/>
              </w:rPr>
              <w:t>(Full title of the plan)</w:t>
            </w:r>
          </w:p>
        </w:tc>
        <w:tc>
          <w:tcPr>
            <w:tcW w:w="1780" w:type="dxa"/>
            <w:vAlign w:val="bottom"/>
          </w:tcPr>
          <w:p>
            <w:pPr>
              <w:spacing w:after="0"/>
              <w:rPr>
                <w:sz w:val="23"/>
                <w:szCs w:val="23"/>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Bonnie H. Anderson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(650) 243-6300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49" w:lineRule="exact"/>
        <w:rPr>
          <w:sz w:val="24"/>
          <w:szCs w:val="24"/>
          <w:color w:val="auto"/>
        </w:rPr>
      </w:pPr>
    </w:p>
    <w:tbl>
      <w:tblPr>
        <w:tblLayout w:type="fixed"/>
        <w:tblInd w:w="1540" w:type="dxa"/>
        <w:tblCellMar>
          <w:top w:w="0" w:type="dxa"/>
          <w:left w:w="0" w:type="dxa"/>
          <w:bottom w:w="0" w:type="dxa"/>
          <w:right w:w="0" w:type="dxa"/>
        </w:tblCellMar>
      </w:tblPr>
      <w:tr>
        <w:trPr>
          <w:trHeight w:val="216"/>
        </w:trPr>
        <w:tc>
          <w:tcPr>
            <w:tcW w:w="3820" w:type="dxa"/>
            <w:vAlign w:val="bottom"/>
          </w:tcPr>
          <w:p>
            <w:pPr>
              <w:jc w:val="center"/>
              <w:ind w:right="1290"/>
              <w:spacing w:after="0"/>
              <w:rPr>
                <w:sz w:val="20"/>
                <w:szCs w:val="20"/>
                <w:color w:val="auto"/>
              </w:rPr>
            </w:pPr>
            <w:r>
              <w:rPr>
                <w:rFonts w:ascii="Arial" w:cs="Arial" w:eastAsia="Arial" w:hAnsi="Arial"/>
                <w:sz w:val="18"/>
                <w:szCs w:val="18"/>
                <w:color w:val="auto"/>
                <w:w w:val="89"/>
              </w:rPr>
              <w:t>Robert A. Freedman, Esq.</w:t>
            </w:r>
          </w:p>
        </w:tc>
        <w:tc>
          <w:tcPr>
            <w:tcW w:w="5140" w:type="dxa"/>
            <w:vAlign w:val="bottom"/>
          </w:tcPr>
          <w:p>
            <w:pPr>
              <w:jc w:val="center"/>
              <w:ind w:left="1310"/>
              <w:spacing w:after="0"/>
              <w:rPr>
                <w:sz w:val="20"/>
                <w:szCs w:val="20"/>
                <w:color w:val="auto"/>
              </w:rPr>
            </w:pPr>
            <w:r>
              <w:rPr>
                <w:rFonts w:ascii="Arial" w:cs="Arial" w:eastAsia="Arial" w:hAnsi="Arial"/>
                <w:sz w:val="18"/>
                <w:szCs w:val="18"/>
                <w:color w:val="auto"/>
                <w:w w:val="93"/>
              </w:rPr>
              <w:t>Keith Kennedy</w:t>
            </w:r>
          </w:p>
        </w:tc>
      </w:tr>
      <w:tr>
        <w:trPr>
          <w:trHeight w:val="216"/>
        </w:trPr>
        <w:tc>
          <w:tcPr>
            <w:tcW w:w="3820" w:type="dxa"/>
            <w:vAlign w:val="bottom"/>
          </w:tcPr>
          <w:p>
            <w:pPr>
              <w:jc w:val="center"/>
              <w:ind w:right="1270"/>
              <w:spacing w:after="0"/>
              <w:rPr>
                <w:sz w:val="20"/>
                <w:szCs w:val="20"/>
                <w:color w:val="auto"/>
              </w:rPr>
            </w:pPr>
            <w:r>
              <w:rPr>
                <w:rFonts w:ascii="Arial" w:cs="Arial" w:eastAsia="Arial" w:hAnsi="Arial"/>
                <w:sz w:val="18"/>
                <w:szCs w:val="18"/>
                <w:color w:val="auto"/>
                <w:w w:val="89"/>
              </w:rPr>
              <w:t>Ran Ben-Tzur, Esq.</w:t>
            </w:r>
          </w:p>
        </w:tc>
        <w:tc>
          <w:tcPr>
            <w:tcW w:w="5140" w:type="dxa"/>
            <w:vAlign w:val="bottom"/>
          </w:tcPr>
          <w:p>
            <w:pPr>
              <w:jc w:val="center"/>
              <w:ind w:left="1290"/>
              <w:spacing w:after="0"/>
              <w:rPr>
                <w:sz w:val="20"/>
                <w:szCs w:val="20"/>
                <w:color w:val="auto"/>
              </w:rPr>
            </w:pPr>
            <w:r>
              <w:rPr>
                <w:rFonts w:ascii="Arial" w:cs="Arial" w:eastAsia="Arial" w:hAnsi="Arial"/>
                <w:sz w:val="18"/>
                <w:szCs w:val="18"/>
                <w:color w:val="auto"/>
                <w:w w:val="93"/>
              </w:rPr>
              <w:t>Chief Financial Officer and Chief Operating Officer</w:t>
            </w:r>
          </w:p>
        </w:tc>
      </w:tr>
      <w:tr>
        <w:trPr>
          <w:trHeight w:val="216"/>
        </w:trPr>
        <w:tc>
          <w:tcPr>
            <w:tcW w:w="3820" w:type="dxa"/>
            <w:vAlign w:val="bottom"/>
          </w:tcPr>
          <w:p>
            <w:pPr>
              <w:jc w:val="center"/>
              <w:ind w:right="1290"/>
              <w:spacing w:after="0"/>
              <w:rPr>
                <w:sz w:val="20"/>
                <w:szCs w:val="20"/>
                <w:color w:val="auto"/>
              </w:rPr>
            </w:pPr>
            <w:r>
              <w:rPr>
                <w:rFonts w:ascii="Arial" w:cs="Arial" w:eastAsia="Arial" w:hAnsi="Arial"/>
                <w:sz w:val="18"/>
                <w:szCs w:val="18"/>
                <w:color w:val="auto"/>
                <w:w w:val="93"/>
              </w:rPr>
              <w:t>Fenwick &amp; West LLP</w:t>
            </w:r>
          </w:p>
        </w:tc>
        <w:tc>
          <w:tcPr>
            <w:tcW w:w="5140" w:type="dxa"/>
            <w:vAlign w:val="bottom"/>
          </w:tcPr>
          <w:p>
            <w:pPr>
              <w:jc w:val="center"/>
              <w:ind w:left="1290"/>
              <w:spacing w:after="0"/>
              <w:rPr>
                <w:sz w:val="20"/>
                <w:szCs w:val="20"/>
                <w:color w:val="auto"/>
              </w:rPr>
            </w:pPr>
            <w:r>
              <w:rPr>
                <w:rFonts w:ascii="Arial" w:cs="Arial" w:eastAsia="Arial" w:hAnsi="Arial"/>
                <w:sz w:val="18"/>
                <w:szCs w:val="18"/>
                <w:color w:val="auto"/>
                <w:w w:val="90"/>
              </w:rPr>
              <w:t>Veracyte, Inc.</w:t>
            </w:r>
          </w:p>
        </w:tc>
      </w:tr>
      <w:tr>
        <w:trPr>
          <w:trHeight w:val="216"/>
        </w:trPr>
        <w:tc>
          <w:tcPr>
            <w:tcW w:w="3820" w:type="dxa"/>
            <w:vAlign w:val="bottom"/>
          </w:tcPr>
          <w:p>
            <w:pPr>
              <w:jc w:val="center"/>
              <w:ind w:right="1270"/>
              <w:spacing w:after="0"/>
              <w:rPr>
                <w:sz w:val="20"/>
                <w:szCs w:val="20"/>
                <w:color w:val="auto"/>
              </w:rPr>
            </w:pPr>
            <w:r>
              <w:rPr>
                <w:rFonts w:ascii="Arial" w:cs="Arial" w:eastAsia="Arial" w:hAnsi="Arial"/>
                <w:sz w:val="18"/>
                <w:szCs w:val="18"/>
                <w:color w:val="auto"/>
                <w:w w:val="92"/>
              </w:rPr>
              <w:t>Silicon Valley Center</w:t>
            </w:r>
          </w:p>
        </w:tc>
        <w:tc>
          <w:tcPr>
            <w:tcW w:w="5140" w:type="dxa"/>
            <w:vAlign w:val="bottom"/>
          </w:tcPr>
          <w:p>
            <w:pPr>
              <w:jc w:val="center"/>
              <w:ind w:left="1290"/>
              <w:spacing w:after="0"/>
              <w:rPr>
                <w:sz w:val="20"/>
                <w:szCs w:val="20"/>
                <w:color w:val="auto"/>
              </w:rPr>
            </w:pPr>
            <w:r>
              <w:rPr>
                <w:rFonts w:ascii="Arial" w:cs="Arial" w:eastAsia="Arial" w:hAnsi="Arial"/>
                <w:sz w:val="18"/>
                <w:szCs w:val="18"/>
                <w:color w:val="auto"/>
                <w:w w:val="90"/>
              </w:rPr>
              <w:t>6000 Shoreline Court, Suite 300</w:t>
            </w:r>
          </w:p>
        </w:tc>
      </w:tr>
      <w:tr>
        <w:trPr>
          <w:trHeight w:val="216"/>
        </w:trPr>
        <w:tc>
          <w:tcPr>
            <w:tcW w:w="3820" w:type="dxa"/>
            <w:vAlign w:val="bottom"/>
          </w:tcPr>
          <w:p>
            <w:pPr>
              <w:jc w:val="center"/>
              <w:ind w:right="1290"/>
              <w:spacing w:after="0"/>
              <w:rPr>
                <w:sz w:val="20"/>
                <w:szCs w:val="20"/>
                <w:color w:val="auto"/>
              </w:rPr>
            </w:pPr>
            <w:r>
              <w:rPr>
                <w:rFonts w:ascii="Arial" w:cs="Arial" w:eastAsia="Arial" w:hAnsi="Arial"/>
                <w:sz w:val="18"/>
                <w:szCs w:val="18"/>
                <w:color w:val="auto"/>
                <w:w w:val="92"/>
              </w:rPr>
              <w:t>801 California Street</w:t>
            </w:r>
          </w:p>
        </w:tc>
        <w:tc>
          <w:tcPr>
            <w:tcW w:w="5140" w:type="dxa"/>
            <w:vAlign w:val="bottom"/>
          </w:tcPr>
          <w:p>
            <w:pPr>
              <w:jc w:val="center"/>
              <w:ind w:left="1290"/>
              <w:spacing w:after="0"/>
              <w:rPr>
                <w:sz w:val="20"/>
                <w:szCs w:val="20"/>
                <w:color w:val="auto"/>
              </w:rPr>
            </w:pPr>
            <w:r>
              <w:rPr>
                <w:rFonts w:ascii="Arial" w:cs="Arial" w:eastAsia="Arial" w:hAnsi="Arial"/>
                <w:sz w:val="18"/>
                <w:szCs w:val="18"/>
                <w:color w:val="auto"/>
                <w:w w:val="90"/>
              </w:rPr>
              <w:t>South San Francisco, California 94080</w:t>
            </w:r>
          </w:p>
        </w:tc>
      </w:tr>
      <w:tr>
        <w:trPr>
          <w:trHeight w:val="230"/>
        </w:trPr>
        <w:tc>
          <w:tcPr>
            <w:tcW w:w="3820" w:type="dxa"/>
            <w:vAlign w:val="bottom"/>
          </w:tcPr>
          <w:p>
            <w:pPr>
              <w:jc w:val="center"/>
              <w:ind w:right="1290"/>
              <w:spacing w:after="0"/>
              <w:rPr>
                <w:sz w:val="20"/>
                <w:szCs w:val="20"/>
                <w:color w:val="auto"/>
              </w:rPr>
            </w:pPr>
            <w:r>
              <w:rPr>
                <w:rFonts w:ascii="Arial" w:cs="Arial" w:eastAsia="Arial" w:hAnsi="Arial"/>
                <w:sz w:val="18"/>
                <w:szCs w:val="18"/>
                <w:color w:val="auto"/>
                <w:w w:val="94"/>
              </w:rPr>
              <w:t>Mountain View, California 94041</w:t>
            </w:r>
          </w:p>
        </w:tc>
        <w:tc>
          <w:tcPr>
            <w:tcW w:w="5140" w:type="dxa"/>
            <w:vAlign w:val="bottom"/>
          </w:tcPr>
          <w:p>
            <w:pPr>
              <w:jc w:val="center"/>
              <w:ind w:left="1290"/>
              <w:spacing w:after="0"/>
              <w:rPr>
                <w:sz w:val="20"/>
                <w:szCs w:val="20"/>
                <w:color w:val="auto"/>
              </w:rPr>
            </w:pPr>
            <w:r>
              <w:rPr>
                <w:rFonts w:ascii="Arial" w:cs="Arial" w:eastAsia="Arial" w:hAnsi="Arial"/>
                <w:sz w:val="18"/>
                <w:szCs w:val="18"/>
                <w:color w:val="auto"/>
                <w:w w:val="90"/>
              </w:rPr>
              <w:t>(650) 243-6300</w:t>
            </w:r>
          </w:p>
        </w:tc>
      </w:tr>
    </w:tbl>
    <w:p>
      <w:pPr>
        <w:spacing w:after="0" w:line="229"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60" w:type="dxa"/>
        <w:tblCellMar>
          <w:top w:w="0" w:type="dxa"/>
          <w:left w:w="0" w:type="dxa"/>
          <w:bottom w:w="0" w:type="dxa"/>
          <w:right w:w="0" w:type="dxa"/>
        </w:tblCellMar>
      </w:tblP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160" w:type="dxa"/>
            <w:vAlign w:val="bottom"/>
          </w:tcPr>
          <w:p>
            <w:pPr>
              <w:ind w:left="264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114935</wp:posOffset>
            </wp:positionV>
            <wp:extent cx="65601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132080</wp:posOffset>
            </wp:positionV>
            <wp:extent cx="6560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197" w:lineRule="exact"/>
        <w:rPr>
          <w:sz w:val="24"/>
          <w:szCs w:val="24"/>
          <w:color w:val="auto"/>
        </w:rPr>
      </w:pPr>
    </w:p>
    <w:tbl>
      <w:tblPr>
        <w:tblLayout w:type="fixed"/>
        <w:tblInd w:w="5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color w:val="auto"/>
                <w:w w:val="90"/>
              </w:rPr>
              <w:t>Proposed</w:t>
            </w:r>
          </w:p>
        </w:tc>
        <w:tc>
          <w:tcPr>
            <w:tcW w:w="1440" w:type="dxa"/>
            <w:vAlign w:val="bottom"/>
          </w:tcPr>
          <w:p>
            <w:pPr>
              <w:spacing w:after="0"/>
              <w:rPr>
                <w:sz w:val="14"/>
                <w:szCs w:val="14"/>
                <w:color w:val="auto"/>
              </w:rPr>
            </w:pPr>
          </w:p>
        </w:tc>
      </w:tr>
      <w:tr>
        <w:trPr>
          <w:trHeight w:val="149"/>
        </w:trPr>
        <w:tc>
          <w:tcPr>
            <w:tcW w:w="3280" w:type="dxa"/>
            <w:vAlign w:val="bottom"/>
          </w:tcPr>
          <w:p>
            <w:pPr>
              <w:jc w:val="center"/>
              <w:spacing w:after="0" w:line="149" w:lineRule="exact"/>
              <w:rPr>
                <w:sz w:val="20"/>
                <w:szCs w:val="20"/>
                <w:color w:val="auto"/>
              </w:rPr>
            </w:pPr>
            <w:r>
              <w:rPr>
                <w:rFonts w:ascii="Arial" w:cs="Arial" w:eastAsia="Arial" w:hAnsi="Arial"/>
                <w:sz w:val="14"/>
                <w:szCs w:val="14"/>
                <w:color w:val="auto"/>
                <w:w w:val="96"/>
              </w:rPr>
              <w:t>Title of Securities</w:t>
            </w:r>
          </w:p>
        </w:tc>
        <w:tc>
          <w:tcPr>
            <w:tcW w:w="174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6"/>
              </w:rPr>
              <w:t>Amount To</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5"/>
              </w:rPr>
              <w:t>Proposed Maximum Offering</w:t>
            </w:r>
          </w:p>
        </w:tc>
        <w:tc>
          <w:tcPr>
            <w:tcW w:w="1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Maximum Aggregate</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Amount of</w:t>
            </w:r>
          </w:p>
        </w:tc>
      </w:tr>
      <w:tr>
        <w:trPr>
          <w:trHeight w:val="188"/>
        </w:trPr>
        <w:tc>
          <w:tcPr>
            <w:tcW w:w="3280" w:type="dxa"/>
            <w:vAlign w:val="bottom"/>
          </w:tcPr>
          <w:p>
            <w:pPr>
              <w:jc w:val="center"/>
              <w:spacing w:after="0"/>
              <w:rPr>
                <w:sz w:val="20"/>
                <w:szCs w:val="20"/>
                <w:color w:val="auto"/>
              </w:rPr>
            </w:pPr>
            <w:r>
              <w:rPr>
                <w:rFonts w:ascii="Arial" w:cs="Arial" w:eastAsia="Arial" w:hAnsi="Arial"/>
                <w:sz w:val="14"/>
                <w:szCs w:val="14"/>
                <w:color w:val="auto"/>
                <w:w w:val="91"/>
              </w:rPr>
              <w:t>To Be Registered</w:t>
            </w:r>
          </w:p>
        </w:tc>
        <w:tc>
          <w:tcPr>
            <w:tcW w:w="1740" w:type="dxa"/>
            <w:vAlign w:val="bottom"/>
          </w:tcPr>
          <w:p>
            <w:pPr>
              <w:jc w:val="center"/>
              <w:ind w:left="128"/>
              <w:spacing w:after="0"/>
              <w:rPr>
                <w:sz w:val="20"/>
                <w:szCs w:val="20"/>
                <w:color w:val="auto"/>
              </w:rPr>
            </w:pPr>
            <w:r>
              <w:rPr>
                <w:rFonts w:ascii="Arial" w:cs="Arial" w:eastAsia="Arial" w:hAnsi="Arial"/>
                <w:sz w:val="14"/>
                <w:szCs w:val="14"/>
                <w:color w:val="auto"/>
                <w:w w:val="92"/>
              </w:rPr>
              <w:t>Be Registered (1)</w:t>
            </w:r>
          </w:p>
        </w:tc>
        <w:tc>
          <w:tcPr>
            <w:tcW w:w="2040" w:type="dxa"/>
            <w:vAlign w:val="bottom"/>
          </w:tcPr>
          <w:p>
            <w:pPr>
              <w:jc w:val="center"/>
              <w:spacing w:after="0"/>
              <w:rPr>
                <w:sz w:val="20"/>
                <w:szCs w:val="20"/>
                <w:color w:val="auto"/>
              </w:rPr>
            </w:pPr>
            <w:r>
              <w:rPr>
                <w:rFonts w:ascii="Arial" w:cs="Arial" w:eastAsia="Arial" w:hAnsi="Arial"/>
                <w:sz w:val="14"/>
                <w:szCs w:val="14"/>
                <w:color w:val="auto"/>
                <w:w w:val="89"/>
              </w:rPr>
              <w:t>Price Per Share</w:t>
            </w: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Offering Price</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Registration Fee</w:t>
            </w:r>
          </w:p>
        </w:tc>
      </w:tr>
      <w:tr>
        <w:trPr>
          <w:trHeight w:val="244"/>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par value $0.001 per share</w:t>
            </w:r>
          </w:p>
        </w:tc>
        <w:tc>
          <w:tcPr>
            <w:tcW w:w="1740" w:type="dxa"/>
            <w:vAlign w:val="bottom"/>
            <w:tcBorders>
              <w:top w:val="single" w:sz="8" w:color="auto"/>
            </w:tcBorders>
          </w:tcPr>
          <w:p>
            <w:pPr>
              <w:jc w:val="center"/>
              <w:ind w:left="128"/>
              <w:spacing w:after="0"/>
              <w:rPr>
                <w:sz w:val="20"/>
                <w:szCs w:val="20"/>
                <w:color w:val="auto"/>
              </w:rPr>
            </w:pPr>
            <w:r>
              <w:rPr>
                <w:rFonts w:ascii="Arial" w:cs="Arial" w:eastAsia="Arial" w:hAnsi="Arial"/>
                <w:sz w:val="14"/>
                <w:szCs w:val="14"/>
                <w:color w:val="auto"/>
                <w:w w:val="91"/>
              </w:rPr>
              <w:t>1,985,013 shares (2)</w:t>
            </w: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$23.98(3)</w:t>
            </w:r>
          </w:p>
        </w:tc>
        <w:tc>
          <w:tcPr>
            <w:tcW w:w="164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color w:val="auto"/>
                <w:w w:val="92"/>
              </w:rPr>
              <w:t>$47,600,612</w:t>
            </w:r>
          </w:p>
        </w:tc>
        <w:tc>
          <w:tcPr>
            <w:tcW w:w="200" w:type="dxa"/>
            <w:vAlign w:val="bottom"/>
          </w:tcPr>
          <w:p>
            <w:pPr>
              <w:spacing w:after="0"/>
              <w:rPr>
                <w:sz w:val="21"/>
                <w:szCs w:val="21"/>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$6,179</w:t>
            </w:r>
          </w:p>
        </w:tc>
      </w:tr>
    </w:tbl>
    <w:p>
      <w:pPr>
        <w:sectPr>
          <w:pgSz w:w="11900" w:h="16838" w:orient="portrait"/>
          <w:cols w:equalWidth="0" w:num="1">
            <w:col w:w="11420"/>
          </w:cols>
          <w:pgMar w:left="240" w:top="665" w:right="239" w:bottom="1440" w:gutter="0" w:footer="0" w:header="0"/>
        </w:sectPr>
      </w:pPr>
    </w:p>
    <w:bookmarkStart w:id="1" w:name="page2"/>
    <w:bookmarkEnd w:id="1"/>
    <w:p>
      <w:pPr>
        <w:ind w:left="458" w:right="60" w:hanging="458"/>
        <w:spacing w:after="0" w:line="238" w:lineRule="auto"/>
        <w:tabs>
          <w:tab w:leader="none" w:pos="458"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of the Securities Act of 1933, as amended (the “Securities Act”), this registration statement also covers any additional securities that may be offered or become issuable under the Registrant's 2013 Stock Incentive Plan, as amended (the “2013 Plan”) in connection with any stock split, stock dividend, recapitalization or any other similar transaction effected without receipt of consideration, which results in an increase in the number of the Registrant’s outstanding shares of Common Stock.</w:t>
      </w:r>
    </w:p>
    <w:p>
      <w:pPr>
        <w:spacing w:after="0" w:line="20" w:lineRule="exact"/>
        <w:rPr>
          <w:rFonts w:ascii="Arial" w:cs="Arial" w:eastAsia="Arial" w:hAnsi="Arial"/>
          <w:sz w:val="14"/>
          <w:szCs w:val="14"/>
          <w:color w:val="auto"/>
        </w:rPr>
      </w:pPr>
    </w:p>
    <w:p>
      <w:pPr>
        <w:ind w:left="458" w:right="400" w:hanging="458"/>
        <w:spacing w:after="0" w:line="253" w:lineRule="auto"/>
        <w:tabs>
          <w:tab w:leader="none" w:pos="45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additional shares of the Registrant’s common stock reserved for issuance under the 2013 Plan, pursuant to its provisions providing for an automatic annual increase in the number of shares reserved for issuance under the 2013 Plan.</w:t>
      </w:r>
    </w:p>
    <w:p>
      <w:pPr>
        <w:spacing w:after="0" w:line="11" w:lineRule="exact"/>
        <w:rPr>
          <w:rFonts w:ascii="Arial" w:cs="Arial" w:eastAsia="Arial" w:hAnsi="Arial"/>
          <w:sz w:val="14"/>
          <w:szCs w:val="14"/>
          <w:color w:val="auto"/>
        </w:rPr>
      </w:pPr>
    </w:p>
    <w:p>
      <w:pPr>
        <w:ind w:left="458" w:hanging="458"/>
        <w:spacing w:after="0" w:line="253" w:lineRule="auto"/>
        <w:tabs>
          <w:tab w:leader="none" w:pos="458"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in accordance with Rules 457(c) and 457(h) under the Securities Act, solely for the purposes of calculating the registration fee, based on the average of the high and low prices of the Registrant’s Common Stock as reported on The Nasdaq Global Market on February 20, 2020.</w:t>
      </w:r>
    </w:p>
    <w:p>
      <w:pPr>
        <w:spacing w:after="0" w:line="57" w:lineRule="exact"/>
        <w:rPr>
          <w:sz w:val="20"/>
          <w:szCs w:val="20"/>
          <w:color w:val="auto"/>
        </w:rPr>
      </w:pPr>
    </w:p>
    <w:p>
      <w:pPr>
        <w:ind w:left="4758"/>
        <w:spacing w:after="0"/>
        <w:rPr>
          <w:sz w:val="20"/>
          <w:szCs w:val="20"/>
          <w:color w:val="auto"/>
        </w:rPr>
      </w:pPr>
      <w:r>
        <w:rPr>
          <w:rFonts w:ascii="Arial" w:cs="Arial" w:eastAsia="Arial" w:hAnsi="Arial"/>
          <w:sz w:val="18"/>
          <w:szCs w:val="18"/>
          <w:color w:val="auto"/>
        </w:rPr>
        <w:t>____________________</w:t>
      </w:r>
    </w:p>
    <w:p>
      <w:pPr>
        <w:sectPr>
          <w:pgSz w:w="11900" w:h="16838" w:orient="portrait"/>
          <w:cols w:equalWidth="0" w:num="1">
            <w:col w:w="11298"/>
          </w:cols>
          <w:pgMar w:left="302" w:top="715"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Instruction E Information</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Pursuant to General Instruction E of Form S-8, Veracyte, Inc. (“Registrant”) is filing this Registration Statement on Form S-8 with the U.S. Securities and Exchange Commission (the “Commission”) to register 1,985,013 additional shares of the Registrant’s Common Stock for issuance under the Registrant’s 2013 Stock Incentive Plan, as amended (the “2013 Plan”), pursuant to the provisions of the 2013 Plan that provide for an automatic annual increase in the number of shares reserved for issuance under the 2013 Plan. The Registrant’s Registration Statements on Form S-8 filed with the Commission on October 30, 2013 (File No. 333-191992), March 30, 2015 (File No. 333-203097), March 14, 2016 (File No. 333-210185), March 2, 2017 (File No. 333-216388), February 28, 2018 (File No. 333-223292) and February 25, 2019 (File No. 333-229848), excluding reports that the Registrant filed with the Commission that were incorporated into the Form S-8 Registration Statements in order to maintain current information about the Registrant, are hereby incorporated by reference into this Registration Statement pursuant to General Instruction E of Form S-8. In accordance with the instructional note to Part I of Form S-8 as promulgated by the Commission, the information specified by Part I of Form S-8 has been omitted from this Registration Statement.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documents filed by the Registrant with the Commission are hereby incorporated by reference in this Registration Statement:</w:t>
      </w:r>
    </w:p>
    <w:p>
      <w:pPr>
        <w:spacing w:after="0" w:line="237"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7"/>
          <w:szCs w:val="17"/>
          <w:u w:val="single" w:color="auto"/>
          <w:color w:val="0000FF"/>
        </w:rPr>
      </w:pPr>
      <w:hyperlink r:id="rId10">
        <w:r>
          <w:rPr>
            <w:rFonts w:ascii="Arial" w:cs="Arial" w:eastAsia="Arial" w:hAnsi="Arial"/>
            <w:sz w:val="17"/>
            <w:szCs w:val="17"/>
            <w:u w:val="single" w:color="auto"/>
            <w:color w:val="0000FF"/>
          </w:rPr>
          <w:t>The Registrant’s Annual Report on Form 10-K for the year ended December 31, 2019, filed with the Commission on February 25, 2020.</w:t>
        </w:r>
      </w:hyperlink>
    </w:p>
    <w:p>
      <w:pPr>
        <w:spacing w:after="0" w:line="196" w:lineRule="exact"/>
        <w:rPr>
          <w:rFonts w:ascii="Arial" w:cs="Arial" w:eastAsia="Arial" w:hAnsi="Arial"/>
          <w:sz w:val="17"/>
          <w:szCs w:val="17"/>
          <w:u w:val="single" w:color="auto"/>
          <w:color w:val="0000FF"/>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Registrant’s Annual Report referred to in (a) above (other than the portions of these documents not deemed to be filed);</w:t>
      </w:r>
    </w:p>
    <w:p>
      <w:pPr>
        <w:spacing w:after="0" w:line="129"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u w:val="single" w:color="auto"/>
          <w:color w:val="0000FF"/>
        </w:rPr>
      </w:pPr>
      <w:hyperlink r:id="rId11">
        <w:r>
          <w:rPr>
            <w:rFonts w:ascii="Arial" w:cs="Arial" w:eastAsia="Arial" w:hAnsi="Arial"/>
            <w:sz w:val="18"/>
            <w:szCs w:val="18"/>
            <w:u w:val="single" w:color="auto"/>
            <w:color w:val="0000FF"/>
          </w:rPr>
          <w:t>The description of the Registrant’s Common Stock contained in Registrant’s registration statement on Form 8-A, filed on October 28, 2013</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pursuant to Section 12(b) of the Securities Exchange Act of 1934, as amended (the “Exchange Act”), including any amendment or report filed</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for the purpose of updating such description.</w:t>
        </w:r>
      </w:hyperlink>
    </w:p>
    <w:p>
      <w:pPr>
        <w:spacing w:after="0" w:line="141" w:lineRule="exact"/>
        <w:rPr>
          <w:rFonts w:ascii="Arial" w:cs="Arial" w:eastAsia="Arial" w:hAnsi="Arial"/>
          <w:sz w:val="18"/>
          <w:szCs w:val="18"/>
          <w:u w:val="single" w:color="auto"/>
          <w:color w:val="0000FF"/>
        </w:rPr>
      </w:pPr>
    </w:p>
    <w:p>
      <w:pPr>
        <w:jc w:val="both"/>
        <w:ind w:firstLine="432"/>
        <w:spacing w:after="0" w:line="271" w:lineRule="auto"/>
        <w:rPr>
          <w:sz w:val="20"/>
          <w:szCs w:val="20"/>
          <w:color w:val="auto"/>
        </w:rPr>
      </w:pPr>
      <w:r>
        <w:rPr>
          <w:rFonts w:ascii="Arial" w:cs="Arial" w:eastAsia="Arial" w:hAnsi="Arial"/>
          <w:sz w:val="17"/>
          <w:szCs w:val="17"/>
          <w:color w:val="auto"/>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ectPr>
          <w:pgSz w:w="11900" w:h="16838" w:orient="portrait"/>
          <w:cols w:equalWidth="0" w:num="1">
            <w:col w:w="11420"/>
          </w:cols>
          <w:pgMar w:left="240" w:top="985" w:right="239" w:bottom="1440" w:gutter="0" w:footer="0" w:header="0"/>
        </w:sectPr>
      </w:pPr>
    </w:p>
    <w:bookmarkStart w:id="3" w:name="page4"/>
    <w:bookmarkEnd w:id="3"/>
    <w:tbl>
      <w:tblPr>
        <w:tblLayout w:type="fixed"/>
        <w:tblInd w:w="20" w:type="dxa"/>
        <w:tblCellMar>
          <w:top w:w="0" w:type="dxa"/>
          <w:left w:w="0" w:type="dxa"/>
          <w:bottom w:w="0" w:type="dxa"/>
          <w:right w:w="0" w:type="dxa"/>
        </w:tblCellMar>
      </w:tblPr>
      <w:tr>
        <w:trPr>
          <w:trHeight w:val="234"/>
        </w:trPr>
        <w:tc>
          <w:tcPr>
            <w:tcW w:w="1220" w:type="dxa"/>
            <w:vAlign w:val="bottom"/>
            <w:gridSpan w:val="2"/>
          </w:tcPr>
          <w:p>
            <w:pPr>
              <w:ind w:left="520"/>
              <w:spacing w:after="0"/>
              <w:rPr>
                <w:sz w:val="20"/>
                <w:szCs w:val="20"/>
                <w:color w:val="auto"/>
              </w:rPr>
            </w:pPr>
            <w:r>
              <w:rPr>
                <w:rFonts w:ascii="Arial" w:cs="Arial" w:eastAsia="Arial" w:hAnsi="Arial"/>
                <w:sz w:val="18"/>
                <w:szCs w:val="18"/>
                <w:b w:val="1"/>
                <w:bCs w:val="1"/>
                <w:color w:val="auto"/>
              </w:rPr>
              <w:t>Item 8.</w:t>
            </w:r>
          </w:p>
        </w:tc>
        <w:tc>
          <w:tcPr>
            <w:tcW w:w="4960" w:type="dxa"/>
            <w:vAlign w:val="bottom"/>
            <w:gridSpan w:val="10"/>
          </w:tcPr>
          <w:p>
            <w:pPr>
              <w:ind w:left="140"/>
              <w:spacing w:after="0"/>
              <w:rPr>
                <w:sz w:val="20"/>
                <w:szCs w:val="20"/>
                <w:color w:val="auto"/>
              </w:rPr>
            </w:pPr>
            <w:r>
              <w:rPr>
                <w:rFonts w:ascii="Arial" w:cs="Arial" w:eastAsia="Arial" w:hAnsi="Arial"/>
                <w:sz w:val="18"/>
                <w:szCs w:val="18"/>
                <w:b w:val="1"/>
                <w:bCs w:val="1"/>
                <w:color w:val="auto"/>
              </w:rPr>
              <w:t>Exhibits.</w:t>
            </w:r>
          </w:p>
        </w:tc>
        <w:tc>
          <w:tcPr>
            <w:tcW w:w="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5340" w:type="dxa"/>
            <w:vAlign w:val="bottom"/>
            <w:gridSpan w:val="11"/>
          </w:tcPr>
          <w:p>
            <w:pPr>
              <w:spacing w:after="0"/>
              <w:rPr>
                <w:sz w:val="20"/>
                <w:szCs w:val="20"/>
                <w:color w:val="auto"/>
              </w:rPr>
            </w:pPr>
            <w:r>
              <w:rPr>
                <w:rFonts w:ascii="Arial" w:cs="Arial" w:eastAsia="Arial" w:hAnsi="Arial"/>
                <w:sz w:val="18"/>
                <w:szCs w:val="18"/>
                <w:color w:val="auto"/>
              </w:rPr>
              <w:t>The following exhibits are filed herewith:</w:t>
            </w:r>
          </w:p>
        </w:tc>
        <w:tc>
          <w:tcPr>
            <w:tcW w:w="8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w w:val="91"/>
              </w:rPr>
              <w:t>Incorporated by Reference</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0" w:type="dxa"/>
            <w:vAlign w:val="bottom"/>
            <w:vMerge w:val="restart"/>
          </w:tcPr>
          <w:p>
            <w:pPr>
              <w:ind w:left="140"/>
              <w:spacing w:after="0"/>
              <w:rPr>
                <w:sz w:val="20"/>
                <w:szCs w:val="20"/>
                <w:color w:val="auto"/>
              </w:rPr>
            </w:pPr>
            <w:r>
              <w:rPr>
                <w:rFonts w:ascii="Arial" w:cs="Arial" w:eastAsia="Arial" w:hAnsi="Arial"/>
                <w:sz w:val="18"/>
                <w:szCs w:val="18"/>
                <w:color w:val="auto"/>
              </w:rPr>
              <w:t>Exhibit</w:t>
            </w:r>
          </w:p>
        </w:tc>
        <w:tc>
          <w:tcPr>
            <w:tcW w:w="3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2"/>
              </w:rPr>
              <w:t>Filed</w:t>
            </w:r>
          </w:p>
        </w:tc>
        <w:tc>
          <w:tcPr>
            <w:tcW w:w="0" w:type="dxa"/>
            <w:vAlign w:val="bottom"/>
          </w:tcPr>
          <w:p>
            <w:pPr>
              <w:spacing w:after="0"/>
              <w:rPr>
                <w:sz w:val="1"/>
                <w:szCs w:val="1"/>
                <w:color w:val="auto"/>
              </w:rPr>
            </w:pPr>
          </w:p>
        </w:tc>
      </w:tr>
      <w:tr>
        <w:trPr>
          <w:trHeight w:val="209"/>
        </w:trPr>
        <w:tc>
          <w:tcPr>
            <w:tcW w:w="8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ind w:left="280"/>
              <w:spacing w:after="0"/>
              <w:rPr>
                <w:sz w:val="20"/>
                <w:szCs w:val="20"/>
                <w:color w:val="auto"/>
              </w:rPr>
            </w:pPr>
            <w:r>
              <w:rPr>
                <w:rFonts w:ascii="Arial" w:cs="Arial" w:eastAsia="Arial" w:hAnsi="Arial"/>
                <w:sz w:val="18"/>
                <w:szCs w:val="18"/>
                <w:color w:val="auto"/>
              </w:rPr>
              <w:t>No.</w:t>
            </w:r>
          </w:p>
        </w:tc>
        <w:tc>
          <w:tcPr>
            <w:tcW w:w="380" w:type="dxa"/>
            <w:vAlign w:val="bottom"/>
          </w:tcPr>
          <w:p>
            <w:pPr>
              <w:spacing w:after="0"/>
              <w:rPr>
                <w:sz w:val="20"/>
                <w:szCs w:val="20"/>
                <w:color w:val="auto"/>
              </w:rPr>
            </w:pPr>
          </w:p>
        </w:tc>
        <w:tc>
          <w:tcPr>
            <w:tcW w:w="4960" w:type="dxa"/>
            <w:vAlign w:val="bottom"/>
            <w:gridSpan w:val="10"/>
          </w:tcPr>
          <w:p>
            <w:pPr>
              <w:ind w:left="1860"/>
              <w:spacing w:after="0"/>
              <w:rPr>
                <w:sz w:val="20"/>
                <w:szCs w:val="20"/>
                <w:color w:val="auto"/>
              </w:rPr>
            </w:pPr>
            <w:r>
              <w:rPr>
                <w:rFonts w:ascii="Arial" w:cs="Arial" w:eastAsia="Arial" w:hAnsi="Arial"/>
                <w:sz w:val="18"/>
                <w:szCs w:val="18"/>
                <w:color w:val="auto"/>
              </w:rPr>
              <w:t>Description</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Form</w:t>
            </w:r>
          </w:p>
        </w:tc>
        <w:tc>
          <w:tcPr>
            <w:tcW w:w="1280" w:type="dxa"/>
            <w:vAlign w:val="bottom"/>
          </w:tcPr>
          <w:p>
            <w:pPr>
              <w:ind w:left="360"/>
              <w:spacing w:after="0"/>
              <w:rPr>
                <w:sz w:val="20"/>
                <w:szCs w:val="20"/>
                <w:color w:val="auto"/>
              </w:rPr>
            </w:pPr>
            <w:r>
              <w:rPr>
                <w:rFonts w:ascii="Arial" w:cs="Arial" w:eastAsia="Arial" w:hAnsi="Arial"/>
                <w:sz w:val="18"/>
                <w:szCs w:val="18"/>
                <w:color w:val="auto"/>
              </w:rPr>
              <w:t>File No.</w:t>
            </w:r>
          </w:p>
        </w:tc>
        <w:tc>
          <w:tcPr>
            <w:tcW w:w="1000" w:type="dxa"/>
            <w:vAlign w:val="bottom"/>
          </w:tcPr>
          <w:p>
            <w:pPr>
              <w:ind w:left="180"/>
              <w:spacing w:after="0"/>
              <w:rPr>
                <w:sz w:val="20"/>
                <w:szCs w:val="20"/>
                <w:color w:val="auto"/>
              </w:rPr>
            </w:pPr>
            <w:r>
              <w:rPr>
                <w:rFonts w:ascii="Arial" w:cs="Arial" w:eastAsia="Arial" w:hAnsi="Arial"/>
                <w:sz w:val="18"/>
                <w:szCs w:val="18"/>
                <w:color w:val="auto"/>
              </w:rPr>
              <w:t>Exhibit</w:t>
            </w:r>
          </w:p>
        </w:tc>
        <w:tc>
          <w:tcPr>
            <w:tcW w:w="1100" w:type="dxa"/>
            <w:vAlign w:val="bottom"/>
          </w:tcPr>
          <w:p>
            <w:pPr>
              <w:ind w:left="60"/>
              <w:spacing w:after="0"/>
              <w:rPr>
                <w:sz w:val="20"/>
                <w:szCs w:val="20"/>
                <w:color w:val="auto"/>
              </w:rPr>
            </w:pPr>
            <w:r>
              <w:rPr>
                <w:rFonts w:ascii="Arial" w:cs="Arial" w:eastAsia="Arial" w:hAnsi="Arial"/>
                <w:sz w:val="18"/>
                <w:szCs w:val="18"/>
                <w:color w:val="auto"/>
              </w:rPr>
              <w:t>Filing Date</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Herewith</w:t>
            </w:r>
          </w:p>
        </w:tc>
        <w:tc>
          <w:tcPr>
            <w:tcW w:w="0" w:type="dxa"/>
            <w:vAlign w:val="bottom"/>
          </w:tcPr>
          <w:p>
            <w:pPr>
              <w:spacing w:after="0"/>
              <w:rPr>
                <w:sz w:val="1"/>
                <w:szCs w:val="1"/>
                <w:color w:val="auto"/>
              </w:rPr>
            </w:pPr>
          </w:p>
        </w:tc>
      </w:tr>
      <w:tr>
        <w:trPr>
          <w:trHeight w:val="27"/>
        </w:trPr>
        <w:tc>
          <w:tcPr>
            <w:tcW w:w="8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0" w:type="dxa"/>
            <w:vAlign w:val="bottom"/>
          </w:tcPr>
          <w:p>
            <w:pPr>
              <w:ind w:left="20"/>
              <w:spacing w:after="0" w:line="196" w:lineRule="exact"/>
              <w:rPr>
                <w:sz w:val="20"/>
                <w:szCs w:val="20"/>
                <w:color w:val="auto"/>
              </w:rPr>
            </w:pPr>
            <w:r>
              <w:rPr>
                <w:rFonts w:ascii="Arial" w:cs="Arial" w:eastAsia="Arial" w:hAnsi="Arial"/>
                <w:sz w:val="18"/>
                <w:szCs w:val="18"/>
                <w:color w:val="auto"/>
              </w:rPr>
              <w:t>4.1</w:t>
            </w:r>
          </w:p>
        </w:tc>
        <w:tc>
          <w:tcPr>
            <w:tcW w:w="5340" w:type="dxa"/>
            <w:vAlign w:val="bottom"/>
            <w:gridSpan w:val="11"/>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Restated Certificate of Incorporation of the Registrant</w:t>
              </w:r>
            </w:hyperlink>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001-36156</w:t>
            </w:r>
          </w:p>
        </w:tc>
        <w:tc>
          <w:tcPr>
            <w:tcW w:w="100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7"/>
              </w:rPr>
              <w:t>3.1</w:t>
            </w:r>
          </w:p>
        </w:tc>
        <w:tc>
          <w:tcPr>
            <w:tcW w:w="110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89"/>
              </w:rPr>
              <w:t>11/8/2013</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4.2</w:t>
            </w:r>
          </w:p>
        </w:tc>
        <w:tc>
          <w:tcPr>
            <w:tcW w:w="246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r:id="rId13">
              <w:r>
                <w:rPr>
                  <w:rFonts w:ascii="Arial" w:cs="Arial" w:eastAsia="Arial" w:hAnsi="Arial"/>
                  <w:sz w:val="18"/>
                  <w:szCs w:val="18"/>
                  <w:color w:val="0000FF"/>
                  <w:w w:val="89"/>
                </w:rPr>
                <w:t>Restated Bylaws of the Registrant</w:t>
              </w:r>
            </w:hyperlink>
          </w:p>
        </w:tc>
        <w:tc>
          <w:tcPr>
            <w:tcW w:w="1420" w:type="dxa"/>
            <w:vAlign w:val="bottom"/>
            <w:tcBorders>
              <w:top w:val="single" w:sz="8" w:color="0000FF"/>
            </w:tcBorders>
            <w:gridSpan w:val="2"/>
          </w:tcPr>
          <w:p>
            <w:pPr>
              <w:spacing w:after="0"/>
              <w:rPr>
                <w:sz w:val="21"/>
                <w:szCs w:val="21"/>
                <w:color w:val="auto"/>
              </w:rPr>
            </w:pPr>
          </w:p>
        </w:tc>
        <w:tc>
          <w:tcPr>
            <w:tcW w:w="1460" w:type="dxa"/>
            <w:vAlign w:val="bottom"/>
            <w:gridSpan w:val="6"/>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87"/>
              </w:rPr>
              <w:t>3.2</w:t>
            </w: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89"/>
              </w:rPr>
              <w:t>11/8/2013</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4.3</w:t>
            </w:r>
          </w:p>
        </w:tc>
        <w:tc>
          <w:tcPr>
            <w:tcW w:w="2560" w:type="dxa"/>
            <w:vAlign w:val="bottom"/>
            <w:tcBorders>
              <w:bottom w:val="single" w:sz="8" w:color="0000FF"/>
            </w:tcBorders>
            <w:gridSpan w:val="4"/>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Form of Common Stock Certificate</w:t>
              </w:r>
            </w:hyperlink>
          </w:p>
        </w:tc>
        <w:tc>
          <w:tcPr>
            <w:tcW w:w="2780" w:type="dxa"/>
            <w:vAlign w:val="bottom"/>
            <w:gridSpan w:val="7"/>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333-191282</w:t>
            </w: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87"/>
              </w:rPr>
              <w:t>4.1</w:t>
            </w: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0"/>
              </w:rPr>
              <w:t>10/15/2013</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5.1</w:t>
            </w:r>
          </w:p>
        </w:tc>
        <w:tc>
          <w:tcPr>
            <w:tcW w:w="5340" w:type="dxa"/>
            <w:vAlign w:val="bottom"/>
            <w:gridSpan w:val="11"/>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Opinion of Fenwick &amp; West, LLP</w:t>
              </w:r>
            </w:hyperlink>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23.1</w:t>
            </w:r>
          </w:p>
        </w:tc>
        <w:tc>
          <w:tcPr>
            <w:tcW w:w="5340" w:type="dxa"/>
            <w:vAlign w:val="bottom"/>
            <w:gridSpan w:val="11"/>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Consent of independent registered public accounting firm</w:t>
              </w:r>
            </w:hyperlink>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23.2</w:t>
            </w:r>
          </w:p>
        </w:tc>
        <w:tc>
          <w:tcPr>
            <w:tcW w:w="4260" w:type="dxa"/>
            <w:vAlign w:val="bottom"/>
            <w:tcBorders>
              <w:bottom w:val="single" w:sz="8" w:color="0000FF"/>
            </w:tcBorders>
            <w:gridSpan w:val="8"/>
          </w:tcPr>
          <w:p>
            <w:pPr>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Consent of Fenwick &amp; West LLP (included in Exhibit 5.1).</w:t>
              </w:r>
            </w:hyperlink>
          </w:p>
        </w:tc>
        <w:tc>
          <w:tcPr>
            <w:tcW w:w="1080" w:type="dxa"/>
            <w:vAlign w:val="bottom"/>
            <w:gridSpan w:val="3"/>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24.1</w:t>
            </w:r>
          </w:p>
        </w:tc>
        <w:tc>
          <w:tcPr>
            <w:tcW w:w="40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Power of Attorney (contained on signature page hereto).</w:t>
              </w:r>
            </w:hyperlink>
          </w:p>
        </w:tc>
        <w:tc>
          <w:tcPr>
            <w:tcW w:w="1280" w:type="dxa"/>
            <w:vAlign w:val="bottom"/>
            <w:gridSpan w:val="5"/>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99.1</w:t>
            </w:r>
          </w:p>
        </w:tc>
        <w:tc>
          <w:tcPr>
            <w:tcW w:w="5260" w:type="dxa"/>
            <w:vAlign w:val="bottom"/>
            <w:tcBorders>
              <w:bottom w:val="single" w:sz="8" w:color="0000FF"/>
            </w:tcBorders>
            <w:gridSpan w:val="10"/>
          </w:tcPr>
          <w:p>
            <w:pPr>
              <w:spacing w:after="0"/>
              <w:rPr>
                <w:rFonts w:ascii="Arial" w:cs="Arial" w:eastAsia="Arial" w:hAnsi="Arial"/>
                <w:sz w:val="18"/>
                <w:szCs w:val="18"/>
                <w:color w:val="0000FF"/>
                <w:w w:val="89"/>
              </w:rPr>
            </w:pPr>
            <w:hyperlink r:id="rId15">
              <w:r>
                <w:rPr>
                  <w:rFonts w:ascii="Arial" w:cs="Arial" w:eastAsia="Arial" w:hAnsi="Arial"/>
                  <w:sz w:val="18"/>
                  <w:szCs w:val="18"/>
                  <w:color w:val="0000FF"/>
                  <w:w w:val="89"/>
                </w:rPr>
                <w:t>2013 Stock Incentive Plan, as amended, and forms of stock option award</w:t>
              </w:r>
            </w:hyperlink>
          </w:p>
        </w:tc>
        <w:tc>
          <w:tcPr>
            <w:tcW w:w="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2"/>
              </w:rPr>
              <w:t>2/27/2018</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5140" w:type="dxa"/>
            <w:vAlign w:val="bottom"/>
            <w:tcBorders>
              <w:bottom w:val="single" w:sz="8" w:color="0000FF"/>
            </w:tcBorders>
            <w:gridSpan w:val="9"/>
          </w:tcPr>
          <w:p>
            <w:pPr>
              <w:spacing w:after="0" w:line="196" w:lineRule="exact"/>
              <w:rPr>
                <w:rFonts w:ascii="Arial" w:cs="Arial" w:eastAsia="Arial" w:hAnsi="Arial"/>
                <w:sz w:val="18"/>
                <w:szCs w:val="18"/>
                <w:color w:val="0000FF"/>
                <w:w w:val="88"/>
              </w:rPr>
            </w:pPr>
            <w:hyperlink r:id="rId15">
              <w:r>
                <w:rPr>
                  <w:rFonts w:ascii="Arial" w:cs="Arial" w:eastAsia="Arial" w:hAnsi="Arial"/>
                  <w:sz w:val="18"/>
                  <w:szCs w:val="18"/>
                  <w:color w:val="0000FF"/>
                  <w:w w:val="88"/>
                </w:rPr>
                <w:t>agreement, stock option exercise agreement, restricted stock agreement</w:t>
              </w:r>
            </w:hyperlink>
          </w:p>
        </w:tc>
        <w:tc>
          <w:tcPr>
            <w:tcW w:w="20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5340" w:type="dxa"/>
            <w:vAlign w:val="bottom"/>
            <w:gridSpan w:val="11"/>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and restricted stock unit agreement.</w:t>
              </w:r>
            </w:hyperlink>
          </w:p>
        </w:tc>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700" w:hanging="260"/>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25" w:lineRule="exact"/>
        <w:rPr>
          <w:sz w:val="20"/>
          <w:szCs w:val="20"/>
          <w:color w:val="auto"/>
        </w:rPr>
      </w:pPr>
    </w:p>
    <w:p>
      <w:pPr>
        <w:jc w:val="both"/>
        <w:ind w:firstLine="440"/>
        <w:spacing w:after="0" w:line="273" w:lineRule="auto"/>
        <w:tabs>
          <w:tab w:leader="none" w:pos="723"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firstLine="440"/>
        <w:spacing w:after="0" w:line="277" w:lineRule="auto"/>
        <w:tabs>
          <w:tab w:leader="none" w:pos="756"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provided, however, 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81" w:lineRule="exact"/>
        <w:rPr>
          <w:sz w:val="20"/>
          <w:szCs w:val="20"/>
          <w:color w:val="auto"/>
        </w:rPr>
      </w:pPr>
    </w:p>
    <w:p>
      <w:pPr>
        <w:jc w:val="both"/>
        <w:ind w:firstLine="440"/>
        <w:spacing w:after="0" w:line="264" w:lineRule="auto"/>
        <w:tabs>
          <w:tab w:leader="none" w:pos="7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440"/>
        <w:spacing w:after="0" w:line="277" w:lineRule="auto"/>
        <w:tabs>
          <w:tab w:leader="none" w:pos="69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jc w:val="both"/>
        <w:ind w:firstLine="440"/>
        <w:spacing w:after="0" w:line="264" w:lineRule="auto"/>
        <w:tabs>
          <w:tab w:leader="none" w:pos="69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w:t>
      </w:r>
    </w:p>
    <w:p>
      <w:pPr>
        <w:sectPr>
          <w:pgSz w:w="11900" w:h="16838" w:orient="portrait"/>
          <w:cols w:equalWidth="0" w:num="1">
            <w:col w:w="11420"/>
          </w:cols>
          <w:pgMar w:left="240" w:top="931" w:right="2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0" w:lineRule="exact"/>
        <w:rPr>
          <w:sz w:val="20"/>
          <w:szCs w:val="20"/>
          <w:color w:val="auto"/>
        </w:rPr>
      </w:pPr>
    </w:p>
    <w:p>
      <w:pPr>
        <w:jc w:val="both"/>
        <w:ind w:firstLine="440"/>
        <w:spacing w:after="0" w:line="291" w:lineRule="auto"/>
        <w:tabs>
          <w:tab w:leader="none" w:pos="703"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1420"/>
          </w:cols>
          <w:pgMar w:left="240" w:top="77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the 25th day of February, 2020.</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VERACYTE, INC.</w:t>
      </w:r>
    </w:p>
    <w:p>
      <w:pPr>
        <w:spacing w:after="0" w:line="63" w:lineRule="exact"/>
        <w:rPr>
          <w:sz w:val="20"/>
          <w:szCs w:val="20"/>
          <w:color w:val="auto"/>
        </w:rPr>
      </w:pPr>
    </w:p>
    <w:p>
      <w:pPr>
        <w:ind w:left="606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31750</wp:posOffset>
            </wp:positionV>
            <wp:extent cx="3027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Bonnie H. Anderson and Keith Kennedy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7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4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5"/>
              </w:rPr>
              <w:t>/s/ BONNIE H. ANDERSON</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w w:val="99"/>
              </w:rPr>
              <w:t>Chairman and Chief Executive Officer (Principal Executive Officer)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2020</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1"/>
              </w:rPr>
              <w:t>Bonnie H. Anderson</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9"/>
              </w:rPr>
              <w:t>/s/ KEITH KENNEDY</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Chief Financial Officer and Chief Operating Officer (Principal</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2020</w:t>
            </w:r>
          </w:p>
        </w:tc>
        <w:tc>
          <w:tcPr>
            <w:tcW w:w="0" w:type="dxa"/>
            <w:vAlign w:val="bottom"/>
          </w:tcPr>
          <w:p>
            <w:pPr>
              <w:spacing w:after="0"/>
              <w:rPr>
                <w:sz w:val="1"/>
                <w:szCs w:val="1"/>
                <w:color w:val="auto"/>
              </w:rPr>
            </w:pPr>
          </w:p>
        </w:tc>
      </w:tr>
      <w:tr>
        <w:trPr>
          <w:trHeight w:val="41"/>
        </w:trPr>
        <w:tc>
          <w:tcPr>
            <w:tcW w:w="14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5520" w:type="dxa"/>
            <w:vAlign w:val="bottom"/>
            <w:gridSpan w:val="3"/>
            <w:vMerge w:val="restart"/>
          </w:tcPr>
          <w:p>
            <w:pPr>
              <w:ind w:left="260"/>
              <w:spacing w:after="0"/>
              <w:rPr>
                <w:sz w:val="20"/>
                <w:szCs w:val="20"/>
                <w:color w:val="auto"/>
              </w:rPr>
            </w:pPr>
            <w:r>
              <w:rPr>
                <w:rFonts w:ascii="Arial" w:cs="Arial" w:eastAsia="Arial" w:hAnsi="Arial"/>
                <w:sz w:val="18"/>
                <w:szCs w:val="18"/>
                <w:color w:val="auto"/>
              </w:rPr>
              <w:t>Financial Officer)</w:t>
            </w: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6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Keith Kennedy</w:t>
            </w:r>
          </w:p>
        </w:tc>
        <w:tc>
          <w:tcPr>
            <w:tcW w:w="552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660" w:type="dxa"/>
            <w:vAlign w:val="bottom"/>
            <w:gridSpan w:val="3"/>
            <w:vMerge w:val="continue"/>
          </w:tcPr>
          <w:p>
            <w:pPr>
              <w:spacing w:after="0"/>
              <w:rPr>
                <w:sz w:val="5"/>
                <w:szCs w:val="5"/>
                <w:color w:val="auto"/>
              </w:rPr>
            </w:pPr>
          </w:p>
        </w:tc>
        <w:tc>
          <w:tcPr>
            <w:tcW w:w="2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8"/>
              </w:rPr>
              <w:t>/s/ MARK HO</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Vice President, Controller (Principal Accounting Officer)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2020</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2200" w:type="dxa"/>
            <w:vAlign w:val="bottom"/>
            <w:gridSpan w:val="2"/>
          </w:tcPr>
          <w:p>
            <w:pPr>
              <w:jc w:val="center"/>
              <w:ind w:right="1440"/>
              <w:spacing w:after="0"/>
              <w:rPr>
                <w:sz w:val="20"/>
                <w:szCs w:val="20"/>
                <w:color w:val="auto"/>
              </w:rPr>
            </w:pPr>
            <w:r>
              <w:rPr>
                <w:rFonts w:ascii="Arial" w:cs="Arial" w:eastAsia="Arial" w:hAnsi="Arial"/>
                <w:sz w:val="18"/>
                <w:szCs w:val="18"/>
                <w:color w:val="auto"/>
                <w:w w:val="94"/>
              </w:rPr>
              <w:t>Mark Ho</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3"/>
              </w:rPr>
              <w:t>/s/ JOHN L. BISHOP</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Lead Independent 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2020</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0"/>
              </w:rPr>
              <w:t>John L. Bishop</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5"/>
              </w:rPr>
              <w:t>/s/ FRED E. COHEN, M.D., D.PHIL.</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2020</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Fred E. Cohen, M.D., D.Phil.</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9"/>
              </w:rPr>
              <w:t>/s/ KARIN EASTHAM</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2020</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1"/>
              </w:rPr>
              <w:t>Karin Eastham</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/s/ ROBERT S. EPSTEIN</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2020</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0"/>
              </w:rPr>
              <w:t>Robert S. Epstein</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6"/>
              </w:rPr>
              <w:t>/s/ KEVIN K. GORDON</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2020</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3"/>
              </w:rPr>
              <w:t>Kevin K. Gordon</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/s/ EVAN JONES</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2020</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5"/>
              </w:rPr>
              <w:t>Evan Jones</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5"/>
              </w:rPr>
              <w:t>/s/ TINA S. NOVA, PH.D.</w:t>
            </w:r>
          </w:p>
        </w:tc>
        <w:tc>
          <w:tcPr>
            <w:tcW w:w="552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February 25, 2020</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0"/>
              </w:rPr>
              <w:t>Tina S. Nova, Ph.D.</w:t>
            </w:r>
          </w:p>
        </w:tc>
        <w:tc>
          <w:tcPr>
            <w:tcW w:w="2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1546860</wp:posOffset>
            </wp:positionH>
            <wp:positionV relativeFrom="page">
              <wp:posOffset>835025</wp:posOffset>
            </wp:positionV>
            <wp:extent cx="4467860" cy="1046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446786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February 25, 2020</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EXHIBIT 5.1</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Veracyte,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6000 Shoreline Court, Suite 300</w:t>
      </w:r>
    </w:p>
    <w:p>
      <w:pPr>
        <w:spacing w:after="0"/>
        <w:rPr>
          <w:sz w:val="20"/>
          <w:szCs w:val="20"/>
          <w:color w:val="auto"/>
        </w:rPr>
      </w:pPr>
      <w:r>
        <w:rPr>
          <w:rFonts w:ascii="Arial" w:cs="Arial" w:eastAsia="Arial" w:hAnsi="Arial"/>
          <w:sz w:val="20"/>
          <w:szCs w:val="20"/>
          <w:color w:val="auto"/>
        </w:rPr>
        <w:t>South San Francisco, California 94080</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At your request, as your counsel, we have examined the Registration Statement on Form S-8 (the “</w:t>
      </w:r>
      <w:r>
        <w:rPr>
          <w:rFonts w:ascii="Arial" w:cs="Arial" w:eastAsia="Arial" w:hAnsi="Arial"/>
          <w:sz w:val="20"/>
          <w:szCs w:val="20"/>
          <w:b w:val="1"/>
          <w:bCs w:val="1"/>
          <w:i w:val="1"/>
          <w:iCs w:val="1"/>
          <w:color w:val="auto"/>
        </w:rPr>
        <w:t>Registration Statement</w:t>
      </w:r>
      <w:r>
        <w:rPr>
          <w:rFonts w:ascii="Arial" w:cs="Arial" w:eastAsia="Arial" w:hAnsi="Arial"/>
          <w:sz w:val="20"/>
          <w:szCs w:val="20"/>
          <w:color w:val="auto"/>
        </w:rPr>
        <w:t>”) to be filed by Veracyte,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with the Securities and Exchange Commission (the “</w:t>
      </w:r>
      <w:r>
        <w:rPr>
          <w:rFonts w:ascii="Arial" w:cs="Arial" w:eastAsia="Arial" w:hAnsi="Arial"/>
          <w:sz w:val="20"/>
          <w:szCs w:val="20"/>
          <w:b w:val="1"/>
          <w:bCs w:val="1"/>
          <w:i w:val="1"/>
          <w:iCs w:val="1"/>
          <w:color w:val="auto"/>
        </w:rPr>
        <w:t>Commission</w:t>
      </w:r>
      <w:r>
        <w:rPr>
          <w:rFonts w:ascii="Arial" w:cs="Arial" w:eastAsia="Arial" w:hAnsi="Arial"/>
          <w:sz w:val="20"/>
          <w:szCs w:val="20"/>
          <w:color w:val="auto"/>
        </w:rPr>
        <w:t>”) on or about February 25, 2020 in connection with the registration under the Securities Act of 1933, as amended (the “</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of the issuance of an aggregate of 1,985,013 shares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of the Company’s Common Stock, $0.001 par value per share (the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subject to issuance by the Company upon the exercise or settlement of awards granted or to be granted under the Company’s 2013 Stock Incentive Plan, as amended (the “</w:t>
      </w:r>
      <w:r>
        <w:rPr>
          <w:rFonts w:ascii="Arial" w:cs="Arial" w:eastAsia="Arial" w:hAnsi="Arial"/>
          <w:sz w:val="20"/>
          <w:szCs w:val="20"/>
          <w:b w:val="1"/>
          <w:bCs w:val="1"/>
          <w:i w:val="1"/>
          <w:iCs w:val="1"/>
          <w:color w:val="auto"/>
        </w:rPr>
        <w:t>2013 Plan</w:t>
      </w:r>
      <w:r>
        <w:rPr>
          <w:rFonts w:ascii="Arial" w:cs="Arial" w:eastAsia="Arial" w:hAnsi="Arial"/>
          <w:sz w:val="20"/>
          <w:szCs w:val="20"/>
          <w:color w:val="auto"/>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 your request we are providing this letter to express our opinion on the matters set forth below in this letter (“</w:t>
      </w:r>
      <w:r>
        <w:rPr>
          <w:rFonts w:ascii="Arial" w:cs="Arial" w:eastAsia="Arial" w:hAnsi="Arial"/>
          <w:sz w:val="19"/>
          <w:szCs w:val="19"/>
          <w:b w:val="1"/>
          <w:bCs w:val="1"/>
          <w:i w:val="1"/>
          <w:iCs w:val="1"/>
          <w:color w:val="auto"/>
        </w:rPr>
        <w:t>our opinion</w:t>
      </w:r>
      <w:r>
        <w:rPr>
          <w:rFonts w:ascii="Arial" w:cs="Arial" w:eastAsia="Arial" w:hAnsi="Arial"/>
          <w:sz w:val="19"/>
          <w:szCs w:val="19"/>
          <w:color w:val="auto"/>
        </w:rPr>
        <w:t>”).</w:t>
      </w:r>
    </w:p>
    <w:p>
      <w:pPr>
        <w:spacing w:after="0" w:line="22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In connection with our opinion, we have examined such matters of fact as we have deemed necessary, which included examination of originals or copies of: the Company’s current Certificate of Incorporation and Bylaws, as amended (collectively, the “</w:t>
      </w:r>
      <w:r>
        <w:rPr>
          <w:rFonts w:ascii="Arial" w:cs="Arial" w:eastAsia="Arial" w:hAnsi="Arial"/>
          <w:sz w:val="20"/>
          <w:szCs w:val="20"/>
          <w:b w:val="1"/>
          <w:bCs w:val="1"/>
          <w:i w:val="1"/>
          <w:iCs w:val="1"/>
          <w:color w:val="auto"/>
        </w:rPr>
        <w:t>Charter Documents</w:t>
      </w:r>
      <w:r>
        <w:rPr>
          <w:rFonts w:ascii="Arial" w:cs="Arial" w:eastAsia="Arial" w:hAnsi="Arial"/>
          <w:sz w:val="20"/>
          <w:szCs w:val="20"/>
          <w:color w:val="auto"/>
        </w:rPr>
        <w:t>”), the 2013 Plan, the Registration Statement and the exhibits thereto; certain corporate proceedings of the Company’s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and the Company’s stockholders relating to adoption or approval of the Charter Documents, the 2013 Plan, the reservation of the Shares for sale and issuance, the filing of the Registration Statement and the registration of the issuance of the Shares under the Securities Act and documents (including a certificate from the Company’s transfer agent) regarding the Company’s outstanding and reserved capital stock and other securities and such other documents as we have deemed advisable, and we have examined such questions of law as we have considered necessary.</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our examination of documents for purposes of this opinion, we have assumed, and express no opinion as to, the authenticity and completeness of all documents submitted to us as originals, the genuineness of signatures on documents reviewed by us, the conformity to originals and the completeness of all documents submitted to us as copies, the legal capacity of all parties executing any documents (other than the Company), the lack of any undisclosed termination or modification or waiver of any document, the absence of any extrinsic agreements or documents that might change or affect the interpretation or terms of documents, and the due authorization, execution and delivery of all documents by each party thereto other than the Company. We have also assumed that any certificates or instruments representing the Shares, if and when issued, will</w:t>
      </w:r>
    </w:p>
    <w:p>
      <w:pPr>
        <w:sectPr>
          <w:pgSz w:w="11900" w:h="16838" w:orient="portrait"/>
          <w:cols w:equalWidth="0" w:num="1">
            <w:col w:w="11420"/>
          </w:cols>
          <w:pgMar w:left="240" w:top="1440" w:right="239" w:bottom="1440" w:gutter="0" w:footer="0" w:header="0"/>
        </w:sectPr>
      </w:pPr>
    </w:p>
    <w:bookmarkStart w:id="7" w:name="page8"/>
    <w:bookmarkEnd w:id="7"/>
    <w:p>
      <w:pPr>
        <w:jc w:val="both"/>
        <w:spacing w:after="0" w:line="243" w:lineRule="auto"/>
        <w:rPr>
          <w:sz w:val="20"/>
          <w:szCs w:val="20"/>
          <w:color w:val="auto"/>
        </w:rPr>
      </w:pPr>
      <w:r>
        <w:rPr>
          <w:rFonts w:ascii="Arial" w:cs="Arial" w:eastAsia="Arial" w:hAnsi="Arial"/>
          <w:sz w:val="20"/>
          <w:szCs w:val="20"/>
          <w:color w:val="auto"/>
        </w:rPr>
        <w:t>be executed by the Company by officers of the Company duly authorized to do so. In rendering our opinion, we have also relied upon a Certificate of Good Standing dated February [ ], 2020 issued by the Delaware Secretary of State with respect to the Company and representations and certifications made to us by the Company, including without limitation representations in a Management Certificate addressed to us of even date herewith that the Company has available a sufficient number of authorized shares of Common Stock that are not currently outstanding or reserved for issuance under other outstanding securities or plans of the Company, to enable the Company to issue and deliver all of the Shares as of the date of this letter.</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We render this opinion only with respect to, and we express no opinion herein concerning the application or effect of the laws of any jurisdiction other than, the existing Delaware General Corporation Law now in effect. We express no opinion with respect to the securities or “blue sky” laws of any state.</w:t>
      </w:r>
    </w:p>
    <w:p>
      <w:pPr>
        <w:spacing w:after="0" w:line="19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Based upon, and subject to, the foregoing, it is our opinion that when the 1,985,013 Shares of Common Stock that may be issued and sold by the Company upon the exercise or settlement of awards granted or to be granted under the 2013 Plan, have been issued and sold by the Company against the Company’s receipt of payment therefor (in an amount and type of consideration not less than the par value per Share) in accordance with the terms (including without limitation payment and authorization provisions) of the 2013 Plan and have been duly registered on the books of the transfer agent and registrar for the Shares in the name or on behalf of the holders thereof, such Shares will be validly issued, fully paid and non-assessable.</w:t>
      </w:r>
    </w:p>
    <w:p>
      <w:pPr>
        <w:spacing w:after="0" w:line="194" w:lineRule="exact"/>
        <w:rPr>
          <w:sz w:val="20"/>
          <w:szCs w:val="20"/>
          <w:color w:val="auto"/>
        </w:rPr>
      </w:pPr>
    </w:p>
    <w:p>
      <w:pPr>
        <w:jc w:val="both"/>
        <w:ind w:firstLine="662"/>
        <w:spacing w:after="0" w:line="305"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all references to us, if any, in the Registration Statement, the prospectuses constituting a part thereof and any amendments thereto. We do not thereby admit that we are within the category of persons whose consent is required under Section 7 of the Securities Act or the rules and regulations of the Commission thereunder</w:t>
      </w:r>
      <w:r>
        <w:rPr>
          <w:rFonts w:ascii="Arial" w:cs="Arial" w:eastAsia="Arial" w:hAnsi="Arial"/>
          <w:sz w:val="16"/>
          <w:szCs w:val="16"/>
          <w:color w:val="auto"/>
        </w:rPr>
        <w:t>.</w:t>
      </w:r>
      <w:r>
        <w:rPr>
          <w:rFonts w:ascii="Arial" w:cs="Arial" w:eastAsia="Arial" w:hAnsi="Arial"/>
          <w:sz w:val="18"/>
          <w:szCs w:val="18"/>
          <w:color w:val="auto"/>
        </w:rPr>
        <w:t xml:space="preserve"> This opinion is intended solely for use in connection with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Very truly yours,</w:t>
      </w:r>
    </w:p>
    <w:p>
      <w:pPr>
        <w:spacing w:after="0" w:line="383"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FENWICK &amp; WEST LLP</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14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17068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ectPr>
          <w:pgSz w:w="11900" w:h="16838" w:orient="portrait"/>
          <w:cols w:equalWidth="0" w:num="1">
            <w:col w:w="11420"/>
          </w:cols>
          <w:pgMar w:left="240" w:top="852"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2013 Stock Incentive Plan of Veracyte, Inc. of our reports dated February 25, 2020, with respect to the consolidated financial statements of Veracyte, Inc. and the effectiveness of internal control over financial reporting of Veracyte, Inc. included in its Annual Report (Form 10-K) for the year ended December 31, 2019, filed with the Securities and Exchange Commission.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Roman"/>
      <w:start w:val="2"/>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jpeg"/><Relationship Id="rId18" Type="http://schemas.openxmlformats.org/officeDocument/2006/relationships/image" Target="media/image5.png"/><Relationship Id="rId10" Type="http://schemas.openxmlformats.org/officeDocument/2006/relationships/hyperlink" Target="http://www.sec.gov/Archives/edgar/data/1384101/000138410120000015/vcyt-12312019x10k.htm" TargetMode="External"/><Relationship Id="rId11" Type="http://schemas.openxmlformats.org/officeDocument/2006/relationships/hyperlink" Target="http://www.sec.gov/Archives/edgar/data/1384101/000110465913078343/a13-16266_158a12b.htm" TargetMode="External"/><Relationship Id="rId12" Type="http://schemas.openxmlformats.org/officeDocument/2006/relationships/hyperlink" Target="http://www.sec.gov/Archives/edgar/data/1384101/000110465913082910/a13-23874_1ex3d1.htm" TargetMode="External"/><Relationship Id="rId13" Type="http://schemas.openxmlformats.org/officeDocument/2006/relationships/hyperlink" Target="http://www.sec.gov/Archives/edgar/data/1384101/000110465913082910/a13-23874_1ex3d2.htm" TargetMode="External"/><Relationship Id="rId14" Type="http://schemas.openxmlformats.org/officeDocument/2006/relationships/hyperlink" Target="http://www.sec.gov/Archives/edgar/data/1384101/000104746913009631/a2216954zex-4_1.htm" TargetMode="External"/><Relationship Id="rId15" Type="http://schemas.openxmlformats.org/officeDocument/2006/relationships/hyperlink" Target="http://www.sec.gov/Archives/edgar/data/1384101/000138410118000006/vcyt-12312017x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2020-02-25T17:24:41Z</dcterms:created>
  <dcterms:modified xsi:type="dcterms:W3CDTF">2020-02-25T17:24:41Z</dcterms:modified>
</cp:coreProperties>
</file>