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18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-167640</wp:posOffset>
            </wp:positionV>
            <wp:extent cx="8255" cy="8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36"/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5354320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4036060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-588645</wp:posOffset>
            </wp:positionV>
            <wp:extent cx="1277620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-1572260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Kennedy Giulia C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07/31/2020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&amp; Med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266065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20.21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100,487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35.3347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4"/>
                <w:vertAlign w:val="superscript"/>
              </w:rPr>
              <w:t>(2)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80,487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20.21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02/27/2029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20,000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June 12, 2020.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$35.21 to $35.78.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220" w:firstLine="2"/>
        <w:spacing w:after="0" w:line="248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as to 25% of the shares on February 28, 2020, and the remaining shares vest at a rate of 1/48th of the total number of shares subject to the award for each month of continuous service thereafter.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1"/>
          <w:szCs w:val="31"/>
          <w:color w:val="0000FF"/>
          <w:vertAlign w:val="subscript"/>
        </w:rPr>
        <w:t>08/04/2020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69333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2020-08-04T19:06:36Z</dcterms:created>
  <dcterms:modified xsi:type="dcterms:W3CDTF">2020-08-04T19:06:36Z</dcterms:modified>
</cp:coreProperties>
</file>