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2"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73"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3"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2"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18"/>
          <w:szCs w:val="18"/>
          <w:color w:val="auto"/>
        </w:rPr>
        <w:t>Date of Report (Date of earliest event reported): October 16, 2017</w:t>
      </w:r>
    </w:p>
    <w:p>
      <w:pPr>
        <w:spacing w:after="0" w:line="253"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36"/>
          <w:szCs w:val="36"/>
          <w:b w:val="1"/>
          <w:bCs w:val="1"/>
          <w:color w:val="auto"/>
        </w:rPr>
        <w:t>VERACYTE, INC.</w:t>
      </w:r>
    </w:p>
    <w:p>
      <w:pPr>
        <w:spacing w:after="0" w:line="43"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19"/>
          <w:szCs w:val="19"/>
          <w:color w:val="auto"/>
        </w:rPr>
        <w:t>(Exact name of registrant as specified in its charter)</w:t>
      </w:r>
    </w:p>
    <w:p>
      <w:pPr>
        <w:spacing w:after="0" w:line="360" w:lineRule="exact"/>
        <w:rPr>
          <w:sz w:val="24"/>
          <w:szCs w:val="24"/>
          <w:color w:val="auto"/>
        </w:rPr>
      </w:pPr>
    </w:p>
    <w:tbl>
      <w:tblPr>
        <w:tblLayout w:type="fixed"/>
        <w:tblInd w:w="131" w:type="dxa"/>
        <w:tblCellMar>
          <w:top w:w="0" w:type="dxa"/>
          <w:left w:w="0" w:type="dxa"/>
          <w:bottom w:w="0" w:type="dxa"/>
          <w:right w:w="0" w:type="dxa"/>
        </w:tblCellMar>
      </w:tblPr>
      <w:tr>
        <w:trPr>
          <w:trHeight w:val="238"/>
        </w:trPr>
        <w:tc>
          <w:tcPr>
            <w:tcW w:w="438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00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306"/>
        </w:trPr>
        <w:tc>
          <w:tcPr>
            <w:tcW w:w="438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438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incorporation)</w:t>
            </w:r>
          </w:p>
        </w:tc>
        <w:tc>
          <w:tcPr>
            <w:tcW w:w="3000" w:type="dxa"/>
            <w:vAlign w:val="bottom"/>
          </w:tcPr>
          <w:p>
            <w:pPr>
              <w:spacing w:after="0"/>
              <w:rPr>
                <w:sz w:val="20"/>
                <w:szCs w:val="20"/>
                <w:color w:val="auto"/>
              </w:rPr>
            </w:pP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No.)</w:t>
            </w:r>
          </w:p>
        </w:tc>
      </w:tr>
      <w:tr>
        <w:trPr>
          <w:trHeight w:val="626"/>
        </w:trPr>
        <w:tc>
          <w:tcPr>
            <w:tcW w:w="4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6000 Shoreline Court, Suite 300, South San Francisco,</w:t>
            </w:r>
          </w:p>
        </w:tc>
        <w:tc>
          <w:tcPr>
            <w:tcW w:w="3000" w:type="dxa"/>
            <w:vAlign w:val="bottom"/>
          </w:tcPr>
          <w:p>
            <w:pPr>
              <w:spacing w:after="0"/>
              <w:rPr>
                <w:sz w:val="24"/>
                <w:szCs w:val="24"/>
                <w:color w:val="auto"/>
              </w:rPr>
            </w:pPr>
          </w:p>
        </w:tc>
        <w:tc>
          <w:tcPr>
            <w:tcW w:w="304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38"/>
        </w:trPr>
        <w:tc>
          <w:tcPr>
            <w:tcW w:w="4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0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97"/>
        </w:trPr>
        <w:tc>
          <w:tcPr>
            <w:tcW w:w="4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4"/>
                <w:szCs w:val="24"/>
                <w:color w:val="auto"/>
              </w:rPr>
            </w:pPr>
          </w:p>
        </w:tc>
        <w:tc>
          <w:tcPr>
            <w:tcW w:w="30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225"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29"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84" w:lineRule="exact"/>
        <w:rPr>
          <w:sz w:val="24"/>
          <w:szCs w:val="24"/>
          <w:color w:val="auto"/>
        </w:rPr>
      </w:pPr>
    </w:p>
    <w:p>
      <w:pPr>
        <w:ind w:left="51" w:right="360"/>
        <w:spacing w:after="0" w:line="281"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631" w:hanging="631"/>
        <w:spacing w:after="0"/>
        <w:tabs>
          <w:tab w:leader="none" w:pos="631"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88" w:lineRule="exact"/>
        <w:rPr>
          <w:rFonts w:ascii="Times New Roman" w:cs="Times New Roman" w:eastAsia="Times New Roman" w:hAnsi="Times New Roman"/>
          <w:sz w:val="17"/>
          <w:szCs w:val="17"/>
          <w:color w:val="auto"/>
        </w:rPr>
      </w:pPr>
    </w:p>
    <w:p>
      <w:pPr>
        <w:ind w:left="631" w:hanging="631"/>
        <w:spacing w:after="0"/>
        <w:tabs>
          <w:tab w:leader="none" w:pos="631"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88" w:lineRule="exact"/>
        <w:rPr>
          <w:rFonts w:ascii="Times New Roman" w:cs="Times New Roman" w:eastAsia="Times New Roman" w:hAnsi="Times New Roman"/>
          <w:sz w:val="17"/>
          <w:szCs w:val="17"/>
          <w:color w:val="auto"/>
        </w:rPr>
      </w:pPr>
    </w:p>
    <w:p>
      <w:pPr>
        <w:ind w:left="631" w:hanging="631"/>
        <w:spacing w:after="0"/>
        <w:tabs>
          <w:tab w:leader="none" w:pos="631"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88" w:lineRule="exact"/>
        <w:rPr>
          <w:rFonts w:ascii="Times New Roman" w:cs="Times New Roman" w:eastAsia="Times New Roman" w:hAnsi="Times New Roman"/>
          <w:sz w:val="17"/>
          <w:szCs w:val="17"/>
          <w:color w:val="auto"/>
        </w:rPr>
      </w:pPr>
    </w:p>
    <w:p>
      <w:pPr>
        <w:ind w:left="631" w:hanging="631"/>
        <w:spacing w:after="0"/>
        <w:tabs>
          <w:tab w:leader="none" w:pos="631"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243" w:lineRule="exact"/>
        <w:rPr>
          <w:sz w:val="24"/>
          <w:szCs w:val="24"/>
          <w:color w:val="auto"/>
        </w:rPr>
      </w:pPr>
    </w:p>
    <w:p>
      <w:pPr>
        <w:ind w:left="71" w:right="12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ind w:left="71"/>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63" w:lineRule="exact"/>
        <w:rPr>
          <w:sz w:val="24"/>
          <w:szCs w:val="24"/>
          <w:color w:val="auto"/>
        </w:rPr>
      </w:pPr>
    </w:p>
    <w:p>
      <w:pPr>
        <w:ind w:left="71"/>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187325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350520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31"/>
          </w:cols>
          <w:pgMar w:left="329" w:top="1418"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October 16, 2017, Veracyte, Inc. (the “Company”) and Thyroid Cytopathology Partners, P.A., a Texas professional corporation (“TCP”) entered into an Amended and Restated Pathology Services Agreement (the “Amended Agreement”). The Amended Agreement replaces in full that certain Pathology Services Agreement dated November 12, 2010 between the Company and TCP’s predecessors in interest, Brazos Valley Pathology, P.A. d/b/a Reitpath, as amended by the First Amendment, Second Amendment and Third Amendment (as amended, the “Original Agreement”). Pursuant to the Amended Agreement, TCP has the exclusive right to provide the Company with cytopathology professional services on thyroid FNA samples in the United States at a fixed price per test. The Amended Agreement also provides that TCP may co-locate in a portion of the Company’s facilities in Austin, Texas, and TCP has agreed to reimburse the Company for a proportionate share of the Company's rent and related operating expense costs. TCP can terminate the Amended Agreement, among other reasons, upon the Company’s failure to pay any amounts due under the contract, and either the Company or TCP can terminate the Amended Agreement, among other reasons, upon the insolvency of the other party, breach of the agreement by the other party, termination or breach of the service terms or the suspension or termination of the necessary regulatory licenses and approvals needed to perform the FNA services.</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Amended Agreement is effective until October 31, 2022, and thereafter automatically renews every year unless either party provides notice of intent not to renew at least twelve months prior to the end of the then-current term.</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Amended Agreement does not purport to be complete and is qualified in its entirety by reference to such agreement, a copy of which the Company expects to file as an exhibit to the Company’s Annual Report on Form 10-K for the year ending December 31, 2017.</w:t>
      </w:r>
    </w:p>
    <w:p>
      <w:pPr>
        <w:sectPr>
          <w:pgSz w:w="11900" w:h="16838" w:orient="portrait"/>
          <w:cols w:equalWidth="0" w:num="1">
            <w:col w:w="11300"/>
          </w:cols>
          <w:pgMar w:left="240" w:top="576" w:right="3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37" w:lineRule="exact"/>
        <w:rPr>
          <w:sz w:val="20"/>
          <w:szCs w:val="20"/>
          <w:color w:val="auto"/>
        </w:rPr>
      </w:pPr>
    </w:p>
    <w:p>
      <w:pPr>
        <w:ind w:right="580" w:firstLine="5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0"/>
        <w:spacing w:after="0"/>
        <w:tabs>
          <w:tab w:leader="none" w:pos="10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October 20, 2017</w:t>
      </w:r>
    </w:p>
    <w:p>
      <w:pPr>
        <w:spacing w:after="0" w:line="38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VERACYTE, INC.</w:t>
      </w:r>
    </w:p>
    <w:p>
      <w:pPr>
        <w:spacing w:after="0" w:line="387" w:lineRule="exact"/>
        <w:rPr>
          <w:sz w:val="20"/>
          <w:szCs w:val="20"/>
          <w:color w:val="auto"/>
        </w:rPr>
      </w:pPr>
    </w:p>
    <w:tbl>
      <w:tblPr>
        <w:tblLayout w:type="fixed"/>
        <w:tblInd w:w="43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Keith S. Kennedy</w:t>
            </w:r>
          </w:p>
        </w:tc>
        <w:tc>
          <w:tcPr>
            <w:tcW w:w="0" w:type="dxa"/>
            <w:vAlign w:val="bottom"/>
          </w:tcPr>
          <w:p>
            <w:pPr>
              <w:spacing w:after="0"/>
              <w:rPr>
                <w:sz w:val="1"/>
                <w:szCs w:val="1"/>
                <w:color w:val="auto"/>
              </w:rPr>
            </w:pPr>
          </w:p>
        </w:tc>
      </w:tr>
      <w:tr>
        <w:trPr>
          <w:trHeight w:val="54"/>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6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Keith S. Kennedy</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60"/>
      </w:cols>
      <w:pgMar w:left="240" w:top="57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2019-12-07T05:14:38Z</dcterms:created>
  <dcterms:modified xsi:type="dcterms:W3CDTF">2019-12-07T05:14:38Z</dcterms:modified>
</cp:coreProperties>
</file>