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gridSpan w:val="2"/>
            <w:vMerge w:val="restart"/>
          </w:tcPr>
          <w:p>
            <w:pPr>
              <w:spacing w:after="0"/>
              <w:rPr>
                <w:rFonts w:ascii="Arial" w:cs="Arial" w:eastAsia="Arial" w:hAnsi="Arial"/>
                <w:sz w:val="22"/>
                <w:szCs w:val="22"/>
                <w:color w:val="0000EE"/>
                <w:w w:val="90"/>
              </w:rPr>
            </w:pPr>
            <w:hyperlink r:id="rId11">
              <w:r>
                <w:rPr>
                  <w:rFonts w:ascii="Arial" w:cs="Arial" w:eastAsia="Arial" w:hAnsi="Arial"/>
                  <w:sz w:val="22"/>
                  <w:szCs w:val="22"/>
                  <w:color w:val="0000EE"/>
                  <w:w w:val="90"/>
                </w:rPr>
                <w:t>TPG Group Holdings (SBS)</w:t>
              </w:r>
            </w:hyperlink>
          </w:p>
        </w:tc>
        <w:tc>
          <w:tcPr>
            <w:tcW w:w="760" w:type="dxa"/>
            <w:vAlign w:val="bottom"/>
            <w:vMerge w:val="restart"/>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tcBorders>
              <w:bottom w:val="single" w:sz="8" w:color="0000EE"/>
            </w:tcBorders>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3"/>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Advisors, Inc.</w:t>
              </w:r>
            </w:hyperlink>
          </w:p>
        </w:tc>
        <w:tc>
          <w:tcPr>
            <w:tcW w:w="1380" w:type="dxa"/>
            <w:vAlign w:val="bottom"/>
          </w:tcPr>
          <w:p>
            <w:pPr>
              <w:ind w:left="160"/>
              <w:spacing w:after="0"/>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C/O TPG GLOBAL, LLC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8"/>
              </w:rPr>
              <w:t>301 COMMERCE STREET, SUITE 3300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FORT</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WORTH</w:t>
            </w: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22"/>
        </w:trPr>
        <w:tc>
          <w:tcPr>
            <w:tcW w:w="1660" w:type="dxa"/>
            <w:vAlign w:val="bottom"/>
          </w:tcPr>
          <w:p>
            <w:pPr>
              <w:ind w:left="540"/>
              <w:spacing w:after="0" w:line="122"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2" w:lineRule="exact"/>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1"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ind w:left="8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20" w:type="dxa"/>
            <w:vAlign w:val="bottom"/>
            <w:vMerge w:val="continue"/>
          </w:tcPr>
          <w:p>
            <w:pPr>
              <w:spacing w:after="0"/>
              <w:rPr>
                <w:sz w:val="15"/>
                <w:szCs w:val="15"/>
                <w:color w:val="auto"/>
              </w:rPr>
            </w:pPr>
          </w:p>
        </w:tc>
        <w:tc>
          <w:tcPr>
            <w:tcW w:w="1620" w:type="dxa"/>
            <w:vAlign w:val="bottom"/>
          </w:tcPr>
          <w:p>
            <w:pPr>
              <w:ind w:left="8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8"/>
                <w:szCs w:val="18"/>
                <w:color w:val="0000FF"/>
                <w:w w:val="94"/>
              </w:rPr>
              <w:t>Series A Convertible Preferred Stock</w:t>
            </w:r>
          </w:p>
        </w:tc>
        <w:tc>
          <w:tcPr>
            <w:tcW w:w="1580" w:type="dxa"/>
            <w:vAlign w:val="bottom"/>
            <w:gridSpan w:val="2"/>
            <w:vMerge w:val="restart"/>
          </w:tcPr>
          <w:p>
            <w:pPr>
              <w:ind w:left="940"/>
              <w:spacing w:after="0"/>
              <w:rPr>
                <w:sz w:val="20"/>
                <w:szCs w:val="20"/>
                <w:color w:val="auto"/>
              </w:rPr>
            </w:pPr>
            <w:r>
              <w:rPr>
                <w:rFonts w:ascii="Arial" w:cs="Arial" w:eastAsia="Arial" w:hAnsi="Arial"/>
                <w:sz w:val="11"/>
                <w:szCs w:val="11"/>
                <w:color w:val="008000"/>
              </w:rPr>
              <w:t>(5)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restart"/>
          </w:tcPr>
          <w:p>
            <w:pPr>
              <w:jc w:val="right"/>
              <w:ind w:right="324"/>
              <w:spacing w:after="0"/>
              <w:rPr>
                <w:sz w:val="20"/>
                <w:szCs w:val="20"/>
                <w:color w:val="auto"/>
              </w:rPr>
            </w:pPr>
            <w:r>
              <w:rPr>
                <w:rFonts w:ascii="Arial" w:cs="Arial" w:eastAsia="Arial" w:hAnsi="Arial"/>
                <w:sz w:val="11"/>
                <w:szCs w:val="11"/>
                <w:color w:val="008000"/>
              </w:rPr>
              <w:t>(5)</w:t>
            </w:r>
          </w:p>
        </w:tc>
        <w:tc>
          <w:tcPr>
            <w:tcW w:w="1760" w:type="dxa"/>
            <w:vAlign w:val="bottom"/>
            <w:vMerge w:val="restart"/>
          </w:tcPr>
          <w:p>
            <w:pPr>
              <w:ind w:left="400"/>
              <w:spacing w:after="0"/>
              <w:rPr>
                <w:sz w:val="20"/>
                <w:szCs w:val="20"/>
                <w:color w:val="auto"/>
              </w:rPr>
            </w:pPr>
            <w:r>
              <w:rPr>
                <w:rFonts w:ascii="Arial" w:cs="Arial" w:eastAsia="Arial" w:hAnsi="Arial"/>
                <w:sz w:val="18"/>
                <w:szCs w:val="18"/>
                <w:color w:val="0000FF"/>
              </w:rPr>
              <w:t>Common Stock</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1,758,333</w:t>
            </w:r>
          </w:p>
        </w:tc>
        <w:tc>
          <w:tcPr>
            <w:tcW w:w="760" w:type="dxa"/>
            <w:vAlign w:val="bottom"/>
            <w:vMerge w:val="restart"/>
          </w:tcPr>
          <w:p>
            <w:pPr>
              <w:jc w:val="right"/>
              <w:ind w:right="344"/>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1840" w:type="dxa"/>
            <w:vAlign w:val="bottom"/>
            <w:gridSpan w:val="2"/>
          </w:tcPr>
          <w:p>
            <w:pPr>
              <w:ind w:left="240"/>
              <w:spacing w:after="0"/>
              <w:rPr>
                <w:sz w:val="20"/>
                <w:szCs w:val="20"/>
                <w:color w:val="auto"/>
              </w:rPr>
            </w:pPr>
            <w:r>
              <w:rPr>
                <w:rFonts w:ascii="Arial" w:cs="Arial" w:eastAsia="Arial" w:hAnsi="Arial"/>
                <w:sz w:val="18"/>
                <w:szCs w:val="18"/>
                <w:color w:val="0000FF"/>
              </w:rPr>
              <w:t>See Explanation of</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20" w:type="dxa"/>
            <w:vAlign w:val="bottom"/>
            <w:vMerge w:val="restart"/>
          </w:tcPr>
          <w:p>
            <w:pPr>
              <w:ind w:left="240"/>
              <w:spacing w:after="0" w:line="278" w:lineRule="exact"/>
              <w:rPr>
                <w:sz w:val="20"/>
                <w:szCs w:val="20"/>
                <w:color w:val="auto"/>
              </w:rPr>
            </w:pPr>
            <w:r>
              <w:rPr>
                <w:rFonts w:ascii="Arial" w:cs="Arial" w:eastAsia="Arial" w:hAnsi="Arial"/>
                <w:sz w:val="32"/>
                <w:szCs w:val="32"/>
                <w:color w:val="0000FF"/>
                <w:w w:val="97"/>
                <w:vertAlign w:val="subscript"/>
              </w:rPr>
              <w:t>Responses</w:t>
            </w:r>
            <w:r>
              <w:rPr>
                <w:rFonts w:ascii="Arial" w:cs="Arial" w:eastAsia="Arial" w:hAnsi="Arial"/>
                <w:sz w:val="11"/>
                <w:szCs w:val="11"/>
                <w:color w:val="008000"/>
                <w:w w:val="97"/>
              </w:rPr>
              <w:t>(1)(2)(3)(4)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8"/>
                <w:szCs w:val="18"/>
                <w:color w:val="0000FF"/>
                <w:w w:val="94"/>
              </w:rPr>
              <w:t>Series B Convertible Preferred Stock</w:t>
            </w:r>
          </w:p>
        </w:tc>
        <w:tc>
          <w:tcPr>
            <w:tcW w:w="1580" w:type="dxa"/>
            <w:vAlign w:val="bottom"/>
            <w:gridSpan w:val="2"/>
            <w:vMerge w:val="restart"/>
          </w:tcPr>
          <w:p>
            <w:pPr>
              <w:ind w:left="940"/>
              <w:spacing w:after="0"/>
              <w:rPr>
                <w:sz w:val="20"/>
                <w:szCs w:val="20"/>
                <w:color w:val="auto"/>
              </w:rPr>
            </w:pPr>
            <w:r>
              <w:rPr>
                <w:rFonts w:ascii="Arial" w:cs="Arial" w:eastAsia="Arial" w:hAnsi="Arial"/>
                <w:sz w:val="11"/>
                <w:szCs w:val="11"/>
                <w:color w:val="008000"/>
              </w:rPr>
              <w:t>(5)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vMerge w:val="restart"/>
          </w:tcPr>
          <w:p>
            <w:pPr>
              <w:jc w:val="right"/>
              <w:ind w:right="324"/>
              <w:spacing w:after="0"/>
              <w:rPr>
                <w:sz w:val="20"/>
                <w:szCs w:val="20"/>
                <w:color w:val="auto"/>
              </w:rPr>
            </w:pPr>
            <w:r>
              <w:rPr>
                <w:rFonts w:ascii="Arial" w:cs="Arial" w:eastAsia="Arial" w:hAnsi="Arial"/>
                <w:sz w:val="11"/>
                <w:szCs w:val="11"/>
                <w:color w:val="008000"/>
              </w:rPr>
              <w:t>(5)</w:t>
            </w:r>
          </w:p>
        </w:tc>
        <w:tc>
          <w:tcPr>
            <w:tcW w:w="1760" w:type="dxa"/>
            <w:vAlign w:val="bottom"/>
            <w:vMerge w:val="restart"/>
          </w:tcPr>
          <w:p>
            <w:pPr>
              <w:ind w:left="400"/>
              <w:spacing w:after="0"/>
              <w:rPr>
                <w:sz w:val="20"/>
                <w:szCs w:val="20"/>
                <w:color w:val="auto"/>
              </w:rPr>
            </w:pPr>
            <w:r>
              <w:rPr>
                <w:rFonts w:ascii="Arial" w:cs="Arial" w:eastAsia="Arial" w:hAnsi="Arial"/>
                <w:sz w:val="18"/>
                <w:szCs w:val="18"/>
                <w:color w:val="0000FF"/>
              </w:rPr>
              <w:t>Common Stock</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1,004,000</w:t>
            </w:r>
          </w:p>
        </w:tc>
        <w:tc>
          <w:tcPr>
            <w:tcW w:w="760" w:type="dxa"/>
            <w:vAlign w:val="bottom"/>
            <w:vMerge w:val="restart"/>
          </w:tcPr>
          <w:p>
            <w:pPr>
              <w:jc w:val="right"/>
              <w:ind w:right="344"/>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1840" w:type="dxa"/>
            <w:vAlign w:val="bottom"/>
            <w:gridSpan w:val="2"/>
          </w:tcPr>
          <w:p>
            <w:pPr>
              <w:ind w:left="240"/>
              <w:spacing w:after="0"/>
              <w:rPr>
                <w:sz w:val="20"/>
                <w:szCs w:val="20"/>
                <w:color w:val="auto"/>
              </w:rPr>
            </w:pPr>
            <w:r>
              <w:rPr>
                <w:rFonts w:ascii="Arial" w:cs="Arial" w:eastAsia="Arial" w:hAnsi="Arial"/>
                <w:sz w:val="18"/>
                <w:szCs w:val="18"/>
                <w:color w:val="0000FF"/>
              </w:rPr>
              <w:t>See Explanation of</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20" w:type="dxa"/>
            <w:vAlign w:val="bottom"/>
            <w:vMerge w:val="restart"/>
          </w:tcPr>
          <w:p>
            <w:pPr>
              <w:ind w:left="240"/>
              <w:spacing w:after="0" w:line="278" w:lineRule="exact"/>
              <w:rPr>
                <w:sz w:val="20"/>
                <w:szCs w:val="20"/>
                <w:color w:val="auto"/>
              </w:rPr>
            </w:pPr>
            <w:r>
              <w:rPr>
                <w:rFonts w:ascii="Arial" w:cs="Arial" w:eastAsia="Arial" w:hAnsi="Arial"/>
                <w:sz w:val="32"/>
                <w:szCs w:val="32"/>
                <w:color w:val="0000FF"/>
                <w:w w:val="97"/>
                <w:vertAlign w:val="subscript"/>
              </w:rPr>
              <w:t>Responses</w:t>
            </w:r>
            <w:r>
              <w:rPr>
                <w:rFonts w:ascii="Arial" w:cs="Arial" w:eastAsia="Arial" w:hAnsi="Arial"/>
                <w:sz w:val="11"/>
                <w:szCs w:val="11"/>
                <w:color w:val="008000"/>
                <w:w w:val="97"/>
              </w:rPr>
              <w:t>(1)(2)(3)(4)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8"/>
                <w:szCs w:val="18"/>
                <w:color w:val="0000FF"/>
                <w:w w:val="94"/>
              </w:rPr>
              <w:t>Series C Convertible Preferred Stock</w:t>
            </w:r>
          </w:p>
        </w:tc>
        <w:tc>
          <w:tcPr>
            <w:tcW w:w="1580" w:type="dxa"/>
            <w:vAlign w:val="bottom"/>
            <w:gridSpan w:val="2"/>
            <w:vMerge w:val="restart"/>
          </w:tcPr>
          <w:p>
            <w:pPr>
              <w:ind w:left="940"/>
              <w:spacing w:after="0"/>
              <w:rPr>
                <w:sz w:val="20"/>
                <w:szCs w:val="20"/>
                <w:color w:val="auto"/>
              </w:rPr>
            </w:pPr>
            <w:r>
              <w:rPr>
                <w:rFonts w:ascii="Arial" w:cs="Arial" w:eastAsia="Arial" w:hAnsi="Arial"/>
                <w:sz w:val="11"/>
                <w:szCs w:val="11"/>
                <w:color w:val="008000"/>
              </w:rPr>
              <w:t>(5)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vMerge w:val="restart"/>
          </w:tcPr>
          <w:p>
            <w:pPr>
              <w:jc w:val="right"/>
              <w:ind w:right="324"/>
              <w:spacing w:after="0"/>
              <w:rPr>
                <w:sz w:val="20"/>
                <w:szCs w:val="20"/>
                <w:color w:val="auto"/>
              </w:rPr>
            </w:pPr>
            <w:r>
              <w:rPr>
                <w:rFonts w:ascii="Arial" w:cs="Arial" w:eastAsia="Arial" w:hAnsi="Arial"/>
                <w:sz w:val="11"/>
                <w:szCs w:val="11"/>
                <w:color w:val="008000"/>
              </w:rPr>
              <w:t>(5)</w:t>
            </w:r>
          </w:p>
        </w:tc>
        <w:tc>
          <w:tcPr>
            <w:tcW w:w="1760" w:type="dxa"/>
            <w:vAlign w:val="bottom"/>
            <w:vMerge w:val="restart"/>
          </w:tcPr>
          <w:p>
            <w:pPr>
              <w:ind w:left="400"/>
              <w:spacing w:after="0"/>
              <w:rPr>
                <w:sz w:val="20"/>
                <w:szCs w:val="20"/>
                <w:color w:val="auto"/>
              </w:rPr>
            </w:pPr>
            <w:r>
              <w:rPr>
                <w:rFonts w:ascii="Arial" w:cs="Arial" w:eastAsia="Arial" w:hAnsi="Arial"/>
                <w:sz w:val="18"/>
                <w:szCs w:val="18"/>
                <w:color w:val="0000FF"/>
              </w:rPr>
              <w:t>Common Stock</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6"/>
              </w:rPr>
              <w:t>789,596</w:t>
            </w:r>
          </w:p>
        </w:tc>
        <w:tc>
          <w:tcPr>
            <w:tcW w:w="760" w:type="dxa"/>
            <w:vAlign w:val="bottom"/>
            <w:vMerge w:val="restart"/>
          </w:tcPr>
          <w:p>
            <w:pPr>
              <w:jc w:val="right"/>
              <w:ind w:right="344"/>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1840" w:type="dxa"/>
            <w:vAlign w:val="bottom"/>
            <w:gridSpan w:val="2"/>
          </w:tcPr>
          <w:p>
            <w:pPr>
              <w:ind w:left="240"/>
              <w:spacing w:after="0"/>
              <w:rPr>
                <w:sz w:val="20"/>
                <w:szCs w:val="20"/>
                <w:color w:val="auto"/>
              </w:rPr>
            </w:pPr>
            <w:r>
              <w:rPr>
                <w:rFonts w:ascii="Arial" w:cs="Arial" w:eastAsia="Arial" w:hAnsi="Arial"/>
                <w:sz w:val="18"/>
                <w:szCs w:val="18"/>
                <w:color w:val="0000FF"/>
              </w:rPr>
              <w:t>See Explanation of</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40" w:type="dxa"/>
            <w:vAlign w:val="bottom"/>
            <w:gridSpan w:val="2"/>
            <w:vMerge w:val="restart"/>
          </w:tcPr>
          <w:p>
            <w:pPr>
              <w:ind w:left="240"/>
              <w:spacing w:after="0" w:line="278" w:lineRule="exact"/>
              <w:rPr>
                <w:sz w:val="20"/>
                <w:szCs w:val="20"/>
                <w:color w:val="auto"/>
              </w:rPr>
            </w:pPr>
            <w:r>
              <w:rPr>
                <w:rFonts w:ascii="Arial" w:cs="Arial" w:eastAsia="Arial" w:hAnsi="Arial"/>
                <w:sz w:val="32"/>
                <w:szCs w:val="32"/>
                <w:color w:val="0000FF"/>
                <w:w w:val="98"/>
                <w:vertAlign w:val="subscript"/>
              </w:rPr>
              <w:t>Responses</w:t>
            </w:r>
            <w:r>
              <w:rPr>
                <w:rFonts w:ascii="Arial" w:cs="Arial" w:eastAsia="Arial" w:hAnsi="Arial"/>
                <w:sz w:val="11"/>
                <w:szCs w:val="11"/>
                <w:color w:val="008000"/>
                <w:w w:val="98"/>
              </w:rPr>
              <w:t>(1)(2)(3)(4)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6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9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6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TPG Group Holdings (SBS) Advisors, Inc.</w:t>
              </w:r>
            </w:hyperlink>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6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C/O TPG GLOBAL, LLC</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7"/>
          </w:tcPr>
          <w:p>
            <w:pPr>
              <w:spacing w:after="0"/>
              <w:rPr>
                <w:sz w:val="20"/>
                <w:szCs w:val="20"/>
                <w:color w:val="auto"/>
              </w:rPr>
            </w:pPr>
            <w:r>
              <w:rPr>
                <w:rFonts w:ascii="Arial" w:cs="Arial" w:eastAsia="Arial" w:hAnsi="Arial"/>
                <w:sz w:val="18"/>
                <w:szCs w:val="18"/>
                <w:color w:val="0000FF"/>
              </w:rPr>
              <w:t>301 COMMERCE STREET, SUITE 3300</w:t>
            </w:r>
          </w:p>
        </w:tc>
        <w:tc>
          <w:tcPr>
            <w:tcW w:w="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FORT WORTH</w:t>
            </w:r>
          </w:p>
        </w:tc>
        <w:tc>
          <w:tcPr>
            <w:tcW w:w="1460" w:type="dxa"/>
            <w:vAlign w:val="bottom"/>
            <w:gridSpan w:val="2"/>
          </w:tcPr>
          <w:p>
            <w:pPr>
              <w:ind w:left="160"/>
              <w:spacing w:after="0"/>
              <w:rPr>
                <w:sz w:val="20"/>
                <w:szCs w:val="20"/>
                <w:color w:val="auto"/>
              </w:rPr>
            </w:pPr>
            <w:r>
              <w:rPr>
                <w:rFonts w:ascii="Arial" w:cs="Arial" w:eastAsia="Arial" w:hAnsi="Arial"/>
                <w:sz w:val="18"/>
                <w:szCs w:val="18"/>
                <w:color w:val="0000FF"/>
              </w:rPr>
              <w:t>TX</w:t>
            </w:r>
          </w:p>
        </w:tc>
        <w:tc>
          <w:tcPr>
            <w:tcW w:w="960" w:type="dxa"/>
            <w:vAlign w:val="bottom"/>
          </w:tcPr>
          <w:p>
            <w:pPr>
              <w:ind w:left="160"/>
              <w:spacing w:after="0"/>
              <w:rPr>
                <w:sz w:val="20"/>
                <w:szCs w:val="20"/>
                <w:color w:val="auto"/>
              </w:rPr>
            </w:pPr>
            <w:r>
              <w:rPr>
                <w:rFonts w:ascii="Arial" w:cs="Arial" w:eastAsia="Arial" w:hAnsi="Arial"/>
                <w:sz w:val="18"/>
                <w:szCs w:val="18"/>
                <w:color w:val="0000FF"/>
              </w:rPr>
              <w:t>76102</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6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BONDERMAN DAVID</w:t>
              </w:r>
            </w:hyperlink>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6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C/O TPG GLOBAL, LLC</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7"/>
          </w:tcPr>
          <w:p>
            <w:pPr>
              <w:spacing w:after="0"/>
              <w:rPr>
                <w:sz w:val="20"/>
                <w:szCs w:val="20"/>
                <w:color w:val="auto"/>
              </w:rPr>
            </w:pPr>
            <w:r>
              <w:rPr>
                <w:rFonts w:ascii="Arial" w:cs="Arial" w:eastAsia="Arial" w:hAnsi="Arial"/>
                <w:sz w:val="18"/>
                <w:szCs w:val="18"/>
                <w:color w:val="0000FF"/>
              </w:rPr>
              <w:t>301 COMMERCE STREET, SUITE 3300</w:t>
            </w:r>
          </w:p>
        </w:tc>
        <w:tc>
          <w:tcPr>
            <w:tcW w:w="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FORT WORTH</w:t>
            </w:r>
          </w:p>
        </w:tc>
        <w:tc>
          <w:tcPr>
            <w:tcW w:w="1460" w:type="dxa"/>
            <w:vAlign w:val="bottom"/>
            <w:gridSpan w:val="2"/>
          </w:tcPr>
          <w:p>
            <w:pPr>
              <w:ind w:left="160"/>
              <w:spacing w:after="0"/>
              <w:rPr>
                <w:sz w:val="20"/>
                <w:szCs w:val="20"/>
                <w:color w:val="auto"/>
              </w:rPr>
            </w:pPr>
            <w:r>
              <w:rPr>
                <w:rFonts w:ascii="Arial" w:cs="Arial" w:eastAsia="Arial" w:hAnsi="Arial"/>
                <w:sz w:val="18"/>
                <w:szCs w:val="18"/>
                <w:color w:val="0000FF"/>
              </w:rPr>
              <w:t>TX</w:t>
            </w:r>
          </w:p>
        </w:tc>
        <w:tc>
          <w:tcPr>
            <w:tcW w:w="960" w:type="dxa"/>
            <w:vAlign w:val="bottom"/>
          </w:tcPr>
          <w:p>
            <w:pPr>
              <w:ind w:left="160"/>
              <w:spacing w:after="0"/>
              <w:rPr>
                <w:sz w:val="20"/>
                <w:szCs w:val="20"/>
                <w:color w:val="auto"/>
              </w:rPr>
            </w:pPr>
            <w:r>
              <w:rPr>
                <w:rFonts w:ascii="Arial" w:cs="Arial" w:eastAsia="Arial" w:hAnsi="Arial"/>
                <w:sz w:val="18"/>
                <w:szCs w:val="18"/>
                <w:color w:val="0000FF"/>
              </w:rPr>
              <w:t>76102</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6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COULTER JAMES G</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28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282065"/>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TPG GLOBAL, LLC</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301 COMMERCE STREET, SUITE 3300</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FORT WORTH</w:t>
            </w:r>
          </w:p>
        </w:tc>
        <w:tc>
          <w:tcPr>
            <w:tcW w:w="1100" w:type="dxa"/>
            <w:vAlign w:val="bottom"/>
          </w:tcPr>
          <w:p>
            <w:pPr>
              <w:ind w:left="160"/>
              <w:spacing w:after="0"/>
              <w:rPr>
                <w:sz w:val="20"/>
                <w:szCs w:val="20"/>
                <w:color w:val="auto"/>
              </w:rPr>
            </w:pPr>
            <w:r>
              <w:rPr>
                <w:rFonts w:ascii="Arial" w:cs="Arial" w:eastAsia="Arial" w:hAnsi="Arial"/>
                <w:sz w:val="18"/>
                <w:szCs w:val="18"/>
                <w:color w:val="0000FF"/>
              </w:rPr>
              <w:t>TX</w:t>
            </w:r>
          </w:p>
        </w:tc>
        <w:tc>
          <w:tcPr>
            <w:tcW w:w="1940" w:type="dxa"/>
            <w:vAlign w:val="bottom"/>
          </w:tcPr>
          <w:p>
            <w:pPr>
              <w:ind w:left="5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David Bonderman and James G. Coulter are officers and sole shareholders of TPG Group Holdings (SBS) Advisors, Inc. ("Group Advisors" and, together with Messrs.</w:t>
      </w:r>
    </w:p>
    <w:p>
      <w:pPr>
        <w:spacing w:after="0" w:line="41" w:lineRule="exact"/>
        <w:rPr>
          <w:rFonts w:ascii="Arial" w:cs="Arial" w:eastAsia="Arial" w:hAnsi="Arial"/>
          <w:sz w:val="14"/>
          <w:szCs w:val="14"/>
          <w:color w:val="008000"/>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Bonderman and Coulter, the "Reporting Persons"), which is the general partner of TPG Group Holdings (SBS), L.P., which is the sole member of TPG Holdings I-A, LLC, which is the general partner of TPG Holdings I, L.P., which is the sole member of TPG Biotechnology GenPar II Advisors, LLC, which is the general partner of TPG Biotechnology GenPar II, L.P., which is the general partner of TPG Biotechnology Partners II, L.P. ("TPG Biotech II"), which directly holds 7,033,333 shares of Series A Convertible Preferred Stock (the "Series A Preferred") of Veracyte, Inc. (the "Issuer"), 4,016,000 shares of Series B Convertible Preferred Stock (the "Series B Preferred") of the Issuer and 3,158,385 shares of Series C Convertible Preferred Stock (the "Series C Preferred" and, together with the Series A Preferred and the Series B Preferred, the "Preferred Stock") of the Issuer.</w:t>
      </w:r>
    </w:p>
    <w:p>
      <w:pPr>
        <w:spacing w:after="0" w:line="32" w:lineRule="exact"/>
        <w:rPr>
          <w:rFonts w:ascii="Arial" w:cs="Arial" w:eastAsia="Arial" w:hAnsi="Arial"/>
          <w:sz w:val="14"/>
          <w:szCs w:val="14"/>
          <w:color w:val="008000"/>
        </w:rPr>
      </w:pPr>
    </w:p>
    <w:p>
      <w:pPr>
        <w:ind w:right="6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Because of the relationship between the Reporting Persons and TPG Biotech II, the Reporting Persons may be deemed to beneficially own the securities reported herein to the extent of the greater of their respective direct or indirect pecuniary interests in the profits or capital accounts of TPG Biotech II. Each of TPG Biotech II and each Reporting Person disclaims beneficial ownership of the securities reported herein, except to the extent of TPG Biotech II's or such Reporting Person's pecuniary interest therein, if any.</w:t>
      </w:r>
    </w:p>
    <w:p>
      <w:pPr>
        <w:spacing w:after="0" w:line="30" w:lineRule="exact"/>
        <w:rPr>
          <w:rFonts w:ascii="Arial" w:cs="Arial" w:eastAsia="Arial" w:hAnsi="Arial"/>
          <w:sz w:val="14"/>
          <w:szCs w:val="14"/>
          <w:color w:val="008000"/>
        </w:rPr>
      </w:pPr>
    </w:p>
    <w:p>
      <w:pPr>
        <w:ind w:right="38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Rule 16a-1(a)(4) under the Securities Exchange Act of 1934, as amended (the "Exchange Act"), this filing shall not be deemed an admission that the Reporting Persons are, for purposes of Section 16 of the Exchange Act or otherwise, the beneficial owners of any equity securities in excess of their respective pecuniary interests.</w:t>
      </w:r>
    </w:p>
    <w:p>
      <w:pPr>
        <w:spacing w:after="0" w:line="30" w:lineRule="exact"/>
        <w:rPr>
          <w:rFonts w:ascii="Arial" w:cs="Arial" w:eastAsia="Arial" w:hAnsi="Arial"/>
          <w:sz w:val="14"/>
          <w:szCs w:val="14"/>
          <w:color w:val="008000"/>
        </w:rPr>
      </w:pPr>
    </w:p>
    <w:p>
      <w:pPr>
        <w:jc w:val="both"/>
        <w:ind w:right="8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Fourth Amended and Restated Certificate of Incorporation of the Issuer, as amended, the shares of Series A Preferred, Series B Preferred and Series C Preferred are convertible, at the option of the holder, at any time into shares of Common Stock, par value $0.001 per share, of the Issuer, at initial conversion rates in each case equal to one share of Common Stock per share of Preferred Stock. The initial conversion rates have been adjusted as a result of a 1-for-4 reverse stock split of the Issuer's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460" w:firstLine="9"/>
        <w:spacing w:after="0" w:line="239" w:lineRule="auto"/>
        <w:tabs>
          <w:tab w:leader="none" w:pos="191"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are jointly filing this Form 3 pursuant to Rule 16a-3(j) under the Exchange Act. (7) Ronald Cami is signing on behalf of both Messrs. Bonderman and Coulter pursuant to the authorization and designation letters dated July 1, 2013, which were previously filed with the Securities and Exchange Commission.</w:t>
      </w:r>
    </w:p>
    <w:p>
      <w:pPr>
        <w:sectPr>
          <w:pgSz w:w="11900" w:h="16838" w:orient="portrait"/>
          <w:cols w:equalWidth="0" w:num="1">
            <w:col w:w="11300"/>
          </w:cols>
          <w:pgMar w:left="280" w:top="140" w:right="31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Ronald Cami,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84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984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President, TPG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3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993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Holdings (SBS) Advisors,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5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0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01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Ronald Cami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0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David Bonderman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8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080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Ronald Cami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0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James G. Coulter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8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58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10/29/2013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10/29/2013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10/29/2013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8980" w:space="140"/>
            <w:col w:w="2180"/>
          </w:cols>
          <w:pgMar w:left="280" w:top="140" w:right="31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4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1" Type="http://schemas.openxmlformats.org/officeDocument/2006/relationships/hyperlink" Target="http://www.sec.gov/cgi-bin/browse-edgar?action=getcompany&amp;CIK=0001495741" TargetMode="External"/><Relationship Id="rId12" Type="http://schemas.openxmlformats.org/officeDocument/2006/relationships/hyperlink" Target="http://www.sec.gov/cgi-bin/browse-edgar?action=getcompany&amp;CIK=0001384101" TargetMode="External"/><Relationship Id="rId13" Type="http://schemas.openxmlformats.org/officeDocument/2006/relationships/hyperlink" Target="http://www.sec.gov/cgi-bin/browse-edgar?action=getcompany&amp;CIK=0000860866" TargetMode="External"/><Relationship Id="rId14" Type="http://schemas.openxmlformats.org/officeDocument/2006/relationships/hyperlink" Target="http://www.sec.gov/cgi-bin/browse-edgar?action=getcompany&amp;CIK=0001099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2019-12-16T08:31:16Z</dcterms:created>
  <dcterms:modified xsi:type="dcterms:W3CDTF">2019-12-16T08:31:16Z</dcterms:modified>
</cp:coreProperties>
</file>