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40"/>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26"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Aug 13, 2015</w:t>
      </w:r>
    </w:p>
    <w:p>
      <w:pPr>
        <w:spacing w:after="0" w:line="202"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VERACYTE, INC.</w:t>
      </w:r>
    </w:p>
    <w:p>
      <w:pPr>
        <w:spacing w:after="0" w:line="40"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60"/>
          </w:cols>
          <w:pgMar w:left="240" w:top="544" w:right="199" w:bottom="0" w:gutter="0" w:footer="0" w:header="0"/>
        </w:sectPr>
      </w:pPr>
    </w:p>
    <w:p>
      <w:pPr>
        <w:spacing w:after="0" w:line="205" w:lineRule="exact"/>
        <w:rPr>
          <w:sz w:val="24"/>
          <w:szCs w:val="24"/>
          <w:color w:val="auto"/>
        </w:rPr>
      </w:pPr>
    </w:p>
    <w:p>
      <w:pPr>
        <w:ind w:left="148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90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4"/>
          <w:szCs w:val="24"/>
          <w:color w:val="auto"/>
        </w:rPr>
      </w:pPr>
    </w:p>
    <w:p>
      <w:pPr>
        <w:ind w:left="122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980"/>
        <w:spacing w:after="0"/>
        <w:rPr>
          <w:sz w:val="20"/>
          <w:szCs w:val="20"/>
          <w:color w:val="auto"/>
        </w:rPr>
      </w:pPr>
      <w:r>
        <w:rPr>
          <w:rFonts w:ascii="Arial" w:cs="Arial" w:eastAsia="Arial" w:hAnsi="Arial"/>
          <w:sz w:val="18"/>
          <w:szCs w:val="18"/>
          <w:b w:val="1"/>
          <w:bCs w:val="1"/>
          <w:color w:val="auto"/>
        </w:rPr>
        <w:t>001-36156</w:t>
      </w:r>
    </w:p>
    <w:p>
      <w:pPr>
        <w:spacing w:after="0" w:line="27" w:lineRule="exact"/>
        <w:rPr>
          <w:sz w:val="24"/>
          <w:szCs w:val="24"/>
          <w:color w:val="auto"/>
        </w:rPr>
      </w:pPr>
    </w:p>
    <w:p>
      <w:pPr>
        <w:jc w:val="center"/>
        <w:ind w:right="1980"/>
        <w:spacing w:after="0"/>
        <w:rPr>
          <w:sz w:val="20"/>
          <w:szCs w:val="20"/>
          <w:color w:val="auto"/>
        </w:rPr>
      </w:pPr>
      <w:r>
        <w:rPr>
          <w:rFonts w:ascii="Arial" w:cs="Arial" w:eastAsia="Arial" w:hAnsi="Arial"/>
          <w:sz w:val="16"/>
          <w:szCs w:val="16"/>
          <w:color w:val="auto"/>
        </w:rPr>
        <w:t>(Commission</w:t>
      </w:r>
    </w:p>
    <w:p>
      <w:pPr>
        <w:spacing w:after="0" w:line="32" w:lineRule="exact"/>
        <w:rPr>
          <w:sz w:val="24"/>
          <w:szCs w:val="24"/>
          <w:color w:val="auto"/>
        </w:rPr>
      </w:pPr>
    </w:p>
    <w:p>
      <w:pPr>
        <w:jc w:val="center"/>
        <w:ind w:right="1980"/>
        <w:spacing w:after="0"/>
        <w:rPr>
          <w:sz w:val="20"/>
          <w:szCs w:val="20"/>
          <w:color w:val="auto"/>
        </w:rPr>
      </w:pPr>
      <w:r>
        <w:rPr>
          <w:rFonts w:ascii="Arial" w:cs="Arial" w:eastAsia="Arial" w:hAnsi="Arial"/>
          <w:sz w:val="16"/>
          <w:szCs w:val="16"/>
          <w:color w:val="auto"/>
        </w:rPr>
        <w:t>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20-5455398</w:t>
      </w:r>
    </w:p>
    <w:p>
      <w:pPr>
        <w:spacing w:after="0" w:line="27"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4520" w:space="720"/>
            <w:col w:w="2960" w:space="720"/>
            <w:col w:w="2540"/>
          </w:cols>
          <w:pgMar w:left="240" w:top="544" w:right="199" w:bottom="0" w:gutter="0" w:footer="0" w:header="0"/>
          <w:type w:val="continuous"/>
        </w:sectPr>
      </w:pPr>
    </w:p>
    <w:p>
      <w:pPr>
        <w:spacing w:after="0" w:line="7" w:lineRule="exact"/>
        <w:rPr>
          <w:sz w:val="24"/>
          <w:szCs w:val="24"/>
          <w:color w:val="auto"/>
        </w:rPr>
      </w:pPr>
    </w:p>
    <w:p>
      <w:pPr>
        <w:jc w:val="center"/>
        <w:ind w:right="1520"/>
        <w:spacing w:after="0"/>
        <w:rPr>
          <w:sz w:val="20"/>
          <w:szCs w:val="20"/>
          <w:color w:val="auto"/>
        </w:rPr>
      </w:pPr>
      <w:r>
        <w:rPr>
          <w:rFonts w:ascii="Arial" w:cs="Arial" w:eastAsia="Arial" w:hAnsi="Arial"/>
          <w:sz w:val="16"/>
          <w:szCs w:val="16"/>
          <w:b w:val="1"/>
          <w:bCs w:val="1"/>
          <w:color w:val="auto"/>
        </w:rPr>
        <w:t>7000 Shoreline Court, Suite 250, South San Francisco, California</w:t>
      </w:r>
    </w:p>
    <w:p>
      <w:pPr>
        <w:spacing w:after="0" w:line="50" w:lineRule="exact"/>
        <w:rPr>
          <w:sz w:val="24"/>
          <w:szCs w:val="24"/>
          <w:color w:val="auto"/>
        </w:rPr>
      </w:pPr>
    </w:p>
    <w:p>
      <w:pPr>
        <w:jc w:val="center"/>
        <w:ind w:right="1520"/>
        <w:spacing w:after="0"/>
        <w:rPr>
          <w:sz w:val="20"/>
          <w:szCs w:val="20"/>
          <w:color w:val="auto"/>
        </w:rPr>
      </w:pPr>
      <w:r>
        <w:rPr>
          <w:rFonts w:ascii="Arial" w:cs="Arial" w:eastAsia="Arial" w:hAnsi="Arial"/>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jc w:val="center"/>
        <w:ind w:right="2080"/>
        <w:spacing w:after="0"/>
        <w:rPr>
          <w:sz w:val="20"/>
          <w:szCs w:val="20"/>
          <w:color w:val="auto"/>
        </w:rPr>
      </w:pPr>
      <w:r>
        <w:rPr>
          <w:rFonts w:ascii="Arial" w:cs="Arial" w:eastAsia="Arial" w:hAnsi="Arial"/>
          <w:sz w:val="18"/>
          <w:szCs w:val="18"/>
          <w:b w:val="1"/>
          <w:bCs w:val="1"/>
          <w:color w:val="auto"/>
        </w:rPr>
        <w:t>94080</w:t>
      </w:r>
    </w:p>
    <w:p>
      <w:pPr>
        <w:spacing w:after="0" w:line="27" w:lineRule="exact"/>
        <w:rPr>
          <w:sz w:val="24"/>
          <w:szCs w:val="24"/>
          <w:color w:val="auto"/>
        </w:rPr>
      </w:pPr>
    </w:p>
    <w:p>
      <w:pPr>
        <w:jc w:val="center"/>
        <w:ind w:right="2080"/>
        <w:spacing w:after="0"/>
        <w:rPr>
          <w:sz w:val="20"/>
          <w:szCs w:val="20"/>
          <w:color w:val="auto"/>
        </w:rPr>
      </w:pPr>
      <w:r>
        <w:rPr>
          <w:rFonts w:ascii="Arial" w:cs="Arial" w:eastAsia="Arial" w:hAnsi="Arial"/>
          <w:sz w:val="16"/>
          <w:szCs w:val="16"/>
          <w:color w:val="auto"/>
        </w:rPr>
        <w:t>(Zip Code)</w:t>
      </w:r>
    </w:p>
    <w:p>
      <w:pPr>
        <w:spacing w:after="0" w:line="222" w:lineRule="exact"/>
        <w:rPr>
          <w:sz w:val="24"/>
          <w:szCs w:val="24"/>
          <w:color w:val="auto"/>
        </w:rPr>
      </w:pPr>
    </w:p>
    <w:p>
      <w:pPr>
        <w:sectPr>
          <w:pgSz w:w="11900" w:h="16838" w:orient="portrait"/>
          <w:cols w:equalWidth="0" w:num="2">
            <w:col w:w="7860" w:space="720"/>
            <w:col w:w="2880"/>
          </w:cols>
          <w:pgMar w:left="240" w:top="544" w:right="199" w:bottom="0" w:gutter="0" w:footer="0" w:header="0"/>
          <w:type w:val="continuous"/>
        </w:sectPr>
      </w:pPr>
    </w:p>
    <w:p>
      <w:pPr>
        <w:spacing w:after="0" w:line="7"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(650) 243-6300</w:t>
      </w:r>
    </w:p>
    <w:p>
      <w:pPr>
        <w:spacing w:after="0" w:line="225"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16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97" w:lineRule="exact"/>
        <w:rPr>
          <w:sz w:val="24"/>
          <w:szCs w:val="24"/>
          <w:color w:val="auto"/>
        </w:rPr>
      </w:pPr>
    </w:p>
    <w:p>
      <w:pPr>
        <w:ind w:left="240" w:hanging="232"/>
        <w:spacing w:after="0"/>
        <w:tabs>
          <w:tab w:leader="none" w:pos="24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433070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spacing w:after="0"/>
        <w:tabs>
          <w:tab w:leader="none" w:pos="134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29" w:lineRule="exact"/>
        <w:rPr>
          <w:sz w:val="24"/>
          <w:szCs w:val="24"/>
          <w:color w:val="auto"/>
        </w:rPr>
      </w:pPr>
    </w:p>
    <w:p>
      <w:pPr>
        <w:ind w:right="180"/>
        <w:spacing w:after="0" w:line="277" w:lineRule="auto"/>
        <w:rPr>
          <w:sz w:val="20"/>
          <w:szCs w:val="20"/>
          <w:color w:val="auto"/>
        </w:rPr>
      </w:pPr>
      <w:r>
        <w:rPr>
          <w:rFonts w:ascii="Arial" w:cs="Arial" w:eastAsia="Arial" w:hAnsi="Arial"/>
          <w:sz w:val="18"/>
          <w:szCs w:val="18"/>
          <w:color w:val="auto"/>
        </w:rPr>
        <w:t>On Aug 13, 2015, Veracyte, Inc. issued a press release announcing its financial results for the three and six months ended June 30, 2015. The full text of the press release is furnished as Exhibit 99.1 to this report.</w:t>
      </w:r>
    </w:p>
    <w:p>
      <w:pPr>
        <w:spacing w:after="0" w:line="170" w:lineRule="exact"/>
        <w:rPr>
          <w:sz w:val="24"/>
          <w:szCs w:val="24"/>
          <w:color w:val="auto"/>
        </w:rPr>
      </w:pPr>
    </w:p>
    <w:p>
      <w:pPr>
        <w:ind w:right="340"/>
        <w:spacing w:after="0" w:line="259" w:lineRule="auto"/>
        <w:rPr>
          <w:sz w:val="20"/>
          <w:szCs w:val="20"/>
          <w:color w:val="auto"/>
        </w:rPr>
      </w:pPr>
      <w:r>
        <w:rPr>
          <w:rFonts w:ascii="Arial" w:cs="Arial" w:eastAsia="Arial" w:hAnsi="Arial"/>
          <w:sz w:val="18"/>
          <w:szCs w:val="18"/>
          <w:color w:val="auto"/>
        </w:rPr>
        <w:t>The information in this Current Report on Form 8-K, including Exhibit 99.1, shall not be deemed to be “filed” for purposes of Section 18 of the Securities Exchange Act of 1934 (the “Exchange Act”), or otherwise subject to the liability of that section, and shall not be incorporated by reference into any registration statement or other document filed under the Securities Act of 1933 or the Exchange Act, except as shall be expressly set forth by specific reference in such filing.</w:t>
      </w:r>
    </w:p>
    <w:p>
      <w:pPr>
        <w:spacing w:after="0" w:line="183"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1040" w:type="dxa"/>
            <w:vAlign w:val="bottom"/>
          </w:tcPr>
          <w:p>
            <w:pPr>
              <w:spacing w:after="0"/>
              <w:rPr>
                <w:sz w:val="20"/>
                <w:szCs w:val="20"/>
                <w:color w:val="auto"/>
              </w:rPr>
            </w:pPr>
            <w:r>
              <w:rPr>
                <w:rFonts w:ascii="Arial" w:cs="Arial" w:eastAsia="Arial" w:hAnsi="Arial"/>
                <w:sz w:val="18"/>
                <w:szCs w:val="18"/>
                <w:b w:val="1"/>
                <w:bCs w:val="1"/>
                <w:color w:val="auto"/>
              </w:rPr>
              <w:t>Item 9.01</w:t>
            </w:r>
          </w:p>
        </w:tc>
        <w:tc>
          <w:tcPr>
            <w:tcW w:w="10380" w:type="dxa"/>
            <w:vAlign w:val="bottom"/>
            <w:gridSpan w:val="2"/>
          </w:tcPr>
          <w:p>
            <w:pPr>
              <w:jc w:val="right"/>
              <w:ind w:right="7299"/>
              <w:spacing w:after="0"/>
              <w:rPr>
                <w:sz w:val="20"/>
                <w:szCs w:val="20"/>
                <w:color w:val="auto"/>
              </w:rPr>
            </w:pPr>
            <w:r>
              <w:rPr>
                <w:rFonts w:ascii="Arial" w:cs="Arial" w:eastAsia="Arial" w:hAnsi="Arial"/>
                <w:sz w:val="18"/>
                <w:szCs w:val="18"/>
                <w:b w:val="1"/>
                <w:bCs w:val="1"/>
                <w:color w:val="auto"/>
              </w:rPr>
              <w:t>Financial Statements and Exhibits.</w:t>
            </w:r>
          </w:p>
        </w:tc>
        <w:tc>
          <w:tcPr>
            <w:tcW w:w="40" w:type="dxa"/>
            <w:vAlign w:val="bottom"/>
          </w:tcPr>
          <w:p>
            <w:pPr>
              <w:spacing w:after="0"/>
              <w:rPr>
                <w:sz w:val="20"/>
                <w:szCs w:val="20"/>
                <w:color w:val="auto"/>
              </w:rPr>
            </w:pPr>
          </w:p>
        </w:tc>
      </w:tr>
      <w:tr>
        <w:trPr>
          <w:trHeight w:val="432"/>
        </w:trPr>
        <w:tc>
          <w:tcPr>
            <w:tcW w:w="1040" w:type="dxa"/>
            <w:vAlign w:val="bottom"/>
          </w:tcPr>
          <w:p>
            <w:pPr>
              <w:ind w:left="60"/>
              <w:spacing w:after="0"/>
              <w:rPr>
                <w:sz w:val="20"/>
                <w:szCs w:val="20"/>
                <w:color w:val="auto"/>
              </w:rPr>
            </w:pPr>
            <w:r>
              <w:rPr>
                <w:rFonts w:ascii="Arial" w:cs="Arial" w:eastAsia="Arial" w:hAnsi="Arial"/>
                <w:sz w:val="18"/>
                <w:szCs w:val="18"/>
                <w:color w:val="auto"/>
              </w:rPr>
              <w:t>(d) Exhibits</w:t>
            </w:r>
          </w:p>
        </w:tc>
        <w:tc>
          <w:tcPr>
            <w:tcW w:w="340" w:type="dxa"/>
            <w:vAlign w:val="bottom"/>
          </w:tcPr>
          <w:p>
            <w:pPr>
              <w:spacing w:after="0"/>
              <w:rPr>
                <w:sz w:val="24"/>
                <w:szCs w:val="24"/>
                <w:color w:val="auto"/>
              </w:rPr>
            </w:pPr>
          </w:p>
        </w:tc>
        <w:tc>
          <w:tcPr>
            <w:tcW w:w="100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65"/>
        </w:trPr>
        <w:tc>
          <w:tcPr>
            <w:tcW w:w="10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Exhibit No.</w:t>
            </w:r>
          </w:p>
        </w:tc>
        <w:tc>
          <w:tcPr>
            <w:tcW w:w="340" w:type="dxa"/>
            <w:vAlign w:val="bottom"/>
          </w:tcPr>
          <w:p>
            <w:pPr>
              <w:spacing w:after="0"/>
              <w:rPr>
                <w:sz w:val="24"/>
                <w:szCs w:val="24"/>
                <w:color w:val="auto"/>
              </w:rPr>
            </w:pPr>
          </w:p>
        </w:tc>
        <w:tc>
          <w:tcPr>
            <w:tcW w:w="10040" w:type="dxa"/>
            <w:vAlign w:val="bottom"/>
            <w:tcBorders>
              <w:bottom w:val="single" w:sz="8" w:color="auto"/>
            </w:tcBorders>
          </w:tcPr>
          <w:p>
            <w:pPr>
              <w:jc w:val="right"/>
              <w:ind w:right="4579"/>
              <w:spacing w:after="0"/>
              <w:rPr>
                <w:sz w:val="20"/>
                <w:szCs w:val="20"/>
                <w:color w:val="auto"/>
              </w:rPr>
            </w:pPr>
            <w:r>
              <w:rPr>
                <w:rFonts w:ascii="Arial" w:cs="Arial" w:eastAsia="Arial" w:hAnsi="Arial"/>
                <w:sz w:val="14"/>
                <w:szCs w:val="14"/>
                <w:b w:val="1"/>
                <w:bCs w:val="1"/>
                <w:color w:val="auto"/>
              </w:rPr>
              <w:t>Description</w:t>
            </w:r>
          </w:p>
        </w:tc>
        <w:tc>
          <w:tcPr>
            <w:tcW w:w="40" w:type="dxa"/>
            <w:vAlign w:val="bottom"/>
          </w:tcPr>
          <w:p>
            <w:pPr>
              <w:spacing w:after="0"/>
              <w:rPr>
                <w:sz w:val="24"/>
                <w:szCs w:val="24"/>
                <w:color w:val="auto"/>
              </w:rPr>
            </w:pPr>
          </w:p>
        </w:tc>
      </w:tr>
      <w:tr>
        <w:trPr>
          <w:trHeight w:val="426"/>
        </w:trPr>
        <w:tc>
          <w:tcPr>
            <w:tcW w:w="1040" w:type="dxa"/>
            <w:vAlign w:val="bottom"/>
          </w:tcPr>
          <w:p>
            <w:pPr>
              <w:spacing w:after="0"/>
              <w:rPr>
                <w:sz w:val="20"/>
                <w:szCs w:val="20"/>
                <w:color w:val="auto"/>
              </w:rPr>
            </w:pPr>
            <w:r>
              <w:rPr>
                <w:rFonts w:ascii="Arial" w:cs="Arial" w:eastAsia="Arial" w:hAnsi="Arial"/>
                <w:sz w:val="18"/>
                <w:szCs w:val="18"/>
                <w:color w:val="auto"/>
              </w:rPr>
              <w:t>99.1</w:t>
            </w:r>
          </w:p>
        </w:tc>
        <w:tc>
          <w:tcPr>
            <w:tcW w:w="340" w:type="dxa"/>
            <w:vAlign w:val="bottom"/>
          </w:tcPr>
          <w:p>
            <w:pPr>
              <w:spacing w:after="0"/>
              <w:rPr>
                <w:sz w:val="24"/>
                <w:szCs w:val="24"/>
                <w:color w:val="auto"/>
              </w:rPr>
            </w:pPr>
          </w:p>
        </w:tc>
        <w:tc>
          <w:tcPr>
            <w:tcW w:w="10040" w:type="dxa"/>
            <w:vAlign w:val="bottom"/>
          </w:tcPr>
          <w:p>
            <w:pPr>
              <w:jc w:val="right"/>
              <w:ind w:right="5759"/>
              <w:spacing w:after="0"/>
              <w:rPr>
                <w:sz w:val="20"/>
                <w:szCs w:val="20"/>
                <w:color w:val="auto"/>
              </w:rPr>
            </w:pPr>
            <w:r>
              <w:rPr>
                <w:rFonts w:ascii="Arial" w:cs="Arial" w:eastAsia="Arial" w:hAnsi="Arial"/>
                <w:sz w:val="18"/>
                <w:szCs w:val="18"/>
                <w:color w:val="auto"/>
                <w:w w:val="88"/>
              </w:rPr>
              <w:t>Press release issued by Veracyte, Inc. dated Aug 13, 2015.</w:t>
            </w:r>
          </w:p>
        </w:tc>
        <w:tc>
          <w:tcPr>
            <w:tcW w:w="40" w:type="dxa"/>
            <w:vAlign w:val="bottom"/>
          </w:tcPr>
          <w:p>
            <w:pPr>
              <w:spacing w:after="0"/>
              <w:rPr>
                <w:sz w:val="24"/>
                <w:szCs w:val="24"/>
                <w:color w:val="auto"/>
              </w:rPr>
            </w:pPr>
          </w:p>
        </w:tc>
      </w:tr>
      <w:tr>
        <w:trPr>
          <w:trHeight w:val="432"/>
        </w:trPr>
        <w:tc>
          <w:tcPr>
            <w:tcW w:w="1040" w:type="dxa"/>
            <w:vAlign w:val="bottom"/>
          </w:tcPr>
          <w:p>
            <w:pPr>
              <w:spacing w:after="0"/>
              <w:rPr>
                <w:sz w:val="24"/>
                <w:szCs w:val="24"/>
                <w:color w:val="auto"/>
              </w:rPr>
            </w:pPr>
          </w:p>
        </w:tc>
        <w:tc>
          <w:tcPr>
            <w:tcW w:w="10380" w:type="dxa"/>
            <w:vAlign w:val="bottom"/>
            <w:gridSpan w:val="2"/>
          </w:tcPr>
          <w:p>
            <w:pPr>
              <w:jc w:val="right"/>
              <w:ind w:right="5579"/>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24"/>
                <w:szCs w:val="24"/>
                <w:color w:val="auto"/>
              </w:rPr>
            </w:pPr>
          </w:p>
        </w:tc>
      </w:tr>
      <w:tr>
        <w:trPr>
          <w:trHeight w:val="132"/>
        </w:trPr>
        <w:tc>
          <w:tcPr>
            <w:tcW w:w="104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100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4"/>
          <w:szCs w:val="24"/>
          <w:color w:val="auto"/>
        </w:rPr>
      </w:pPr>
    </w:p>
    <w:p>
      <w:pPr>
        <w:ind w:right="660" w:firstLine="50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4"/>
          <w:szCs w:val="24"/>
          <w:color w:val="auto"/>
        </w:rPr>
      </w:pPr>
    </w:p>
    <w:p>
      <w:pPr>
        <w:ind w:left="520"/>
        <w:spacing w:after="0"/>
        <w:rPr>
          <w:sz w:val="20"/>
          <w:szCs w:val="20"/>
          <w:color w:val="auto"/>
        </w:rPr>
      </w:pPr>
      <w:r>
        <w:rPr>
          <w:rFonts w:ascii="Arial" w:cs="Arial" w:eastAsia="Arial" w:hAnsi="Arial"/>
          <w:sz w:val="18"/>
          <w:szCs w:val="18"/>
          <w:color w:val="auto"/>
        </w:rPr>
        <w:t>Dated: Aug 13, 2015</w:t>
      </w:r>
    </w:p>
    <w:p>
      <w:pPr>
        <w:sectPr>
          <w:pgSz w:w="11900" w:h="16838" w:orient="portrait"/>
          <w:cols w:equalWidth="0" w:num="1">
            <w:col w:w="11460"/>
          </w:cols>
          <w:pgMar w:left="240" w:top="544" w:right="19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0"/>
        </w:trPr>
        <w:tc>
          <w:tcPr>
            <w:tcW w:w="10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40" w:type="dxa"/>
            <w:vAlign w:val="bottom"/>
            <w:gridSpan w:val="3"/>
          </w:tcPr>
          <w:p>
            <w:pPr>
              <w:ind w:left="4120"/>
              <w:spacing w:after="0"/>
              <w:rPr>
                <w:sz w:val="20"/>
                <w:szCs w:val="20"/>
                <w:color w:val="auto"/>
              </w:rPr>
            </w:pPr>
            <w:r>
              <w:rPr>
                <w:rFonts w:ascii="Arial" w:cs="Arial" w:eastAsia="Arial" w:hAnsi="Arial"/>
                <w:sz w:val="18"/>
                <w:szCs w:val="18"/>
                <w:color w:val="auto"/>
              </w:rPr>
              <w:t>VERACYTE, INC.</w:t>
            </w:r>
          </w:p>
        </w:tc>
        <w:tc>
          <w:tcPr>
            <w:tcW w:w="40" w:type="dxa"/>
            <w:vAlign w:val="bottom"/>
          </w:tcPr>
          <w:p>
            <w:pPr>
              <w:spacing w:after="0"/>
              <w:rPr>
                <w:sz w:val="20"/>
                <w:szCs w:val="20"/>
                <w:color w:val="auto"/>
              </w:rPr>
            </w:pPr>
          </w:p>
        </w:tc>
      </w:tr>
      <w:tr>
        <w:trPr>
          <w:trHeight w:val="648"/>
        </w:trPr>
        <w:tc>
          <w:tcPr>
            <w:tcW w:w="1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20" w:type="dxa"/>
            <w:vAlign w:val="bottom"/>
          </w:tcPr>
          <w:p>
            <w:pPr>
              <w:ind w:left="4120"/>
              <w:spacing w:after="0"/>
              <w:rPr>
                <w:sz w:val="20"/>
                <w:szCs w:val="20"/>
                <w:color w:val="auto"/>
              </w:rPr>
            </w:pPr>
            <w:r>
              <w:rPr>
                <w:rFonts w:ascii="Arial" w:cs="Arial" w:eastAsia="Arial" w:hAnsi="Arial"/>
                <w:sz w:val="18"/>
                <w:szCs w:val="18"/>
                <w:color w:val="auto"/>
              </w:rPr>
              <w:t>By</w:t>
            </w:r>
          </w:p>
        </w:tc>
        <w:tc>
          <w:tcPr>
            <w:tcW w:w="200" w:type="dxa"/>
            <w:vAlign w:val="bottom"/>
          </w:tcPr>
          <w:p>
            <w:pPr>
              <w:spacing w:after="0"/>
              <w:rPr>
                <w:sz w:val="24"/>
                <w:szCs w:val="24"/>
                <w:color w:val="auto"/>
              </w:rPr>
            </w:pPr>
          </w:p>
        </w:tc>
        <w:tc>
          <w:tcPr>
            <w:tcW w:w="5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Shelly D. Guyer</w:t>
            </w:r>
          </w:p>
        </w:tc>
        <w:tc>
          <w:tcPr>
            <w:tcW w:w="40" w:type="dxa"/>
            <w:vAlign w:val="bottom"/>
          </w:tcPr>
          <w:p>
            <w:pPr>
              <w:spacing w:after="0"/>
              <w:rPr>
                <w:sz w:val="24"/>
                <w:szCs w:val="24"/>
                <w:color w:val="auto"/>
              </w:rPr>
            </w:pPr>
          </w:p>
        </w:tc>
      </w:tr>
      <w:tr>
        <w:trPr>
          <w:trHeight w:val="195"/>
        </w:trPr>
        <w:tc>
          <w:tcPr>
            <w:tcW w:w="10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620" w:type="dxa"/>
            <w:vAlign w:val="bottom"/>
          </w:tcPr>
          <w:p>
            <w:pPr>
              <w:ind w:left="4120"/>
              <w:spacing w:after="0" w:line="195" w:lineRule="exact"/>
              <w:rPr>
                <w:sz w:val="20"/>
                <w:szCs w:val="20"/>
                <w:color w:val="auto"/>
              </w:rPr>
            </w:pPr>
            <w:r>
              <w:rPr>
                <w:rFonts w:ascii="Arial" w:cs="Arial" w:eastAsia="Arial" w:hAnsi="Arial"/>
                <w:sz w:val="18"/>
                <w:szCs w:val="18"/>
                <w:color w:val="auto"/>
                <w:w w:val="90"/>
              </w:rPr>
              <w:t>Name:</w:t>
            </w:r>
          </w:p>
        </w:tc>
        <w:tc>
          <w:tcPr>
            <w:tcW w:w="200" w:type="dxa"/>
            <w:vAlign w:val="bottom"/>
          </w:tcPr>
          <w:p>
            <w:pPr>
              <w:spacing w:after="0"/>
              <w:rPr>
                <w:sz w:val="16"/>
                <w:szCs w:val="16"/>
                <w:color w:val="auto"/>
              </w:rPr>
            </w:pPr>
          </w:p>
        </w:tc>
        <w:tc>
          <w:tcPr>
            <w:tcW w:w="5220" w:type="dxa"/>
            <w:vAlign w:val="bottom"/>
          </w:tcPr>
          <w:p>
            <w:pPr>
              <w:spacing w:after="0" w:line="195" w:lineRule="exact"/>
              <w:rPr>
                <w:sz w:val="20"/>
                <w:szCs w:val="20"/>
                <w:color w:val="auto"/>
              </w:rPr>
            </w:pPr>
            <w:r>
              <w:rPr>
                <w:rFonts w:ascii="Arial" w:cs="Arial" w:eastAsia="Arial" w:hAnsi="Arial"/>
                <w:sz w:val="18"/>
                <w:szCs w:val="18"/>
                <w:color w:val="auto"/>
              </w:rPr>
              <w:t>Shelly D. Guyer</w:t>
            </w:r>
          </w:p>
        </w:tc>
        <w:tc>
          <w:tcPr>
            <w:tcW w:w="40" w:type="dxa"/>
            <w:vAlign w:val="bottom"/>
          </w:tcPr>
          <w:p>
            <w:pPr>
              <w:spacing w:after="0"/>
              <w:rPr>
                <w:sz w:val="16"/>
                <w:szCs w:val="16"/>
                <w:color w:val="auto"/>
              </w:rPr>
            </w:pPr>
          </w:p>
        </w:tc>
      </w:tr>
      <w:tr>
        <w:trPr>
          <w:trHeight w:val="230"/>
        </w:trPr>
        <w:tc>
          <w:tcPr>
            <w:tcW w:w="10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620" w:type="dxa"/>
            <w:vAlign w:val="bottom"/>
          </w:tcPr>
          <w:p>
            <w:pPr>
              <w:ind w:left="4120"/>
              <w:spacing w:after="0"/>
              <w:rPr>
                <w:sz w:val="20"/>
                <w:szCs w:val="20"/>
                <w:color w:val="auto"/>
              </w:rPr>
            </w:pPr>
            <w:r>
              <w:rPr>
                <w:rFonts w:ascii="Arial" w:cs="Arial" w:eastAsia="Arial" w:hAnsi="Arial"/>
                <w:sz w:val="18"/>
                <w:szCs w:val="18"/>
                <w:color w:val="auto"/>
              </w:rPr>
              <w:t>Title:</w:t>
            </w:r>
          </w:p>
        </w:tc>
        <w:tc>
          <w:tcPr>
            <w:tcW w:w="200" w:type="dxa"/>
            <w:vAlign w:val="bottom"/>
          </w:tcPr>
          <w:p>
            <w:pPr>
              <w:spacing w:after="0"/>
              <w:rPr>
                <w:sz w:val="20"/>
                <w:szCs w:val="20"/>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40" w:type="dxa"/>
            <w:vAlign w:val="bottom"/>
          </w:tcPr>
          <w:p>
            <w:pPr>
              <w:spacing w:after="0"/>
              <w:rPr>
                <w:sz w:val="20"/>
                <w:szCs w:val="20"/>
                <w:color w:val="auto"/>
              </w:rPr>
            </w:pPr>
          </w:p>
        </w:tc>
      </w:tr>
      <w:tr>
        <w:trPr>
          <w:trHeight w:val="432"/>
        </w:trPr>
        <w:tc>
          <w:tcPr>
            <w:tcW w:w="1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20" w:type="dxa"/>
            <w:vAlign w:val="bottom"/>
          </w:tcPr>
          <w:p>
            <w:pPr>
              <w:ind w:left="4280"/>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24"/>
                <w:szCs w:val="24"/>
                <w:color w:val="auto"/>
              </w:rPr>
            </w:pPr>
          </w:p>
        </w:tc>
        <w:tc>
          <w:tcPr>
            <w:tcW w:w="52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104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10040" w:type="dxa"/>
            <w:vAlign w:val="bottom"/>
            <w:tcBorders>
              <w:bottom w:val="single" w:sz="8" w:color="808080"/>
            </w:tcBorders>
            <w:gridSpan w:val="3"/>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r>
        <w:trPr>
          <w:trHeight w:val="780"/>
        </w:trPr>
        <w:tc>
          <w:tcPr>
            <w:tcW w:w="1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40" w:type="dxa"/>
            <w:vAlign w:val="bottom"/>
            <w:gridSpan w:val="3"/>
          </w:tcPr>
          <w:p>
            <w:pPr>
              <w:ind w:left="3440"/>
              <w:spacing w:after="0"/>
              <w:rPr>
                <w:sz w:val="20"/>
                <w:szCs w:val="20"/>
                <w:color w:val="auto"/>
              </w:rPr>
            </w:pPr>
            <w:r>
              <w:rPr>
                <w:rFonts w:ascii="Arial" w:cs="Arial" w:eastAsia="Arial" w:hAnsi="Arial"/>
                <w:sz w:val="18"/>
                <w:szCs w:val="18"/>
                <w:b w:val="1"/>
                <w:bCs w:val="1"/>
                <w:color w:val="auto"/>
              </w:rPr>
              <w:t>INDEX TO EXHIBITS</w:t>
            </w:r>
          </w:p>
        </w:tc>
        <w:tc>
          <w:tcPr>
            <w:tcW w:w="40" w:type="dxa"/>
            <w:vAlign w:val="bottom"/>
          </w:tcPr>
          <w:p>
            <w:pPr>
              <w:spacing w:after="0"/>
              <w:rPr>
                <w:sz w:val="24"/>
                <w:szCs w:val="24"/>
                <w:color w:val="auto"/>
              </w:rPr>
            </w:pPr>
          </w:p>
        </w:tc>
      </w:tr>
      <w:tr>
        <w:trPr>
          <w:trHeight w:val="365"/>
        </w:trPr>
        <w:tc>
          <w:tcPr>
            <w:tcW w:w="1380" w:type="dxa"/>
            <w:vAlign w:val="bottom"/>
            <w:gridSpan w:val="2"/>
          </w:tcPr>
          <w:p>
            <w:pPr>
              <w:spacing w:after="0"/>
              <w:rPr>
                <w:sz w:val="20"/>
                <w:szCs w:val="20"/>
                <w:color w:val="auto"/>
              </w:rPr>
            </w:pPr>
            <w:r>
              <w:rPr>
                <w:rFonts w:ascii="Arial" w:cs="Arial" w:eastAsia="Arial" w:hAnsi="Arial"/>
                <w:sz w:val="14"/>
                <w:szCs w:val="14"/>
                <w:b w:val="1"/>
                <w:bCs w:val="1"/>
                <w:color w:val="auto"/>
              </w:rPr>
              <w:t>Exhibit No.</w:t>
            </w:r>
          </w:p>
        </w:tc>
        <w:tc>
          <w:tcPr>
            <w:tcW w:w="4620" w:type="dxa"/>
            <w:vAlign w:val="bottom"/>
          </w:tcPr>
          <w:p>
            <w:pPr>
              <w:spacing w:after="0"/>
              <w:rPr>
                <w:sz w:val="24"/>
                <w:szCs w:val="24"/>
                <w:color w:val="auto"/>
              </w:rPr>
            </w:pPr>
          </w:p>
        </w:tc>
        <w:tc>
          <w:tcPr>
            <w:tcW w:w="5420" w:type="dxa"/>
            <w:vAlign w:val="bottom"/>
            <w:gridSpan w:val="2"/>
          </w:tcPr>
          <w:p>
            <w:pPr>
              <w:ind w:left="40"/>
              <w:spacing w:after="0"/>
              <w:rPr>
                <w:sz w:val="20"/>
                <w:szCs w:val="20"/>
                <w:color w:val="auto"/>
              </w:rPr>
            </w:pPr>
            <w:r>
              <w:rPr>
                <w:rFonts w:ascii="Arial" w:cs="Arial" w:eastAsia="Arial" w:hAnsi="Arial"/>
                <w:sz w:val="14"/>
                <w:szCs w:val="14"/>
                <w:b w:val="1"/>
                <w:bCs w:val="1"/>
                <w:color w:val="auto"/>
              </w:rPr>
              <w:t>Description</w:t>
            </w:r>
          </w:p>
        </w:tc>
        <w:tc>
          <w:tcPr>
            <w:tcW w:w="40" w:type="dxa"/>
            <w:vAlign w:val="bottom"/>
          </w:tcPr>
          <w:p>
            <w:pPr>
              <w:spacing w:after="0"/>
              <w:rPr>
                <w:sz w:val="24"/>
                <w:szCs w:val="24"/>
                <w:color w:val="auto"/>
              </w:rPr>
            </w:pPr>
          </w:p>
        </w:tc>
      </w:tr>
      <w:tr>
        <w:trPr>
          <w:trHeight w:val="426"/>
        </w:trPr>
        <w:tc>
          <w:tcPr>
            <w:tcW w:w="10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99.1</w:t>
            </w:r>
          </w:p>
        </w:tc>
        <w:tc>
          <w:tcPr>
            <w:tcW w:w="340" w:type="dxa"/>
            <w:vAlign w:val="bottom"/>
          </w:tcPr>
          <w:p>
            <w:pPr>
              <w:spacing w:after="0"/>
              <w:rPr>
                <w:sz w:val="24"/>
                <w:szCs w:val="24"/>
                <w:color w:val="auto"/>
              </w:rPr>
            </w:pPr>
          </w:p>
        </w:tc>
        <w:tc>
          <w:tcPr>
            <w:tcW w:w="46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5"/>
              </w:rPr>
              <w:t>Press Release issued by Veracyte, Inc. dated Aug 13, 2015.</w:t>
            </w:r>
          </w:p>
        </w:tc>
        <w:tc>
          <w:tcPr>
            <w:tcW w:w="200" w:type="dxa"/>
            <w:vAlign w:val="bottom"/>
            <w:tcBorders>
              <w:top w:val="single" w:sz="8" w:color="auto"/>
            </w:tcBorders>
          </w:tcPr>
          <w:p>
            <w:pPr>
              <w:spacing w:after="0"/>
              <w:rPr>
                <w:sz w:val="24"/>
                <w:szCs w:val="24"/>
                <w:color w:val="auto"/>
              </w:rPr>
            </w:pPr>
          </w:p>
        </w:tc>
        <w:tc>
          <w:tcPr>
            <w:tcW w:w="522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432"/>
        </w:trPr>
        <w:tc>
          <w:tcPr>
            <w:tcW w:w="1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20" w:type="dxa"/>
            <w:vAlign w:val="bottom"/>
          </w:tcPr>
          <w:p>
            <w:pPr>
              <w:ind w:left="4280"/>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24"/>
                <w:szCs w:val="24"/>
                <w:color w:val="auto"/>
              </w:rPr>
            </w:pPr>
          </w:p>
        </w:tc>
        <w:tc>
          <w:tcPr>
            <w:tcW w:w="52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104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462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52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-1409700</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-1409700</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1" w:right="199" w:bottom="1440" w:gutter="0" w:footer="0" w:header="0"/>
        </w:sectPr>
      </w:pPr>
    </w:p>
    <w:bookmarkStart w:id="2" w:name="page3"/>
    <w:bookmarkEnd w:id="2"/>
    <w:p>
      <w:pPr>
        <w:spacing w:after="0" w:line="4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2877820</wp:posOffset>
            </wp:positionH>
            <wp:positionV relativeFrom="paragraph">
              <wp:posOffset>154940</wp:posOffset>
            </wp:positionV>
            <wp:extent cx="1509395" cy="7118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509395" cy="711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color w:val="auto"/>
        </w:rPr>
        <w:t>For Immediate Release</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Veracyte Announces Second Quarter 2015 Financial Results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Revenue Increased 37% Compared to Second Quarter 2014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Conference Call and Webcast Today at 4:30 p.m. ET</w:t>
      </w:r>
    </w:p>
    <w:p>
      <w:pPr>
        <w:spacing w:after="0" w:line="225"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SOUTH SAN FRANCISCO, Calif., August 13, 2015 — Veracyte, Inc. (NASDAQ: VCYT) today announced financial results for the second quarter ended June 30, 2015 and provided an update on recent business progress. For the second quarter of 2015, revenue was $11.9 million, an increase of 37%, compared to $8.7 million for the second quarter of 2014. Afirma</w:t>
      </w:r>
      <w:r>
        <w:rPr>
          <w:rFonts w:ascii="Arial" w:cs="Arial" w:eastAsia="Arial" w:hAnsi="Arial"/>
          <w:sz w:val="23"/>
          <w:szCs w:val="23"/>
          <w:color w:val="auto"/>
          <w:vertAlign w:val="superscript"/>
        </w:rPr>
        <w:t>®</w:t>
      </w:r>
      <w:r>
        <w:rPr>
          <w:rFonts w:ascii="Arial" w:cs="Arial" w:eastAsia="Arial" w:hAnsi="Arial"/>
          <w:sz w:val="18"/>
          <w:szCs w:val="18"/>
          <w:color w:val="auto"/>
        </w:rPr>
        <w:t xml:space="preserve"> Gene Expression Classifier (GEC) volume increased to 4,758 tests, an increase of 38%, compared to the same period in 2014, bringing first-half 2015 GEC volume to 8,778 tests.</w:t>
      </w:r>
    </w:p>
    <w:p>
      <w:pPr>
        <w:spacing w:after="0" w:line="202"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“We continue to see strong growth of Afirma across both community-based physicians and institutions, driven by increased insurance coverage and contracts and by the deepening recognition among providers and payers of our solution’s proven value in reducing unnecessary surgeries and healthcare costs. This increased adoption puts us on track to achieve our annual growth goals,” said Bonnie H. Anderson, Veracyte’s president and chief executive officer. “In our second clinical indication, pulmonology, we are pleased with our progress in securing early adopters for our Percepta™ Bronchial Genomic Classifier. This allows us to build the clinical evidence to secure coverage for this genomic test, which is designed to reduce ambiguity in lung cancer diagnosis.”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Second Quarter 2015 Financial Results</w:t>
      </w:r>
    </w:p>
    <w:p>
      <w:pPr>
        <w:spacing w:after="0" w:line="229" w:lineRule="exact"/>
        <w:rPr>
          <w:sz w:val="20"/>
          <w:szCs w:val="20"/>
          <w:color w:val="auto"/>
        </w:rPr>
      </w:pPr>
    </w:p>
    <w:p>
      <w:pPr>
        <w:ind w:left="660" w:right="60" w:hanging="328"/>
        <w:spacing w:after="0" w:line="291" w:lineRule="auto"/>
        <w:tabs>
          <w:tab w:leader="none" w:pos="624" w:val="left"/>
        </w:tabs>
        <w:numPr>
          <w:ilvl w:val="0"/>
          <w:numId w:val="2"/>
        </w:numPr>
        <w:rPr>
          <w:rFonts w:ascii="Arial" w:cs="Arial" w:eastAsia="Arial" w:hAnsi="Arial"/>
          <w:sz w:val="16"/>
          <w:szCs w:val="16"/>
          <w:color w:val="auto"/>
        </w:rPr>
      </w:pPr>
      <w:r>
        <w:rPr>
          <w:rFonts w:ascii="Arial" w:cs="Arial" w:eastAsia="Arial" w:hAnsi="Arial"/>
          <w:sz w:val="16"/>
          <w:szCs w:val="16"/>
          <w:color w:val="auto"/>
        </w:rPr>
        <w:t>Operating expenses for the second quarter of 2015 were $21.0 million, compared to operating expenses of $15.2 million for the same period in 2014. Operating expenses include cost of revenue of $5.1 million for the second quarter of 2015 versus $4.0 million for the comparable period in 2014.</w:t>
      </w:r>
    </w:p>
    <w:p>
      <w:pPr>
        <w:ind w:left="660" w:right="220" w:hanging="328"/>
        <w:spacing w:after="0" w:line="250" w:lineRule="auto"/>
        <w:tabs>
          <w:tab w:leader="none" w:pos="624" w:val="left"/>
        </w:tabs>
        <w:numPr>
          <w:ilvl w:val="0"/>
          <w:numId w:val="2"/>
        </w:numPr>
        <w:rPr>
          <w:rFonts w:ascii="Arial" w:cs="Arial" w:eastAsia="Arial" w:hAnsi="Arial"/>
          <w:sz w:val="18"/>
          <w:szCs w:val="18"/>
          <w:color w:val="auto"/>
        </w:rPr>
      </w:pPr>
      <w:r>
        <w:rPr>
          <w:rFonts w:ascii="Arial" w:cs="Arial" w:eastAsia="Arial" w:hAnsi="Arial"/>
          <w:sz w:val="18"/>
          <w:szCs w:val="18"/>
          <w:color w:val="auto"/>
        </w:rPr>
        <w:t>Net loss for the second quarter of 2015 was $9.1 million, or $0.35 per common share, compared to a net loss of $6.7 million, or $0.31 per common share, for the same period in 2014.</w:t>
      </w:r>
    </w:p>
    <w:p>
      <w:pPr>
        <w:ind w:left="660" w:right="320" w:hanging="328"/>
        <w:spacing w:after="0" w:line="261" w:lineRule="auto"/>
        <w:tabs>
          <w:tab w:leader="none" w:pos="624" w:val="left"/>
        </w:tabs>
        <w:numPr>
          <w:ilvl w:val="0"/>
          <w:numId w:val="2"/>
        </w:numPr>
        <w:rPr>
          <w:rFonts w:ascii="Arial" w:cs="Arial" w:eastAsia="Arial" w:hAnsi="Arial"/>
          <w:sz w:val="18"/>
          <w:szCs w:val="18"/>
          <w:color w:val="auto"/>
        </w:rPr>
      </w:pPr>
      <w:r>
        <w:rPr>
          <w:rFonts w:ascii="Arial" w:cs="Arial" w:eastAsia="Arial" w:hAnsi="Arial"/>
          <w:sz w:val="18"/>
          <w:szCs w:val="18"/>
          <w:color w:val="auto"/>
        </w:rPr>
        <w:t>Cash and cash equivalents as of June 30, 2015 totaled $51.0 million. On April 28, 2015, Veracyte completed a $40.0 million private placement of common stock to new and existing investors, with net proceeds of approximately $37.3 million.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Second Quarter and Recent Business Highlights</w:t>
      </w:r>
    </w:p>
    <w:p>
      <w:pPr>
        <w:spacing w:after="0" w:line="229" w:lineRule="exact"/>
        <w:rPr>
          <w:sz w:val="20"/>
          <w:szCs w:val="20"/>
          <w:color w:val="auto"/>
        </w:rPr>
      </w:pPr>
    </w:p>
    <w:p>
      <w:pPr>
        <w:ind w:left="660" w:right="260" w:hanging="328"/>
        <w:spacing w:after="0" w:line="286" w:lineRule="auto"/>
        <w:tabs>
          <w:tab w:leader="none" w:pos="624" w:val="left"/>
        </w:tabs>
        <w:numPr>
          <w:ilvl w:val="0"/>
          <w:numId w:val="3"/>
        </w:numPr>
        <w:rPr>
          <w:rFonts w:ascii="Arial" w:cs="Arial" w:eastAsia="Arial" w:hAnsi="Arial"/>
          <w:sz w:val="17"/>
          <w:szCs w:val="17"/>
          <w:color w:val="auto"/>
        </w:rPr>
      </w:pPr>
      <w:r>
        <w:rPr>
          <w:rFonts w:ascii="Arial" w:cs="Arial" w:eastAsia="Arial" w:hAnsi="Arial"/>
          <w:sz w:val="17"/>
          <w:szCs w:val="17"/>
          <w:color w:val="auto"/>
        </w:rPr>
        <w:t>In June 2015, the company signed a contract with Aetna that established Veracyte as an in-network service provider to their more than 23 million medical members nationwide. Also in the second quarter, the company signed a contract with Premera Blue Cross, establishing a greater foothold within the broad network of Blues plans, and increasing Veracyte’s in-network, contracted lives to over 120 million.</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400" w:hanging="328"/>
        <w:spacing w:after="0" w:line="274" w:lineRule="auto"/>
        <w:tabs>
          <w:tab w:leader="none" w:pos="624" w:val="left"/>
        </w:tabs>
        <w:numPr>
          <w:ilvl w:val="0"/>
          <w:numId w:val="4"/>
        </w:numPr>
        <w:rPr>
          <w:rFonts w:ascii="Arial" w:cs="Arial" w:eastAsia="Arial" w:hAnsi="Arial"/>
          <w:sz w:val="17"/>
          <w:szCs w:val="17"/>
          <w:color w:val="auto"/>
        </w:rPr>
      </w:pPr>
      <w:r>
        <w:rPr>
          <w:rFonts w:ascii="Arial" w:cs="Arial" w:eastAsia="Arial" w:hAnsi="Arial"/>
          <w:sz w:val="17"/>
          <w:szCs w:val="17"/>
          <w:color w:val="auto"/>
        </w:rPr>
        <w:t>In July 2015, the company signed an exclusive agreement with Pronto Diagnostics to promote the Afirma GEC in Israel. Pronto Diagnostics is a leading molecular test developer and distributor that represents several leading U.S. diagnostics brands in the country.</w:t>
      </w:r>
    </w:p>
    <w:p>
      <w:pPr>
        <w:ind w:left="660" w:right="80" w:hanging="328"/>
        <w:spacing w:after="0" w:line="250" w:lineRule="auto"/>
        <w:tabs>
          <w:tab w:leader="none" w:pos="624" w:val="left"/>
        </w:tabs>
        <w:numPr>
          <w:ilvl w:val="0"/>
          <w:numId w:val="4"/>
        </w:numPr>
        <w:rPr>
          <w:rFonts w:ascii="Arial" w:cs="Arial" w:eastAsia="Arial" w:hAnsi="Arial"/>
          <w:sz w:val="18"/>
          <w:szCs w:val="18"/>
          <w:color w:val="auto"/>
        </w:rPr>
      </w:pPr>
      <w:r>
        <w:rPr>
          <w:rFonts w:ascii="Arial" w:cs="Arial" w:eastAsia="Arial" w:hAnsi="Arial"/>
          <w:sz w:val="18"/>
          <w:szCs w:val="18"/>
          <w:color w:val="auto"/>
        </w:rPr>
        <w:t>Veracyte entered the pulmonology market in April with the launch of its Percepta Bronchial Genomic Classifier designed to help reduce unnecessary invasive procedures in lung cancer diagnosis.</w:t>
      </w:r>
    </w:p>
    <w:p>
      <w:pPr>
        <w:ind w:left="660" w:right="300" w:hanging="328"/>
        <w:spacing w:after="0" w:line="261" w:lineRule="auto"/>
        <w:tabs>
          <w:tab w:leader="none" w:pos="624"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The AEGIS I and II validation studies for Percepta were published in </w:t>
      </w:r>
      <w:r>
        <w:rPr>
          <w:rFonts w:ascii="Arial" w:cs="Arial" w:eastAsia="Arial" w:hAnsi="Arial"/>
          <w:sz w:val="18"/>
          <w:szCs w:val="18"/>
          <w:i w:val="1"/>
          <w:iCs w:val="1"/>
          <w:color w:val="auto"/>
        </w:rPr>
        <w:t>The New England Journal of Medicine</w:t>
      </w:r>
      <w:r>
        <w:rPr>
          <w:rFonts w:ascii="Arial" w:cs="Arial" w:eastAsia="Arial" w:hAnsi="Arial"/>
          <w:sz w:val="18"/>
          <w:szCs w:val="18"/>
          <w:color w:val="auto"/>
        </w:rPr>
        <w:t xml:space="preserve"> in July 2015 in an article entitled “A Bronchial Genomic Classifier for the Diagnostic Evaluation of Lung Cancer.”</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2015 Financial Outlook</w:t>
      </w:r>
    </w:p>
    <w:p>
      <w:pPr>
        <w:spacing w:after="0" w:line="22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Veracyte reiterates its 2015 annual revenue guidance of $48 million to $53 million, as well as its forecast to achieve annual Afirma GEC test volume in the range of 19,000 to 21,000.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&amp; Webcast Details</w:t>
      </w:r>
    </w:p>
    <w:p>
      <w:pPr>
        <w:spacing w:after="0" w:line="229"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Veracyte will host a conference call and webcast today at 4:30 p.m. Eastern Time to discuss the company’s financial results and provide a general business update. The live webcast and subsequent replay may be accessed by visiting Veracyte’s website at http://investor.veracyte.com. Alternatively, please call (855) 541-0980 (U.S.) or (970) 315-0440 (international) to listen to the live conference call. The conference ID number is 95180684. The webcast replay will be available on the company’s website approximately two hours following completion of the call.</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Veracyte</w:t>
      </w:r>
    </w:p>
    <w:p>
      <w:pPr>
        <w:spacing w:after="0" w:line="229" w:lineRule="exact"/>
        <w:rPr>
          <w:sz w:val="20"/>
          <w:szCs w:val="20"/>
          <w:color w:val="auto"/>
        </w:rPr>
      </w:pPr>
    </w:p>
    <w:p>
      <w:pPr>
        <w:ind w:right="120"/>
        <w:spacing w:after="0" w:line="285" w:lineRule="auto"/>
        <w:rPr>
          <w:sz w:val="20"/>
          <w:szCs w:val="20"/>
          <w:color w:val="auto"/>
        </w:rPr>
      </w:pPr>
      <w:r>
        <w:rPr>
          <w:rFonts w:ascii="Arial" w:cs="Arial" w:eastAsia="Arial" w:hAnsi="Arial"/>
          <w:sz w:val="16"/>
          <w:szCs w:val="16"/>
          <w:color w:val="auto"/>
        </w:rPr>
        <w:t>Veracyte (NASDAQ: VCYT) is pioneering the field of molecular cytology, offering genomic solutions that resolve diagnostic ambiguity and enable physicians to make more informed treatment decisions at an early stage in patient care. By improving preoperative diagnostic accuracy, the company aims to help patients avoid unnecessary invasive procedures while reducing healthcare costs. Veracyte’s Afirma® Thyroid FNA Analysis centers on the proprietary Afirma Gene Expression Classifier (GEC) and is becoming a new standard of care in thyroid nodule assessment. The Afirma test is recommended in leading practice guidelines and is covered for nearly 150 million lives in the United States, including through Medicare and many commercial insurance</w:t>
      </w:r>
    </w:p>
    <w:p>
      <w:pPr>
        <w:spacing w:after="0" w:line="2" w:lineRule="exact"/>
        <w:rPr>
          <w:sz w:val="20"/>
          <w:szCs w:val="20"/>
          <w:color w:val="auto"/>
        </w:rPr>
      </w:pPr>
    </w:p>
    <w:p>
      <w:pPr>
        <w:ind w:right="340"/>
        <w:spacing w:after="0" w:line="254" w:lineRule="auto"/>
        <w:rPr>
          <w:sz w:val="20"/>
          <w:szCs w:val="20"/>
          <w:color w:val="auto"/>
        </w:rPr>
      </w:pPr>
      <w:r>
        <w:rPr>
          <w:rFonts w:ascii="Arial" w:cs="Arial" w:eastAsia="Arial" w:hAnsi="Arial"/>
          <w:sz w:val="18"/>
          <w:szCs w:val="18"/>
          <w:color w:val="auto"/>
        </w:rPr>
        <w:t>plans. Veracyte is expanding its molecular cytology franchise to other clinical areas, beginning with difficult-to-diagnose lung diseases. In April 2015, the company launched the Percepta™ Bronchial Genomic Classifier, a test to evaluate patients with lung nodules that are suspicious for cancer. Veracyte is developing a second product in pulmonology, targeting interstitial lung diseases, including idiopathic pulmonary fibrosis. For more information, please visit www.veracyte.com.</w:t>
      </w:r>
    </w:p>
    <w:p>
      <w:pPr>
        <w:sectPr>
          <w:pgSz w:w="11900" w:h="16882" w:orient="portrait"/>
          <w:cols w:equalWidth="0" w:num="1">
            <w:col w:w="11420"/>
          </w:cols>
          <w:pgMar w:left="240" w:top="121" w:right="239" w:bottom="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ind w:right="240"/>
        <w:spacing w:after="0" w:line="255" w:lineRule="auto"/>
        <w:rPr>
          <w:sz w:val="20"/>
          <w:szCs w:val="20"/>
          <w:color w:val="auto"/>
        </w:rPr>
      </w:pPr>
      <w:r>
        <w:rPr>
          <w:rFonts w:ascii="Arial" w:cs="Arial" w:eastAsia="Arial" w:hAnsi="Arial"/>
          <w:sz w:val="18"/>
          <w:szCs w:val="18"/>
          <w:color w:val="auto"/>
        </w:rPr>
        <w:t>This press release contains “forward-looking statements” within the meaning of the Private Securities Litigation Reform Act of 1995. Forward-looking statements can be identified by words such as: “anticipate,” “intend,” “plan,” “expect,” “believe,” “should,” “may,” “will” and similar references to future periods. Examples of forward-looking statements include, among others, statements we make regarding our beliefs regarding the drivers of adoption of Afirma, our expectations with respect to the success of our entry into the pulmonology market, our expectations regarding full-year 2015 guidance and forecast for annual GEC test volume, and the value and potential of our technology and research and development pipeline. Forward-looking statements are neither historical facts nor assurances of future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198120</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color w:val="auto"/>
        </w:rPr>
        <w:t>Instead, they are based only on our current beliefs, expectations and assumptions regarding the future of our business, future plans and strategies, anticipated events and trends, the economy and other future conditions. Forward-looking statements involve risks and uncertainties, which could cause actual results to differ materially, and reported results should not be considered as an indication of future performance. These risks and uncertainties include, but are not limited to: our limited operating history and history of losses; our ability to increase usage of and reimbursement for Afirma and to obtain reimbursement for any future products we may develop or sell; our ability to continue our momentum and growth; our dependence on a few payers for a significant portion of our revenue; the complexity, time and expense associated with billing and collecting from payers for our test; laws and regulations applicable to our business, including potential regulation by the Food and Drug Administration or other regulatory bodies; our dependence on strategic relationships and our ability to successfully convert new accounts resulting from such relationships; our ability to develop and commercialize new products and the timing of commercialization; our ability to successfully achieve adoption of and reimbursement for our Percepta Bronchial Genomic Classifier; our ability to achieve sales penetration in complex commercial accounts; the occurrence and outcome of clinical studies; the timing and publication of study results; the applicability of clinical results to actual outcomes; our inclusion in clinical practice guidelines; the continued application of clinical guidelines to our products; our ability to compete; our ability to expand into international markets and achieve adoption of our tests in such markets; our ability to obtain capital when needed; and other risks set forth in the company’s filings with the Securities and Exchange Commission, including the risks set forth in the company’s Quarterly Report on Form 10-Q for the quarter ended March 31, 2015. These forward-looking statements speak only as of the date hereof and Veracyte specifically disclaims any obligation to update these forward-looking statements.</w:t>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color w:val="auto"/>
        </w:rPr>
        <w:t>Veracyte, Afirma, Percepta, the Veracyte logo, and the Afirma logo are trademarks or registered trademarks of Veracyte, Inc.</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VERACYTE,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920" w:type="dxa"/>
            <w:vAlign w:val="bottom"/>
            <w:gridSpan w:val="5"/>
          </w:tcPr>
          <w:p>
            <w:pPr>
              <w:jc w:val="right"/>
              <w:ind w:right="780"/>
              <w:spacing w:after="0"/>
              <w:rPr>
                <w:sz w:val="20"/>
                <w:szCs w:val="20"/>
                <w:color w:val="auto"/>
              </w:rPr>
            </w:pPr>
            <w:r>
              <w:rPr>
                <w:rFonts w:ascii="Arial" w:cs="Arial" w:eastAsia="Arial" w:hAnsi="Arial"/>
                <w:sz w:val="14"/>
                <w:szCs w:val="14"/>
                <w:b w:val="1"/>
                <w:bCs w:val="1"/>
                <w:color w:val="auto"/>
              </w:rPr>
              <w:t>Three Months Ended June 30,</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780" w:type="dxa"/>
            <w:vAlign w:val="bottom"/>
            <w:gridSpan w:val="6"/>
          </w:tcPr>
          <w:p>
            <w:pPr>
              <w:jc w:val="right"/>
              <w:ind w:right="760"/>
              <w:spacing w:after="0"/>
              <w:rPr>
                <w:sz w:val="20"/>
                <w:szCs w:val="20"/>
                <w:color w:val="auto"/>
              </w:rPr>
            </w:pPr>
            <w:r>
              <w:rPr>
                <w:rFonts w:ascii="Arial" w:cs="Arial" w:eastAsia="Arial" w:hAnsi="Arial"/>
                <w:sz w:val="14"/>
                <w:szCs w:val="14"/>
                <w:b w:val="1"/>
                <w:bCs w:val="1"/>
                <w:color w:val="auto"/>
              </w:rPr>
              <w:t>Six Months Ended June 30,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720" w:type="dxa"/>
            <w:vAlign w:val="bottom"/>
            <w:tcBorders>
              <w:bottom w:val="single" w:sz="8" w:color="CCEEFF"/>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52"/>
              <w:spacing w:after="0" w:line="142" w:lineRule="exact"/>
              <w:rPr>
                <w:sz w:val="20"/>
                <w:szCs w:val="20"/>
                <w:color w:val="auto"/>
              </w:rPr>
            </w:pPr>
            <w:r>
              <w:rPr>
                <w:rFonts w:ascii="Arial" w:cs="Arial" w:eastAsia="Arial" w:hAnsi="Arial"/>
                <w:sz w:val="14"/>
                <w:szCs w:val="14"/>
                <w:b w:val="1"/>
                <w:bCs w:val="1"/>
                <w:color w:val="auto"/>
              </w:rPr>
              <w:t>2015</w:t>
            </w:r>
          </w:p>
        </w:tc>
        <w:tc>
          <w:tcPr>
            <w:tcW w:w="30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2014</w:t>
            </w:r>
          </w:p>
        </w:tc>
        <w:tc>
          <w:tcPr>
            <w:tcW w:w="18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2"/>
              <w:spacing w:after="0" w:line="142" w:lineRule="exact"/>
              <w:rPr>
                <w:sz w:val="20"/>
                <w:szCs w:val="20"/>
                <w:color w:val="auto"/>
              </w:rPr>
            </w:pPr>
            <w:r>
              <w:rPr>
                <w:rFonts w:ascii="Arial" w:cs="Arial" w:eastAsia="Arial" w:hAnsi="Arial"/>
                <w:sz w:val="14"/>
                <w:szCs w:val="14"/>
                <w:b w:val="1"/>
                <w:bCs w:val="1"/>
                <w:color w:val="auto"/>
              </w:rPr>
              <w:t>2015</w:t>
            </w:r>
          </w:p>
        </w:tc>
        <w:tc>
          <w:tcPr>
            <w:tcW w:w="28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2014</w:t>
            </w: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11,908</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8,677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23,126</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16,153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Operating expenses:</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Cost of revenue</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5,139</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3,966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9,705</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7,573</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tcPr>
          <w:p>
            <w:pPr>
              <w:ind w:left="200"/>
              <w:spacing w:after="0"/>
              <w:rPr>
                <w:sz w:val="20"/>
                <w:szCs w:val="20"/>
                <w:color w:val="auto"/>
              </w:rPr>
            </w:pPr>
            <w:r>
              <w:rPr>
                <w:rFonts w:ascii="Arial" w:cs="Arial" w:eastAsia="Arial" w:hAnsi="Arial"/>
                <w:sz w:val="18"/>
                <w:szCs w:val="18"/>
                <w:color w:val="auto"/>
              </w:rPr>
              <w:t>Research and development</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3,103</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2,243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5,890</w:t>
            </w:r>
          </w:p>
        </w:tc>
        <w:tc>
          <w:tcPr>
            <w:tcW w:w="3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4,369</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Selling and marketing</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6,937</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5,101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12,557</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9,437</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tcPr>
          <w:p>
            <w:pPr>
              <w:ind w:left="200"/>
              <w:spacing w:after="0"/>
              <w:rPr>
                <w:sz w:val="20"/>
                <w:szCs w:val="20"/>
                <w:color w:val="auto"/>
              </w:rPr>
            </w:pPr>
            <w:r>
              <w:rPr>
                <w:rFonts w:ascii="Arial" w:cs="Arial" w:eastAsia="Arial" w:hAnsi="Arial"/>
                <w:sz w:val="18"/>
                <w:szCs w:val="18"/>
                <w:color w:val="auto"/>
              </w:rPr>
              <w:t>General and administrative</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5,536</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3,928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11,334</w:t>
            </w:r>
          </w:p>
        </w:tc>
        <w:tc>
          <w:tcPr>
            <w:tcW w:w="3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7,910</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Intangible asset amortization</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267</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267</w:t>
            </w:r>
          </w:p>
        </w:tc>
        <w:tc>
          <w:tcPr>
            <w:tcW w:w="3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2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Total operating expenses</w:t>
            </w:r>
          </w:p>
        </w:tc>
        <w:tc>
          <w:tcPr>
            <w:tcW w:w="28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20,982</w:t>
            </w:r>
          </w:p>
        </w:tc>
        <w:tc>
          <w:tcPr>
            <w:tcW w:w="30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15,238</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39,753</w:t>
            </w:r>
          </w:p>
        </w:tc>
        <w:tc>
          <w:tcPr>
            <w:tcW w:w="28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29,289</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(9,074)</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(16,627)</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(13,136)</w:t>
            </w:r>
          </w:p>
        </w:tc>
        <w:tc>
          <w:tcPr>
            <w:tcW w:w="100" w:type="dxa"/>
            <w:vAlign w:val="bottom"/>
            <w:gridSpan w:val="2"/>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Interest expense</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(90)</w:t>
            </w:r>
          </w:p>
        </w:tc>
        <w:tc>
          <w:tcPr>
            <w:tcW w:w="32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(177)</w:t>
            </w:r>
          </w:p>
        </w:tc>
        <w:tc>
          <w:tcPr>
            <w:tcW w:w="320" w:type="dxa"/>
            <w:vAlign w:val="bottom"/>
          </w:tcPr>
          <w:p>
            <w:pPr>
              <w:spacing w:after="0"/>
              <w:rPr>
                <w:sz w:val="18"/>
                <w:szCs w:val="18"/>
                <w:color w:val="auto"/>
              </w:rPr>
            </w:pPr>
          </w:p>
        </w:tc>
        <w:tc>
          <w:tcPr>
            <w:tcW w:w="1140" w:type="dxa"/>
            <w:vAlign w:val="bottom"/>
            <w:gridSpan w:val="3"/>
          </w:tcPr>
          <w:p>
            <w:pPr>
              <w:jc w:val="right"/>
              <w:ind w:right="40"/>
              <w:spacing w:after="0"/>
              <w:rPr>
                <w:sz w:val="20"/>
                <w:szCs w:val="20"/>
                <w:color w:val="auto"/>
              </w:rPr>
            </w:pPr>
            <w:r>
              <w:rPr>
                <w:rFonts w:ascii="Arial" w:cs="Arial" w:eastAsia="Arial" w:hAnsi="Arial"/>
                <w:sz w:val="18"/>
                <w:szCs w:val="18"/>
                <w:color w:val="auto"/>
              </w:rPr>
              <w:t>(224)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58</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7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loss and comprehensive loss</w:t>
            </w:r>
          </w:p>
        </w:tc>
        <w:tc>
          <w:tcPr>
            <w:tcW w:w="280" w:type="dxa"/>
            <w:vAlign w:val="bottom"/>
            <w:tcBorders>
              <w:bottom w:val="single" w:sz="8" w:color="CCEEFF"/>
            </w:tcBorders>
          </w:tcPr>
          <w:p>
            <w:pPr>
              <w:spacing w:after="0"/>
              <w:rPr>
                <w:sz w:val="21"/>
                <w:szCs w:val="21"/>
                <w:color w:val="auto"/>
              </w:rPr>
            </w:pP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(9,136)</w:t>
            </w:r>
          </w:p>
        </w:tc>
        <w:tc>
          <w:tcPr>
            <w:tcW w:w="300" w:type="dxa"/>
            <w:vAlign w:val="bottom"/>
            <w:tcBorders>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(6,655)</w:t>
            </w:r>
          </w:p>
        </w:tc>
        <w:tc>
          <w:tcPr>
            <w:tcW w:w="18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(16,746)</w:t>
            </w:r>
          </w:p>
        </w:tc>
        <w:tc>
          <w:tcPr>
            <w:tcW w:w="280" w:type="dxa"/>
            <w:vAlign w:val="bottom"/>
            <w:tcBorders>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(13,329)</w:t>
            </w:r>
          </w:p>
        </w:tc>
        <w:tc>
          <w:tcPr>
            <w:tcW w:w="100" w:type="dxa"/>
            <w:vAlign w:val="bottom"/>
            <w:tcBorders>
              <w:bottom w:val="single" w:sz="8" w:color="CCEEFF"/>
            </w:tcBorders>
            <w:gridSpan w:val="2"/>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472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Net loss per common share, basic and diluted</w:t>
            </w:r>
          </w:p>
        </w:tc>
        <w:tc>
          <w:tcPr>
            <w:tcW w:w="2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(0.35)</w:t>
            </w:r>
          </w:p>
        </w:tc>
        <w:tc>
          <w:tcPr>
            <w:tcW w:w="3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(0.31)</w:t>
            </w:r>
          </w:p>
        </w:tc>
        <w:tc>
          <w:tcPr>
            <w:tcW w:w="1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(0.69)</w:t>
            </w:r>
          </w:p>
        </w:tc>
        <w:tc>
          <w:tcPr>
            <w:tcW w:w="28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(0.63)</w:t>
            </w:r>
          </w:p>
        </w:tc>
        <w:tc>
          <w:tcPr>
            <w:tcW w:w="100" w:type="dxa"/>
            <w:vAlign w:val="bottom"/>
            <w:tcBorders>
              <w:bottom w:val="single" w:sz="8" w:color="CCEEFF"/>
            </w:tcBorders>
            <w:gridSpan w:val="2"/>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720" w:type="dxa"/>
            <w:vAlign w:val="bottom"/>
            <w:vMerge w:val="restart"/>
          </w:tcPr>
          <w:p>
            <w:pPr>
              <w:spacing w:after="0" w:line="195" w:lineRule="exact"/>
              <w:rPr>
                <w:sz w:val="20"/>
                <w:szCs w:val="20"/>
                <w:color w:val="auto"/>
              </w:rPr>
            </w:pPr>
            <w:r>
              <w:rPr>
                <w:rFonts w:ascii="Arial" w:cs="Arial" w:eastAsia="Arial" w:hAnsi="Arial"/>
                <w:sz w:val="18"/>
                <w:szCs w:val="18"/>
                <w:color w:val="auto"/>
                <w:w w:val="93"/>
              </w:rPr>
              <w:t>Shares used to compute net loss per common share, basic and</w:t>
            </w: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472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60" w:type="dxa"/>
            <w:vAlign w:val="bottom"/>
            <w:gridSpan w:val="2"/>
            <w:vMerge w:val="restart"/>
          </w:tcPr>
          <w:p>
            <w:pPr>
              <w:jc w:val="right"/>
              <w:ind w:right="300"/>
              <w:spacing w:after="0"/>
              <w:rPr>
                <w:sz w:val="20"/>
                <w:szCs w:val="20"/>
                <w:color w:val="auto"/>
              </w:rPr>
            </w:pPr>
            <w:r>
              <w:rPr>
                <w:rFonts w:ascii="Arial" w:cs="Arial" w:eastAsia="Arial" w:hAnsi="Arial"/>
                <w:sz w:val="18"/>
                <w:szCs w:val="18"/>
                <w:color w:val="auto"/>
              </w:rPr>
              <w:t>26,048,934</w:t>
            </w:r>
          </w:p>
        </w:tc>
        <w:tc>
          <w:tcPr>
            <w:tcW w:w="320" w:type="dxa"/>
            <w:vAlign w:val="bottom"/>
          </w:tcPr>
          <w:p>
            <w:pPr>
              <w:spacing w:after="0"/>
              <w:rPr>
                <w:sz w:val="13"/>
                <w:szCs w:val="13"/>
                <w:color w:val="auto"/>
              </w:rPr>
            </w:pPr>
          </w:p>
        </w:tc>
        <w:tc>
          <w:tcPr>
            <w:tcW w:w="124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21,237,196</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20" w:type="dxa"/>
            <w:vAlign w:val="bottom"/>
            <w:gridSpan w:val="2"/>
            <w:vMerge w:val="restart"/>
          </w:tcPr>
          <w:p>
            <w:pPr>
              <w:jc w:val="right"/>
              <w:ind w:right="280"/>
              <w:spacing w:after="0"/>
              <w:rPr>
                <w:sz w:val="20"/>
                <w:szCs w:val="20"/>
                <w:color w:val="auto"/>
              </w:rPr>
            </w:pPr>
            <w:r>
              <w:rPr>
                <w:rFonts w:ascii="Arial" w:cs="Arial" w:eastAsia="Arial" w:hAnsi="Arial"/>
                <w:sz w:val="18"/>
                <w:szCs w:val="18"/>
                <w:color w:val="auto"/>
              </w:rPr>
              <w:t>24,304,022</w:t>
            </w:r>
          </w:p>
        </w:tc>
        <w:tc>
          <w:tcPr>
            <w:tcW w:w="320" w:type="dxa"/>
            <w:vAlign w:val="bottom"/>
          </w:tcPr>
          <w:p>
            <w:pPr>
              <w:spacing w:after="0"/>
              <w:rPr>
                <w:sz w:val="13"/>
                <w:szCs w:val="13"/>
                <w:color w:val="auto"/>
              </w:rPr>
            </w:pPr>
          </w:p>
        </w:tc>
        <w:tc>
          <w:tcPr>
            <w:tcW w:w="106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21,193,014</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7"/>
        </w:trPr>
        <w:tc>
          <w:tcPr>
            <w:tcW w:w="4720" w:type="dxa"/>
            <w:vAlign w:val="bottom"/>
          </w:tcPr>
          <w:p>
            <w:pPr>
              <w:ind w:left="180"/>
              <w:spacing w:after="0"/>
              <w:rPr>
                <w:sz w:val="20"/>
                <w:szCs w:val="20"/>
                <w:color w:val="auto"/>
              </w:rPr>
            </w:pPr>
            <w:r>
              <w:rPr>
                <w:rFonts w:ascii="Arial" w:cs="Arial" w:eastAsia="Arial" w:hAnsi="Arial"/>
                <w:sz w:val="18"/>
                <w:szCs w:val="18"/>
                <w:color w:val="auto"/>
              </w:rPr>
              <w:t>diluted</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vMerge w:val="continue"/>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vMerge w:val="continue"/>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8"/>
        </w:trPr>
        <w:tc>
          <w:tcPr>
            <w:tcW w:w="472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106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106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104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104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VERACYTE,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9"/>
              </w:rPr>
              <w:t>June 30,</w:t>
            </w: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40" w:type="dxa"/>
            <w:vAlign w:val="bottom"/>
            <w:gridSpan w:val="2"/>
          </w:tcPr>
          <w:p>
            <w:pPr>
              <w:ind w:left="16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7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center"/>
              <w:ind w:right="194"/>
              <w:spacing w:after="0"/>
              <w:rPr>
                <w:sz w:val="20"/>
                <w:szCs w:val="20"/>
                <w:color w:val="auto"/>
              </w:rPr>
            </w:pPr>
            <w:r>
              <w:rPr>
                <w:rFonts w:ascii="Arial" w:cs="Arial" w:eastAsia="Arial" w:hAnsi="Arial"/>
                <w:sz w:val="14"/>
                <w:szCs w:val="14"/>
                <w:b w:val="1"/>
                <w:bCs w:val="1"/>
                <w:color w:val="auto"/>
                <w:w w:val="96"/>
              </w:rPr>
              <w:t>2015</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ind w:right="634"/>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4"/>
                <w:szCs w:val="14"/>
                <w:color w:val="auto"/>
              </w:rPr>
            </w:pPr>
          </w:p>
        </w:tc>
      </w:tr>
      <w:tr>
        <w:trPr>
          <w:trHeight w:val="142"/>
        </w:trPr>
        <w:tc>
          <w:tcPr>
            <w:tcW w:w="7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20" w:type="dxa"/>
            <w:vAlign w:val="bottom"/>
          </w:tcPr>
          <w:p>
            <w:pPr>
              <w:jc w:val="center"/>
              <w:ind w:right="194"/>
              <w:spacing w:after="0" w:line="142" w:lineRule="exact"/>
              <w:rPr>
                <w:sz w:val="20"/>
                <w:szCs w:val="20"/>
                <w:color w:val="auto"/>
              </w:rPr>
            </w:pPr>
            <w:r>
              <w:rPr>
                <w:rFonts w:ascii="Arial" w:cs="Arial" w:eastAsia="Arial" w:hAnsi="Arial"/>
                <w:sz w:val="14"/>
                <w:szCs w:val="14"/>
                <w:b w:val="1"/>
                <w:bCs w:val="1"/>
                <w:color w:val="auto"/>
                <w:w w:val="95"/>
              </w:rPr>
              <w:t>(Unaudited)</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40" w:type="dxa"/>
            <w:vAlign w:val="bottom"/>
          </w:tcPr>
          <w:p>
            <w:pPr>
              <w:jc w:val="right"/>
              <w:ind w:right="694"/>
              <w:spacing w:after="0" w:line="142" w:lineRule="exact"/>
              <w:rPr>
                <w:sz w:val="20"/>
                <w:szCs w:val="20"/>
                <w:color w:val="auto"/>
              </w:rPr>
            </w:pPr>
            <w:r>
              <w:rPr>
                <w:rFonts w:ascii="Arial" w:cs="Arial" w:eastAsia="Arial" w:hAnsi="Arial"/>
                <w:sz w:val="14"/>
                <w:szCs w:val="14"/>
                <w:b w:val="1"/>
                <w:bCs w:val="1"/>
                <w:color w:val="auto"/>
              </w:rPr>
              <w:t>(1)</w:t>
            </w:r>
          </w:p>
        </w:tc>
        <w:tc>
          <w:tcPr>
            <w:tcW w:w="100" w:type="dxa"/>
            <w:vAlign w:val="bottom"/>
          </w:tcPr>
          <w:p>
            <w:pPr>
              <w:spacing w:after="0"/>
              <w:rPr>
                <w:sz w:val="12"/>
                <w:szCs w:val="12"/>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Current assets:</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51,045</w:t>
            </w: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35,014</w:t>
            </w:r>
          </w:p>
        </w:tc>
      </w:tr>
      <w:tr>
        <w:trPr>
          <w:trHeight w:val="202"/>
        </w:trPr>
        <w:tc>
          <w:tcPr>
            <w:tcW w:w="7320" w:type="dxa"/>
            <w:vAlign w:val="bottom"/>
          </w:tcPr>
          <w:p>
            <w:pPr>
              <w:ind w:left="360"/>
              <w:spacing w:after="0" w:line="201" w:lineRule="exact"/>
              <w:rPr>
                <w:sz w:val="20"/>
                <w:szCs w:val="20"/>
                <w:color w:val="auto"/>
              </w:rPr>
            </w:pPr>
            <w:r>
              <w:rPr>
                <w:rFonts w:ascii="Arial" w:cs="Arial" w:eastAsia="Arial" w:hAnsi="Arial"/>
                <w:sz w:val="18"/>
                <w:szCs w:val="18"/>
                <w:color w:val="auto"/>
                <w:w w:val="93"/>
              </w:rPr>
              <w:t>Accounts receivable, net of allowance of $92 and $84 as of June 30, 2015 and December 31,</w:t>
            </w: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7320" w:type="dxa"/>
            <w:vAlign w:val="bottom"/>
          </w:tcPr>
          <w:p>
            <w:pPr>
              <w:ind w:left="540"/>
              <w:spacing w:after="0"/>
              <w:rPr>
                <w:sz w:val="20"/>
                <w:szCs w:val="20"/>
                <w:color w:val="auto"/>
              </w:rPr>
            </w:pPr>
            <w:r>
              <w:rPr>
                <w:rFonts w:ascii="Arial" w:cs="Arial" w:eastAsia="Arial" w:hAnsi="Arial"/>
                <w:sz w:val="18"/>
                <w:szCs w:val="18"/>
                <w:color w:val="auto"/>
              </w:rPr>
              <w:t>2014</w:t>
            </w: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60" w:type="dxa"/>
            <w:vAlign w:val="bottom"/>
            <w:gridSpan w:val="2"/>
          </w:tcPr>
          <w:p>
            <w:pPr>
              <w:jc w:val="right"/>
              <w:ind w:right="140"/>
              <w:spacing w:after="0"/>
              <w:rPr>
                <w:sz w:val="20"/>
                <w:szCs w:val="20"/>
                <w:color w:val="auto"/>
              </w:rPr>
            </w:pPr>
            <w:r>
              <w:rPr>
                <w:rFonts w:ascii="Arial" w:cs="Arial" w:eastAsia="Arial" w:hAnsi="Arial"/>
                <w:sz w:val="18"/>
                <w:szCs w:val="18"/>
                <w:color w:val="auto"/>
              </w:rPr>
              <w:t>3,586</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3,050</w:t>
            </w:r>
          </w:p>
        </w:tc>
      </w:tr>
      <w:tr>
        <w:trPr>
          <w:trHeight w:val="216"/>
        </w:trPr>
        <w:tc>
          <w:tcPr>
            <w:tcW w:w="7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Supplies inventory</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3,976</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3,696</w:t>
            </w:r>
          </w:p>
        </w:tc>
      </w:tr>
      <w:tr>
        <w:trPr>
          <w:trHeight w:val="216"/>
        </w:trPr>
        <w:tc>
          <w:tcPr>
            <w:tcW w:w="7320" w:type="dxa"/>
            <w:vAlign w:val="bottom"/>
          </w:tcPr>
          <w:p>
            <w:pPr>
              <w:ind w:left="360"/>
              <w:spacing w:after="0"/>
              <w:rPr>
                <w:sz w:val="20"/>
                <w:szCs w:val="20"/>
                <w:color w:val="auto"/>
              </w:rPr>
            </w:pPr>
            <w:r>
              <w:rPr>
                <w:rFonts w:ascii="Arial" w:cs="Arial" w:eastAsia="Arial" w:hAnsi="Arial"/>
                <w:sz w:val="18"/>
                <w:szCs w:val="18"/>
                <w:color w:val="auto"/>
              </w:rPr>
              <w:t>Prepaid expenses and other current assets</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60" w:type="dxa"/>
            <w:vAlign w:val="bottom"/>
            <w:gridSpan w:val="2"/>
          </w:tcPr>
          <w:p>
            <w:pPr>
              <w:jc w:val="right"/>
              <w:ind w:right="140"/>
              <w:spacing w:after="0"/>
              <w:rPr>
                <w:sz w:val="20"/>
                <w:szCs w:val="20"/>
                <w:color w:val="auto"/>
              </w:rPr>
            </w:pPr>
            <w:r>
              <w:rPr>
                <w:rFonts w:ascii="Arial" w:cs="Arial" w:eastAsia="Arial" w:hAnsi="Arial"/>
                <w:sz w:val="18"/>
                <w:szCs w:val="18"/>
                <w:color w:val="auto"/>
              </w:rPr>
              <w:t>1,735</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1,218</w:t>
            </w:r>
          </w:p>
        </w:tc>
      </w:tr>
      <w:tr>
        <w:trPr>
          <w:trHeight w:val="216"/>
        </w:trPr>
        <w:tc>
          <w:tcPr>
            <w:tcW w:w="7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tax asset</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254</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w:t>
            </w:r>
          </w:p>
        </w:tc>
      </w:tr>
      <w:tr>
        <w:trPr>
          <w:trHeight w:val="216"/>
        </w:trPr>
        <w:tc>
          <w:tcPr>
            <w:tcW w:w="7320" w:type="dxa"/>
            <w:vAlign w:val="bottom"/>
          </w:tcPr>
          <w:p>
            <w:pPr>
              <w:ind w:left="360"/>
              <w:spacing w:after="0"/>
              <w:rPr>
                <w:sz w:val="20"/>
                <w:szCs w:val="20"/>
                <w:color w:val="auto"/>
              </w:rPr>
            </w:pPr>
            <w:r>
              <w:rPr>
                <w:rFonts w:ascii="Arial" w:cs="Arial" w:eastAsia="Arial" w:hAnsi="Arial"/>
                <w:sz w:val="18"/>
                <w:szCs w:val="18"/>
                <w:color w:val="auto"/>
              </w:rPr>
              <w:t>Restricted cash</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60" w:type="dxa"/>
            <w:vAlign w:val="bottom"/>
            <w:gridSpan w:val="2"/>
          </w:tcPr>
          <w:p>
            <w:pPr>
              <w:jc w:val="right"/>
              <w:ind w:right="140"/>
              <w:spacing w:after="0"/>
              <w:rPr>
                <w:sz w:val="20"/>
                <w:szCs w:val="20"/>
                <w:color w:val="auto"/>
              </w:rPr>
            </w:pPr>
            <w:r>
              <w:rPr>
                <w:rFonts w:ascii="Arial" w:cs="Arial" w:eastAsia="Arial" w:hAnsi="Arial"/>
                <w:sz w:val="18"/>
                <w:szCs w:val="18"/>
                <w:color w:val="auto"/>
              </w:rPr>
              <w:t>118</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70</w:t>
            </w:r>
          </w:p>
        </w:tc>
      </w:tr>
      <w:tr>
        <w:trPr>
          <w:trHeight w:val="210"/>
        </w:trPr>
        <w:tc>
          <w:tcPr>
            <w:tcW w:w="7320" w:type="dxa"/>
            <w:vAlign w:val="bottom"/>
            <w:tcBorders>
              <w:top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Total current assets</w:t>
            </w:r>
          </w:p>
        </w:tc>
        <w:tc>
          <w:tcPr>
            <w:tcW w:w="3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60,714</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43,348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60" w:type="dxa"/>
            <w:vAlign w:val="bottom"/>
            <w:gridSpan w:val="2"/>
          </w:tcPr>
          <w:p>
            <w:pPr>
              <w:jc w:val="right"/>
              <w:ind w:right="140"/>
              <w:spacing w:after="0"/>
              <w:rPr>
                <w:sz w:val="20"/>
                <w:szCs w:val="20"/>
                <w:color w:val="auto"/>
              </w:rPr>
            </w:pPr>
            <w:r>
              <w:rPr>
                <w:rFonts w:ascii="Arial" w:cs="Arial" w:eastAsia="Arial" w:hAnsi="Arial"/>
                <w:sz w:val="18"/>
                <w:szCs w:val="18"/>
                <w:color w:val="auto"/>
              </w:rPr>
              <w:t>4,211</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4,161</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Finite-lived intangible assets, net</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15,733</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bl>
    <w:p>
      <w:pPr>
        <w:sectPr>
          <w:pgSz w:w="11900" w:h="16838" w:orient="portrait"/>
          <w:cols w:equalWidth="0" w:num="1">
            <w:col w:w="11460"/>
          </w:cols>
          <w:pgMar w:left="240" w:top="337" w:right="199" w:bottom="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360" w:type="dxa"/>
            <w:vAlign w:val="bottom"/>
          </w:tcPr>
          <w:p>
            <w:pPr>
              <w:spacing w:after="0"/>
              <w:rPr>
                <w:sz w:val="20"/>
                <w:szCs w:val="20"/>
                <w:color w:val="auto"/>
              </w:rPr>
            </w:pPr>
            <w:r>
              <w:rPr>
                <w:rFonts w:ascii="Arial" w:cs="Arial" w:eastAsia="Arial" w:hAnsi="Arial"/>
                <w:sz w:val="18"/>
                <w:szCs w:val="18"/>
                <w:color w:val="auto"/>
              </w:rPr>
              <w:t>Indefinite-lived intangible assets: in-process research and development</w:t>
            </w:r>
          </w:p>
        </w:tc>
        <w:tc>
          <w:tcPr>
            <w:tcW w:w="2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16,000</w:t>
            </w:r>
          </w:p>
        </w:tc>
        <w:tc>
          <w:tcPr>
            <w:tcW w:w="80" w:type="dxa"/>
            <w:vAlign w:val="bottom"/>
          </w:tcPr>
          <w:p>
            <w:pPr>
              <w:spacing w:after="0"/>
              <w:rPr>
                <w:sz w:val="20"/>
                <w:szCs w:val="20"/>
                <w:color w:val="auto"/>
              </w:rPr>
            </w:pPr>
          </w:p>
        </w:tc>
      </w:tr>
      <w:tr>
        <w:trPr>
          <w:trHeight w:val="216"/>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1,057</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1,057</w:t>
            </w:r>
          </w:p>
        </w:tc>
        <w:tc>
          <w:tcPr>
            <w:tcW w:w="80" w:type="dxa"/>
            <w:vAlign w:val="bottom"/>
            <w:shd w:val="clear" w:color="auto" w:fill="CCEEFF"/>
          </w:tcPr>
          <w:p>
            <w:pPr>
              <w:spacing w:after="0"/>
              <w:rPr>
                <w:sz w:val="18"/>
                <w:szCs w:val="18"/>
                <w:color w:val="auto"/>
              </w:rPr>
            </w:pPr>
          </w:p>
        </w:tc>
      </w:tr>
      <w:tr>
        <w:trPr>
          <w:trHeight w:val="216"/>
        </w:trPr>
        <w:tc>
          <w:tcPr>
            <w:tcW w:w="7360" w:type="dxa"/>
            <w:vAlign w:val="bottom"/>
          </w:tcPr>
          <w:p>
            <w:pPr>
              <w:spacing w:after="0"/>
              <w:rPr>
                <w:sz w:val="20"/>
                <w:szCs w:val="20"/>
                <w:color w:val="auto"/>
              </w:rPr>
            </w:pPr>
            <w:r>
              <w:rPr>
                <w:rFonts w:ascii="Arial" w:cs="Arial" w:eastAsia="Arial" w:hAnsi="Arial"/>
                <w:sz w:val="18"/>
                <w:szCs w:val="18"/>
                <w:color w:val="auto"/>
              </w:rPr>
              <w:t>Restricted cash</w:t>
            </w: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603</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40" w:type="dxa"/>
            <w:vAlign w:val="bottom"/>
            <w:gridSpan w:val="3"/>
          </w:tcPr>
          <w:p>
            <w:pPr>
              <w:jc w:val="right"/>
              <w:ind w:right="100"/>
              <w:spacing w:after="0"/>
              <w:rPr>
                <w:sz w:val="20"/>
                <w:szCs w:val="20"/>
                <w:color w:val="auto"/>
              </w:rPr>
            </w:pPr>
            <w:r>
              <w:rPr>
                <w:rFonts w:ascii="Arial" w:cs="Arial" w:eastAsia="Arial" w:hAnsi="Arial"/>
                <w:sz w:val="18"/>
                <w:szCs w:val="18"/>
                <w:color w:val="auto"/>
              </w:rPr>
              <w:t>118</w:t>
            </w:r>
          </w:p>
        </w:tc>
      </w:tr>
      <w:tr>
        <w:trPr>
          <w:trHeight w:val="216"/>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185</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155</w:t>
            </w:r>
          </w:p>
        </w:tc>
        <w:tc>
          <w:tcPr>
            <w:tcW w:w="80" w:type="dxa"/>
            <w:vAlign w:val="bottom"/>
            <w:shd w:val="clear" w:color="auto" w:fill="CCEEFF"/>
          </w:tcPr>
          <w:p>
            <w:pPr>
              <w:spacing w:after="0"/>
              <w:rPr>
                <w:sz w:val="18"/>
                <w:szCs w:val="18"/>
                <w:color w:val="auto"/>
              </w:rPr>
            </w:pPr>
          </w:p>
        </w:tc>
      </w:tr>
      <w:tr>
        <w:trPr>
          <w:trHeight w:val="250"/>
        </w:trPr>
        <w:tc>
          <w:tcPr>
            <w:tcW w:w="7360" w:type="dxa"/>
            <w:vAlign w:val="bottom"/>
            <w:tcBorders>
              <w:bottom w:val="single" w:sz="8" w:color="CCEEFF"/>
            </w:tcBorders>
          </w:tcPr>
          <w:p>
            <w:pPr>
              <w:ind w:left="540"/>
              <w:spacing w:after="0"/>
              <w:rPr>
                <w:sz w:val="20"/>
                <w:szCs w:val="20"/>
                <w:color w:val="auto"/>
              </w:rPr>
            </w:pPr>
            <w:r>
              <w:rPr>
                <w:rFonts w:ascii="Arial" w:cs="Arial" w:eastAsia="Arial" w:hAnsi="Arial"/>
                <w:sz w:val="18"/>
                <w:szCs w:val="18"/>
                <w:color w:val="auto"/>
              </w:rPr>
              <w:t>Total assets</w:t>
            </w:r>
          </w:p>
        </w:tc>
        <w:tc>
          <w:tcPr>
            <w:tcW w:w="260" w:type="dxa"/>
            <w:vAlign w:val="bottom"/>
            <w:tcBorders>
              <w:bottom w:val="single" w:sz="8" w:color="CCEEFF"/>
            </w:tcBorders>
          </w:tcPr>
          <w:p>
            <w:pPr>
              <w:spacing w:after="0"/>
              <w:rPr>
                <w:sz w:val="21"/>
                <w:szCs w:val="21"/>
                <w:color w:val="auto"/>
              </w:rPr>
            </w:pPr>
          </w:p>
        </w:tc>
        <w:tc>
          <w:tcPr>
            <w:tcW w:w="580" w:type="dxa"/>
            <w:vAlign w:val="bottom"/>
            <w:tcBorders>
              <w:top w:val="single" w:sz="8" w:color="auto"/>
              <w:bottom w:val="single" w:sz="8" w:color="auto"/>
            </w:tcBorders>
          </w:tcPr>
          <w:p>
            <w:pPr>
              <w:jc w:val="right"/>
              <w:ind w:right="42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82,503</w:t>
            </w:r>
          </w:p>
        </w:tc>
        <w:tc>
          <w:tcPr>
            <w:tcW w:w="30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54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0"/>
                <w:szCs w:val="10"/>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64,839</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r>
      <w:tr>
        <w:trPr>
          <w:trHeight w:val="170"/>
        </w:trPr>
        <w:tc>
          <w:tcPr>
            <w:tcW w:w="7360" w:type="dxa"/>
            <w:vAlign w:val="bottom"/>
            <w:shd w:val="clear" w:color="auto" w:fill="CCEEFF"/>
          </w:tcPr>
          <w:p>
            <w:pPr>
              <w:spacing w:after="0" w:line="170" w:lineRule="exact"/>
              <w:rPr>
                <w:sz w:val="20"/>
                <w:szCs w:val="20"/>
                <w:color w:val="auto"/>
              </w:rPr>
            </w:pPr>
            <w:r>
              <w:rPr>
                <w:rFonts w:ascii="Arial" w:cs="Arial" w:eastAsia="Arial" w:hAnsi="Arial"/>
                <w:sz w:val="18"/>
                <w:szCs w:val="18"/>
                <w:b w:val="1"/>
                <w:bCs w:val="1"/>
                <w:color w:val="auto"/>
              </w:rPr>
              <w:t>Liabilities and Stockholders’ Equity</w:t>
            </w:r>
          </w:p>
        </w:tc>
        <w:tc>
          <w:tcPr>
            <w:tcW w:w="2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216"/>
        </w:trPr>
        <w:tc>
          <w:tcPr>
            <w:tcW w:w="7360" w:type="dxa"/>
            <w:vAlign w:val="bottom"/>
          </w:tcPr>
          <w:p>
            <w:pPr>
              <w:spacing w:after="0"/>
              <w:rPr>
                <w:sz w:val="20"/>
                <w:szCs w:val="20"/>
                <w:color w:val="auto"/>
              </w:rPr>
            </w:pPr>
            <w:r>
              <w:rPr>
                <w:rFonts w:ascii="Arial" w:cs="Arial" w:eastAsia="Arial" w:hAnsi="Arial"/>
                <w:sz w:val="18"/>
                <w:szCs w:val="18"/>
                <w:color w:val="auto"/>
              </w:rPr>
              <w:t>Current liabilities:</w:t>
            </w: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payable</w:t>
            </w:r>
          </w:p>
        </w:tc>
        <w:tc>
          <w:tcPr>
            <w:tcW w:w="840" w:type="dxa"/>
            <w:vAlign w:val="bottom"/>
            <w:gridSpan w:val="2"/>
            <w:shd w:val="clear" w:color="auto" w:fill="CCEEFF"/>
          </w:tcPr>
          <w:p>
            <w:pPr>
              <w:jc w:val="right"/>
              <w:ind w:right="425"/>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2,688</w:t>
            </w:r>
          </w:p>
        </w:tc>
        <w:tc>
          <w:tcPr>
            <w:tcW w:w="560" w:type="dxa"/>
            <w:vAlign w:val="bottom"/>
            <w:gridSpan w:val="2"/>
            <w:shd w:val="clear" w:color="auto" w:fill="CCEEFF"/>
          </w:tcPr>
          <w:p>
            <w:pPr>
              <w:jc w:val="right"/>
              <w:ind w:right="430"/>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7,397</w:t>
            </w:r>
          </w:p>
        </w:tc>
        <w:tc>
          <w:tcPr>
            <w:tcW w:w="80" w:type="dxa"/>
            <w:vAlign w:val="bottom"/>
            <w:shd w:val="clear" w:color="auto" w:fill="CCEEFF"/>
          </w:tcPr>
          <w:p>
            <w:pPr>
              <w:spacing w:after="0"/>
              <w:rPr>
                <w:sz w:val="18"/>
                <w:szCs w:val="18"/>
                <w:color w:val="auto"/>
              </w:rPr>
            </w:pPr>
          </w:p>
        </w:tc>
      </w:tr>
      <w:tr>
        <w:trPr>
          <w:trHeight w:val="216"/>
        </w:trPr>
        <w:tc>
          <w:tcPr>
            <w:tcW w:w="7360" w:type="dxa"/>
            <w:vAlign w:val="bottom"/>
          </w:tcPr>
          <w:p>
            <w:pPr>
              <w:ind w:left="360"/>
              <w:spacing w:after="0"/>
              <w:rPr>
                <w:sz w:val="20"/>
                <w:szCs w:val="20"/>
                <w:color w:val="auto"/>
              </w:rPr>
            </w:pPr>
            <w:r>
              <w:rPr>
                <w:rFonts w:ascii="Arial" w:cs="Arial" w:eastAsia="Arial" w:hAnsi="Arial"/>
                <w:sz w:val="18"/>
                <w:szCs w:val="18"/>
                <w:color w:val="auto"/>
              </w:rPr>
              <w:t>Accrued liabilities</w:t>
            </w: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7,217</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7,851</w:t>
            </w:r>
          </w:p>
        </w:tc>
        <w:tc>
          <w:tcPr>
            <w:tcW w:w="80" w:type="dxa"/>
            <w:vAlign w:val="bottom"/>
          </w:tcPr>
          <w:p>
            <w:pPr>
              <w:spacing w:after="0"/>
              <w:rPr>
                <w:sz w:val="18"/>
                <w:szCs w:val="18"/>
                <w:color w:val="auto"/>
              </w:rPr>
            </w:pPr>
          </w:p>
        </w:tc>
      </w:tr>
      <w:tr>
        <w:trPr>
          <w:trHeight w:val="216"/>
        </w:trPr>
        <w:tc>
          <w:tcPr>
            <w:tcW w:w="7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Genzyme co-promotion fee</w:t>
            </w: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1,897</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1,897</w:t>
            </w:r>
          </w:p>
        </w:tc>
        <w:tc>
          <w:tcPr>
            <w:tcW w:w="80" w:type="dxa"/>
            <w:vAlign w:val="bottom"/>
            <w:shd w:val="clear" w:color="auto" w:fill="CCEEFF"/>
          </w:tcPr>
          <w:p>
            <w:pPr>
              <w:spacing w:after="0"/>
              <w:rPr>
                <w:sz w:val="18"/>
                <w:szCs w:val="18"/>
                <w:color w:val="auto"/>
              </w:rPr>
            </w:pPr>
          </w:p>
        </w:tc>
      </w:tr>
      <w:tr>
        <w:trPr>
          <w:trHeight w:val="210"/>
        </w:trPr>
        <w:tc>
          <w:tcPr>
            <w:tcW w:w="7360" w:type="dxa"/>
            <w:vAlign w:val="bottom"/>
          </w:tcPr>
          <w:p>
            <w:pPr>
              <w:ind w:left="540"/>
              <w:spacing w:after="0"/>
              <w:rPr>
                <w:sz w:val="20"/>
                <w:szCs w:val="20"/>
                <w:color w:val="auto"/>
              </w:rPr>
            </w:pPr>
            <w:r>
              <w:rPr>
                <w:rFonts w:ascii="Arial" w:cs="Arial" w:eastAsia="Arial" w:hAnsi="Arial"/>
                <w:sz w:val="18"/>
                <w:szCs w:val="18"/>
                <w:color w:val="auto"/>
              </w:rPr>
              <w:t>Total current liabilities</w:t>
            </w:r>
          </w:p>
        </w:tc>
        <w:tc>
          <w:tcPr>
            <w:tcW w:w="260" w:type="dxa"/>
            <w:vAlign w:val="bottom"/>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11,802</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17,145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4,975</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4,923</w:t>
            </w:r>
          </w:p>
        </w:tc>
        <w:tc>
          <w:tcPr>
            <w:tcW w:w="80" w:type="dxa"/>
            <w:vAlign w:val="bottom"/>
            <w:shd w:val="clear" w:color="auto" w:fill="CCEEFF"/>
          </w:tcPr>
          <w:p>
            <w:pPr>
              <w:spacing w:after="0"/>
              <w:rPr>
                <w:sz w:val="18"/>
                <w:szCs w:val="18"/>
                <w:color w:val="auto"/>
              </w:rPr>
            </w:pPr>
          </w:p>
        </w:tc>
      </w:tr>
      <w:tr>
        <w:trPr>
          <w:trHeight w:val="216"/>
        </w:trPr>
        <w:tc>
          <w:tcPr>
            <w:tcW w:w="7360" w:type="dxa"/>
            <w:vAlign w:val="bottom"/>
          </w:tcPr>
          <w:p>
            <w:pPr>
              <w:spacing w:after="0"/>
              <w:rPr>
                <w:sz w:val="20"/>
                <w:szCs w:val="20"/>
                <w:color w:val="auto"/>
              </w:rPr>
            </w:pPr>
            <w:r>
              <w:rPr>
                <w:rFonts w:ascii="Arial" w:cs="Arial" w:eastAsia="Arial" w:hAnsi="Arial"/>
                <w:sz w:val="18"/>
                <w:szCs w:val="18"/>
                <w:color w:val="auto"/>
              </w:rPr>
              <w:t>Deferred tax liability</w:t>
            </w: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254</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300</w:t>
            </w:r>
          </w:p>
        </w:tc>
        <w:tc>
          <w:tcPr>
            <w:tcW w:w="80" w:type="dxa"/>
            <w:vAlign w:val="bottom"/>
          </w:tcPr>
          <w:p>
            <w:pPr>
              <w:spacing w:after="0"/>
              <w:rPr>
                <w:sz w:val="18"/>
                <w:szCs w:val="18"/>
                <w:color w:val="auto"/>
              </w:rPr>
            </w:pPr>
          </w:p>
        </w:tc>
      </w:tr>
      <w:tr>
        <w:trPr>
          <w:trHeight w:val="216"/>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Deferred rent, net of current portion</w:t>
            </w: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384</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149</w:t>
            </w:r>
          </w:p>
        </w:tc>
        <w:tc>
          <w:tcPr>
            <w:tcW w:w="80" w:type="dxa"/>
            <w:vAlign w:val="bottom"/>
            <w:shd w:val="clear" w:color="auto" w:fill="CCEEFF"/>
          </w:tcPr>
          <w:p>
            <w:pPr>
              <w:spacing w:after="0"/>
              <w:rPr>
                <w:sz w:val="18"/>
                <w:szCs w:val="18"/>
                <w:color w:val="auto"/>
              </w:rPr>
            </w:pPr>
          </w:p>
        </w:tc>
      </w:tr>
      <w:tr>
        <w:trPr>
          <w:trHeight w:val="216"/>
        </w:trPr>
        <w:tc>
          <w:tcPr>
            <w:tcW w:w="7360" w:type="dxa"/>
            <w:vAlign w:val="bottom"/>
          </w:tcPr>
          <w:p>
            <w:pPr>
              <w:spacing w:after="0"/>
              <w:rPr>
                <w:sz w:val="20"/>
                <w:szCs w:val="20"/>
                <w:color w:val="auto"/>
              </w:rPr>
            </w:pPr>
            <w:r>
              <w:rPr>
                <w:rFonts w:ascii="Arial" w:cs="Arial" w:eastAsia="Arial" w:hAnsi="Arial"/>
                <w:sz w:val="18"/>
                <w:szCs w:val="18"/>
                <w:color w:val="auto"/>
              </w:rPr>
              <w:t>Deferred Genzyme co-promotion fee, net of current portion</w:t>
            </w: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948</w:t>
            </w:r>
          </w:p>
        </w:tc>
        <w:tc>
          <w:tcPr>
            <w:tcW w:w="80" w:type="dxa"/>
            <w:vAlign w:val="bottom"/>
          </w:tcPr>
          <w:p>
            <w:pPr>
              <w:spacing w:after="0"/>
              <w:rPr>
                <w:sz w:val="18"/>
                <w:szCs w:val="18"/>
                <w:color w:val="auto"/>
              </w:rPr>
            </w:pPr>
          </w:p>
        </w:tc>
      </w:tr>
      <w:tr>
        <w:trPr>
          <w:trHeight w:val="210"/>
        </w:trPr>
        <w:tc>
          <w:tcPr>
            <w:tcW w:w="7360" w:type="dxa"/>
            <w:vAlign w:val="bottom"/>
            <w:tcBorders>
              <w:top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Total liabilities</w:t>
            </w:r>
          </w:p>
        </w:tc>
        <w:tc>
          <w:tcPr>
            <w:tcW w:w="2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17,415</w:t>
            </w:r>
          </w:p>
        </w:tc>
        <w:tc>
          <w:tcPr>
            <w:tcW w:w="3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23,465</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196"/>
        </w:trPr>
        <w:tc>
          <w:tcPr>
            <w:tcW w:w="7360" w:type="dxa"/>
            <w:vAlign w:val="bottom"/>
          </w:tcPr>
          <w:p>
            <w:pPr>
              <w:spacing w:after="0" w:line="196" w:lineRule="exact"/>
              <w:rPr>
                <w:sz w:val="20"/>
                <w:szCs w:val="20"/>
                <w:color w:val="auto"/>
              </w:rPr>
            </w:pPr>
            <w:r>
              <w:rPr>
                <w:rFonts w:ascii="Arial" w:cs="Arial" w:eastAsia="Arial" w:hAnsi="Arial"/>
                <w:sz w:val="18"/>
                <w:szCs w:val="18"/>
                <w:color w:val="auto"/>
              </w:rPr>
              <w:t>Stockholders’ equity:</w:t>
            </w:r>
          </w:p>
        </w:tc>
        <w:tc>
          <w:tcPr>
            <w:tcW w:w="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2"/>
        </w:trPr>
        <w:tc>
          <w:tcPr>
            <w:tcW w:w="736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Preferred stock, $0.001 par value; 5,000,000 shares authorized, no shares issued and</w:t>
            </w:r>
          </w:p>
        </w:tc>
        <w:tc>
          <w:tcPr>
            <w:tcW w:w="2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0"/>
        </w:trPr>
        <w:tc>
          <w:tcPr>
            <w:tcW w:w="73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outstanding as of June 30, 2015 and December 31, 2014</w:t>
            </w:r>
          </w:p>
        </w:tc>
        <w:tc>
          <w:tcPr>
            <w:tcW w:w="26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2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7360" w:type="dxa"/>
            <w:vAlign w:val="bottom"/>
          </w:tcPr>
          <w:p>
            <w:pPr>
              <w:ind w:left="360"/>
              <w:spacing w:after="0" w:line="201" w:lineRule="exact"/>
              <w:rPr>
                <w:sz w:val="20"/>
                <w:szCs w:val="20"/>
                <w:color w:val="auto"/>
              </w:rPr>
            </w:pPr>
            <w:r>
              <w:rPr>
                <w:rFonts w:ascii="Arial" w:cs="Arial" w:eastAsia="Arial" w:hAnsi="Arial"/>
                <w:sz w:val="18"/>
                <w:szCs w:val="18"/>
                <w:color w:val="auto"/>
                <w:w w:val="92"/>
              </w:rPr>
              <w:t>Common stock, $0.001 par value; 125,000,000 shares authorized, 27,595,971 and 22,523,529</w:t>
            </w:r>
          </w:p>
        </w:tc>
        <w:tc>
          <w:tcPr>
            <w:tcW w:w="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7360" w:type="dxa"/>
            <w:vAlign w:val="bottom"/>
          </w:tcPr>
          <w:p>
            <w:pPr>
              <w:ind w:left="540"/>
              <w:spacing w:after="0"/>
              <w:rPr>
                <w:sz w:val="20"/>
                <w:szCs w:val="20"/>
                <w:color w:val="auto"/>
              </w:rPr>
            </w:pPr>
            <w:r>
              <w:rPr>
                <w:rFonts w:ascii="Arial" w:cs="Arial" w:eastAsia="Arial" w:hAnsi="Arial"/>
                <w:sz w:val="18"/>
                <w:szCs w:val="18"/>
                <w:color w:val="auto"/>
                <w:w w:val="95"/>
              </w:rPr>
              <w:t>shares issued and outstanding as of June 30, 2015 and December 31, 2014, respectively</w:t>
            </w:r>
          </w:p>
        </w:tc>
        <w:tc>
          <w:tcPr>
            <w:tcW w:w="2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27</w:t>
            </w: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23</w:t>
            </w:r>
          </w:p>
        </w:tc>
        <w:tc>
          <w:tcPr>
            <w:tcW w:w="80" w:type="dxa"/>
            <w:vAlign w:val="bottom"/>
          </w:tcPr>
          <w:p>
            <w:pPr>
              <w:spacing w:after="0"/>
              <w:rPr>
                <w:sz w:val="20"/>
                <w:szCs w:val="20"/>
                <w:color w:val="auto"/>
              </w:rPr>
            </w:pPr>
          </w:p>
        </w:tc>
      </w:tr>
      <w:tr>
        <w:trPr>
          <w:trHeight w:val="216"/>
        </w:trPr>
        <w:tc>
          <w:tcPr>
            <w:tcW w:w="7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Additional paid-in capital</w:t>
            </w: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196,829</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156,373</w:t>
            </w:r>
          </w:p>
        </w:tc>
        <w:tc>
          <w:tcPr>
            <w:tcW w:w="80" w:type="dxa"/>
            <w:vAlign w:val="bottom"/>
            <w:shd w:val="clear" w:color="auto" w:fill="CCEEFF"/>
          </w:tcPr>
          <w:p>
            <w:pPr>
              <w:spacing w:after="0"/>
              <w:rPr>
                <w:sz w:val="18"/>
                <w:szCs w:val="18"/>
                <w:color w:val="auto"/>
              </w:rPr>
            </w:pPr>
          </w:p>
        </w:tc>
      </w:tr>
      <w:tr>
        <w:trPr>
          <w:trHeight w:val="216"/>
        </w:trPr>
        <w:tc>
          <w:tcPr>
            <w:tcW w:w="7360" w:type="dxa"/>
            <w:vAlign w:val="bottom"/>
          </w:tcPr>
          <w:p>
            <w:pPr>
              <w:ind w:left="360"/>
              <w:spacing w:after="0"/>
              <w:rPr>
                <w:sz w:val="20"/>
                <w:szCs w:val="20"/>
                <w:color w:val="auto"/>
              </w:rPr>
            </w:pPr>
            <w:r>
              <w:rPr>
                <w:rFonts w:ascii="Arial" w:cs="Arial" w:eastAsia="Arial" w:hAnsi="Arial"/>
                <w:sz w:val="18"/>
                <w:szCs w:val="18"/>
                <w:color w:val="auto"/>
              </w:rPr>
              <w:t>Accumulated deficit</w:t>
            </w: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8"/>
                <w:szCs w:val="18"/>
                <w:color w:val="auto"/>
              </w:rPr>
              <w:t>(131,768)</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40" w:type="dxa"/>
            <w:vAlign w:val="bottom"/>
            <w:gridSpan w:val="3"/>
          </w:tcPr>
          <w:p>
            <w:pPr>
              <w:jc w:val="right"/>
              <w:ind w:right="40"/>
              <w:spacing w:after="0"/>
              <w:rPr>
                <w:sz w:val="20"/>
                <w:szCs w:val="20"/>
                <w:color w:val="auto"/>
              </w:rPr>
            </w:pPr>
            <w:r>
              <w:rPr>
                <w:rFonts w:ascii="Arial" w:cs="Arial" w:eastAsia="Arial" w:hAnsi="Arial"/>
                <w:sz w:val="18"/>
                <w:szCs w:val="18"/>
                <w:color w:val="auto"/>
              </w:rPr>
              <w:t>(115,022)</w:t>
            </w:r>
          </w:p>
        </w:tc>
      </w:tr>
      <w:tr>
        <w:trPr>
          <w:trHeight w:val="210"/>
        </w:trPr>
        <w:tc>
          <w:tcPr>
            <w:tcW w:w="7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2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65,088</w:t>
            </w:r>
          </w:p>
        </w:tc>
        <w:tc>
          <w:tcPr>
            <w:tcW w:w="3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41,374</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0"/>
        </w:trPr>
        <w:tc>
          <w:tcPr>
            <w:tcW w:w="7360" w:type="dxa"/>
            <w:vAlign w:val="bottom"/>
          </w:tcPr>
          <w:p>
            <w:pPr>
              <w:spacing w:after="0"/>
              <w:rPr>
                <w:sz w:val="20"/>
                <w:szCs w:val="20"/>
                <w:color w:val="auto"/>
              </w:rPr>
            </w:pPr>
            <w:r>
              <w:rPr>
                <w:rFonts w:ascii="Arial" w:cs="Arial" w:eastAsia="Arial" w:hAnsi="Arial"/>
                <w:sz w:val="18"/>
                <w:szCs w:val="18"/>
                <w:color w:val="auto"/>
              </w:rPr>
              <w:t>Total liabilities and stockholders’ equity</w:t>
            </w:r>
          </w:p>
        </w:tc>
        <w:tc>
          <w:tcPr>
            <w:tcW w:w="260" w:type="dxa"/>
            <w:vAlign w:val="bottom"/>
          </w:tcPr>
          <w:p>
            <w:pPr>
              <w:spacing w:after="0"/>
              <w:rPr>
                <w:sz w:val="18"/>
                <w:szCs w:val="18"/>
                <w:color w:val="auto"/>
              </w:rPr>
            </w:pPr>
          </w:p>
        </w:tc>
        <w:tc>
          <w:tcPr>
            <w:tcW w:w="580" w:type="dxa"/>
            <w:vAlign w:val="bottom"/>
            <w:tcBorders>
              <w:bottom w:val="single" w:sz="8" w:color="auto"/>
            </w:tcBorders>
          </w:tcPr>
          <w:p>
            <w:pPr>
              <w:jc w:val="right"/>
              <w:ind w:right="425"/>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82,503</w:t>
            </w:r>
          </w:p>
        </w:tc>
        <w:tc>
          <w:tcPr>
            <w:tcW w:w="3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430"/>
              <w:spacing w:after="0"/>
              <w:rPr>
                <w:sz w:val="20"/>
                <w:szCs w:val="20"/>
                <w:color w:val="auto"/>
              </w:rPr>
            </w:pPr>
            <w:r>
              <w:rPr>
                <w:rFonts w:ascii="Arial" w:cs="Arial" w:eastAsia="Arial" w:hAnsi="Arial"/>
                <w:sz w:val="10"/>
                <w:szCs w:val="10"/>
                <w:color w:val="auto"/>
                <w:w w:val="71"/>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64,839</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7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right="560" w:firstLine="8"/>
        <w:spacing w:after="0" w:line="277" w:lineRule="auto"/>
        <w:tabs>
          <w:tab w:leader="none" w:pos="252"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The condensed consolidated balance sheet at December 31, 2014 has been derived from the audited financial statements at that date included in the Company’s Form 10-K filed with the Securities and Exchange Commission dated March 25,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Source: Veracyte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Tracy Morris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650-380-4413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tracy.morris@veracyte.com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Pam Lord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Canale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619-849-6003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pam@canalecomm.com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o"/>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2019-12-08T18:43:05Z</dcterms:created>
  <dcterms:modified xsi:type="dcterms:W3CDTF">2019-12-08T18:43:05Z</dcterms:modified>
</cp:coreProperties>
</file>