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668020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79" w:lineRule="exact"/>
        <w:rPr>
          <w:sz w:val="24"/>
          <w:szCs w:val="24"/>
          <w:color w:val="auto"/>
        </w:rPr>
      </w:pPr>
    </w:p>
    <w:p>
      <w:pPr>
        <w:jc w:val="center"/>
        <w:ind w:right="-110"/>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6"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Date of Report (Date of earliest event reported): June 6, 2018</w:t>
      </w:r>
    </w:p>
    <w:p>
      <w:pPr>
        <w:spacing w:after="0" w:line="255" w:lineRule="exact"/>
        <w:rPr>
          <w:sz w:val="24"/>
          <w:szCs w:val="24"/>
          <w:color w:val="auto"/>
        </w:rPr>
      </w:pPr>
    </w:p>
    <w:p>
      <w:pPr>
        <w:jc w:val="center"/>
        <w:ind w:right="-110"/>
        <w:spacing w:after="0"/>
        <w:rPr>
          <w:sz w:val="20"/>
          <w:szCs w:val="20"/>
          <w:color w:val="auto"/>
        </w:rPr>
      </w:pPr>
      <w:r>
        <w:rPr>
          <w:rFonts w:ascii="Arial" w:cs="Arial" w:eastAsia="Arial" w:hAnsi="Arial"/>
          <w:sz w:val="36"/>
          <w:szCs w:val="36"/>
          <w:b w:val="1"/>
          <w:bCs w:val="1"/>
          <w:color w:val="auto"/>
        </w:rPr>
        <w:t>VERACYTE, INC.</w:t>
      </w:r>
    </w:p>
    <w:p>
      <w:pPr>
        <w:spacing w:after="0" w:line="37" w:lineRule="exact"/>
        <w:rPr>
          <w:sz w:val="24"/>
          <w:szCs w:val="24"/>
          <w:color w:val="auto"/>
        </w:rPr>
      </w:pPr>
    </w:p>
    <w:p>
      <w:pPr>
        <w:jc w:val="center"/>
        <w:ind w:right="-110"/>
        <w:spacing w:after="0"/>
        <w:rPr>
          <w:sz w:val="20"/>
          <w:szCs w:val="20"/>
          <w:color w:val="auto"/>
        </w:rPr>
      </w:pPr>
      <w:r>
        <w:rPr>
          <w:rFonts w:ascii="Arial" w:cs="Arial" w:eastAsia="Arial" w:hAnsi="Arial"/>
          <w:sz w:val="19"/>
          <w:szCs w:val="19"/>
          <w:color w:val="auto"/>
        </w:rPr>
        <w:t>(Exact name of registrant as specified in its charter)</w:t>
      </w:r>
    </w:p>
    <w:p>
      <w:pPr>
        <w:spacing w:after="0" w:line="364" w:lineRule="exact"/>
        <w:rPr>
          <w:sz w:val="24"/>
          <w:szCs w:val="24"/>
          <w:color w:val="auto"/>
        </w:rPr>
      </w:pPr>
    </w:p>
    <w:tbl>
      <w:tblPr>
        <w:tblLayout w:type="fixed"/>
        <w:tblInd w:w="131" w:type="dxa"/>
        <w:tblCellMar>
          <w:top w:w="0" w:type="dxa"/>
          <w:left w:w="0" w:type="dxa"/>
          <w:bottom w:w="0" w:type="dxa"/>
          <w:right w:w="0" w:type="dxa"/>
        </w:tblCellMar>
      </w:tblPr>
      <w:tr>
        <w:trPr>
          <w:trHeight w:val="234"/>
        </w:trPr>
        <w:tc>
          <w:tcPr>
            <w:tcW w:w="4380" w:type="dxa"/>
            <w:vAlign w:val="bottom"/>
          </w:tcPr>
          <w:p>
            <w:pPr>
              <w:jc w:val="center"/>
              <w:ind w:right="950"/>
              <w:spacing w:after="0"/>
              <w:rPr>
                <w:sz w:val="20"/>
                <w:szCs w:val="20"/>
                <w:color w:val="auto"/>
              </w:rPr>
            </w:pPr>
            <w:r>
              <w:rPr>
                <w:rFonts w:ascii="Arial" w:cs="Arial" w:eastAsia="Arial" w:hAnsi="Arial"/>
                <w:sz w:val="18"/>
                <w:szCs w:val="18"/>
                <w:b w:val="1"/>
                <w:bCs w:val="1"/>
                <w:color w:val="auto"/>
                <w:w w:val="98"/>
              </w:rPr>
              <w:t>DELAWARE</w:t>
            </w:r>
          </w:p>
        </w:tc>
        <w:tc>
          <w:tcPr>
            <w:tcW w:w="3000" w:type="dxa"/>
            <w:vAlign w:val="bottom"/>
          </w:tcPr>
          <w:p>
            <w:pPr>
              <w:jc w:val="right"/>
              <w:ind w:right="1370"/>
              <w:spacing w:after="0"/>
              <w:rPr>
                <w:sz w:val="20"/>
                <w:szCs w:val="20"/>
                <w:color w:val="auto"/>
              </w:rPr>
            </w:pPr>
            <w:r>
              <w:rPr>
                <w:rFonts w:ascii="Arial" w:cs="Arial" w:eastAsia="Arial" w:hAnsi="Arial"/>
                <w:sz w:val="18"/>
                <w:szCs w:val="18"/>
                <w:b w:val="1"/>
                <w:bCs w:val="1"/>
                <w:color w:val="auto"/>
              </w:rPr>
              <w:t>001-36156</w:t>
            </w:r>
          </w:p>
        </w:tc>
        <w:tc>
          <w:tcPr>
            <w:tcW w:w="3040" w:type="dxa"/>
            <w:vAlign w:val="bottom"/>
          </w:tcPr>
          <w:p>
            <w:pPr>
              <w:jc w:val="center"/>
              <w:ind w:left="850"/>
              <w:spacing w:after="0"/>
              <w:rPr>
                <w:sz w:val="20"/>
                <w:szCs w:val="20"/>
                <w:color w:val="auto"/>
              </w:rPr>
            </w:pPr>
            <w:r>
              <w:rPr>
                <w:rFonts w:ascii="Arial" w:cs="Arial" w:eastAsia="Arial" w:hAnsi="Arial"/>
                <w:sz w:val="18"/>
                <w:szCs w:val="18"/>
                <w:b w:val="1"/>
                <w:bCs w:val="1"/>
                <w:color w:val="auto"/>
                <w:w w:val="89"/>
              </w:rPr>
              <w:t>20-5455398</w:t>
            </w:r>
          </w:p>
        </w:tc>
      </w:tr>
      <w:tr>
        <w:trPr>
          <w:trHeight w:val="310"/>
        </w:trPr>
        <w:tc>
          <w:tcPr>
            <w:tcW w:w="4380" w:type="dxa"/>
            <w:vAlign w:val="bottom"/>
          </w:tcPr>
          <w:p>
            <w:pPr>
              <w:jc w:val="center"/>
              <w:ind w:right="930"/>
              <w:spacing w:after="0"/>
              <w:rPr>
                <w:sz w:val="20"/>
                <w:szCs w:val="20"/>
                <w:color w:val="auto"/>
              </w:rPr>
            </w:pPr>
            <w:r>
              <w:rPr>
                <w:rFonts w:ascii="Arial" w:cs="Arial" w:eastAsia="Arial" w:hAnsi="Arial"/>
                <w:sz w:val="18"/>
                <w:szCs w:val="18"/>
                <w:color w:val="auto"/>
                <w:w w:val="92"/>
              </w:rPr>
              <w:t>(State or other jurisdiction of</w:t>
            </w:r>
          </w:p>
        </w:tc>
        <w:tc>
          <w:tcPr>
            <w:tcW w:w="3000" w:type="dxa"/>
            <w:vAlign w:val="bottom"/>
          </w:tcPr>
          <w:p>
            <w:pPr>
              <w:jc w:val="center"/>
              <w:ind w:right="610"/>
              <w:spacing w:after="0"/>
              <w:rPr>
                <w:sz w:val="20"/>
                <w:szCs w:val="20"/>
                <w:color w:val="auto"/>
              </w:rPr>
            </w:pPr>
            <w:r>
              <w:rPr>
                <w:rFonts w:ascii="Arial" w:cs="Arial" w:eastAsia="Arial" w:hAnsi="Arial"/>
                <w:sz w:val="18"/>
                <w:szCs w:val="18"/>
                <w:color w:val="auto"/>
                <w:w w:val="92"/>
              </w:rPr>
              <w:t>Commission File Number</w:t>
            </w: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4380" w:type="dxa"/>
            <w:vAlign w:val="bottom"/>
          </w:tcPr>
          <w:p>
            <w:pPr>
              <w:jc w:val="center"/>
              <w:ind w:right="930"/>
              <w:spacing w:after="0"/>
              <w:rPr>
                <w:sz w:val="20"/>
                <w:szCs w:val="20"/>
                <w:color w:val="auto"/>
              </w:rPr>
            </w:pPr>
            <w:r>
              <w:rPr>
                <w:rFonts w:ascii="Arial" w:cs="Arial" w:eastAsia="Arial" w:hAnsi="Arial"/>
                <w:sz w:val="18"/>
                <w:szCs w:val="18"/>
                <w:color w:val="auto"/>
                <w:w w:val="94"/>
              </w:rPr>
              <w:t>incorporation)</w:t>
            </w:r>
          </w:p>
        </w:tc>
        <w:tc>
          <w:tcPr>
            <w:tcW w:w="3000" w:type="dxa"/>
            <w:vAlign w:val="bottom"/>
          </w:tcPr>
          <w:p>
            <w:pPr>
              <w:spacing w:after="0"/>
              <w:rPr>
                <w:sz w:val="20"/>
                <w:szCs w:val="20"/>
                <w:color w:val="auto"/>
              </w:rPr>
            </w:pP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9"/>
              </w:rPr>
              <w:t>No.)</w:t>
            </w:r>
          </w:p>
        </w:tc>
      </w:tr>
      <w:tr>
        <w:trPr>
          <w:trHeight w:val="630"/>
        </w:trPr>
        <w:tc>
          <w:tcPr>
            <w:tcW w:w="4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6000 Shoreline Court, Suite 300, South San Francisco,</w:t>
            </w:r>
          </w:p>
        </w:tc>
        <w:tc>
          <w:tcPr>
            <w:tcW w:w="3000" w:type="dxa"/>
            <w:vAlign w:val="bottom"/>
          </w:tcPr>
          <w:p>
            <w:pPr>
              <w:spacing w:after="0"/>
              <w:rPr>
                <w:sz w:val="24"/>
                <w:szCs w:val="24"/>
                <w:color w:val="auto"/>
              </w:rPr>
            </w:pPr>
          </w:p>
        </w:tc>
        <w:tc>
          <w:tcPr>
            <w:tcW w:w="3040" w:type="dxa"/>
            <w:vAlign w:val="bottom"/>
          </w:tcPr>
          <w:p>
            <w:pPr>
              <w:jc w:val="right"/>
              <w:ind w:right="1150"/>
              <w:spacing w:after="0"/>
              <w:rPr>
                <w:sz w:val="20"/>
                <w:szCs w:val="20"/>
                <w:color w:val="auto"/>
              </w:rPr>
            </w:pPr>
            <w:r>
              <w:rPr>
                <w:rFonts w:ascii="Arial" w:cs="Arial" w:eastAsia="Arial" w:hAnsi="Arial"/>
                <w:sz w:val="18"/>
                <w:szCs w:val="18"/>
                <w:b w:val="1"/>
                <w:bCs w:val="1"/>
                <w:color w:val="auto"/>
              </w:rPr>
              <w:t>94080</w:t>
            </w:r>
          </w:p>
        </w:tc>
      </w:tr>
      <w:tr>
        <w:trPr>
          <w:trHeight w:val="234"/>
        </w:trPr>
        <w:tc>
          <w:tcPr>
            <w:tcW w:w="4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California</w:t>
            </w:r>
          </w:p>
        </w:tc>
        <w:tc>
          <w:tcPr>
            <w:tcW w:w="300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297"/>
        </w:trPr>
        <w:tc>
          <w:tcPr>
            <w:tcW w:w="4380" w:type="dxa"/>
            <w:vAlign w:val="bottom"/>
          </w:tcPr>
          <w:p>
            <w:pPr>
              <w:jc w:val="center"/>
              <w:ind w:right="15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spacing w:after="0"/>
              <w:rPr>
                <w:sz w:val="24"/>
                <w:szCs w:val="24"/>
                <w:color w:val="auto"/>
              </w:rPr>
            </w:pPr>
          </w:p>
        </w:tc>
        <w:tc>
          <w:tcPr>
            <w:tcW w:w="3040" w:type="dxa"/>
            <w:vAlign w:val="bottom"/>
          </w:tcPr>
          <w:p>
            <w:pPr>
              <w:jc w:val="center"/>
              <w:ind w:left="3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110"/>
        <w:spacing w:after="0"/>
        <w:rPr>
          <w:sz w:val="20"/>
          <w:szCs w:val="20"/>
          <w:color w:val="auto"/>
        </w:rPr>
      </w:pPr>
      <w:r>
        <w:rPr>
          <w:rFonts w:ascii="Arial" w:cs="Arial" w:eastAsia="Arial" w:hAnsi="Arial"/>
          <w:sz w:val="18"/>
          <w:szCs w:val="18"/>
          <w:b w:val="1"/>
          <w:bCs w:val="1"/>
          <w:color w:val="auto"/>
        </w:rPr>
        <w:t>N/A</w:t>
      </w:r>
    </w:p>
    <w:p>
      <w:pPr>
        <w:spacing w:after="0" w:line="229"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84" w:lineRule="exact"/>
        <w:rPr>
          <w:sz w:val="24"/>
          <w:szCs w:val="24"/>
          <w:color w:val="auto"/>
        </w:rPr>
      </w:pPr>
    </w:p>
    <w:p>
      <w:pPr>
        <w:ind w:left="51" w:right="360"/>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431" w:hanging="431"/>
        <w:spacing w:after="0"/>
        <w:tabs>
          <w:tab w:leader="none" w:pos="431"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88" w:lineRule="exact"/>
        <w:rPr>
          <w:rFonts w:ascii="Arial" w:cs="Arial" w:eastAsia="Arial" w:hAnsi="Arial"/>
          <w:sz w:val="17"/>
          <w:szCs w:val="17"/>
          <w:color w:val="auto"/>
        </w:rPr>
      </w:pPr>
    </w:p>
    <w:p>
      <w:pPr>
        <w:ind w:left="431" w:hanging="431"/>
        <w:spacing w:after="0"/>
        <w:tabs>
          <w:tab w:leader="none" w:pos="431"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88" w:lineRule="exact"/>
        <w:rPr>
          <w:rFonts w:ascii="Arial" w:cs="Arial" w:eastAsia="Arial" w:hAnsi="Arial"/>
          <w:sz w:val="17"/>
          <w:szCs w:val="17"/>
          <w:color w:val="auto"/>
        </w:rPr>
      </w:pPr>
    </w:p>
    <w:p>
      <w:pPr>
        <w:ind w:left="431" w:hanging="431"/>
        <w:spacing w:after="0"/>
        <w:tabs>
          <w:tab w:leader="none" w:pos="4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88" w:lineRule="exact"/>
        <w:rPr>
          <w:rFonts w:ascii="Arial" w:cs="Arial" w:eastAsia="Arial" w:hAnsi="Arial"/>
          <w:sz w:val="17"/>
          <w:szCs w:val="17"/>
          <w:color w:val="auto"/>
        </w:rPr>
      </w:pPr>
    </w:p>
    <w:p>
      <w:pPr>
        <w:ind w:left="431" w:hanging="431"/>
        <w:spacing w:after="0"/>
        <w:tabs>
          <w:tab w:leader="none" w:pos="4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0" w:lineRule="exact"/>
        <w:rPr>
          <w:sz w:val="24"/>
          <w:szCs w:val="24"/>
          <w:color w:val="auto"/>
        </w:rPr>
      </w:pPr>
    </w:p>
    <w:p>
      <w:pPr>
        <w:spacing w:after="0" w:line="243" w:lineRule="exact"/>
        <w:rPr>
          <w:sz w:val="24"/>
          <w:szCs w:val="24"/>
          <w:color w:val="auto"/>
        </w:rPr>
      </w:pPr>
    </w:p>
    <w:p>
      <w:pPr>
        <w:ind w:left="71"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8" w:lineRule="exact"/>
        <w:rPr>
          <w:sz w:val="24"/>
          <w:szCs w:val="24"/>
          <w:color w:val="auto"/>
        </w:rPr>
      </w:pPr>
    </w:p>
    <w:p>
      <w:pPr>
        <w:ind w:left="71"/>
        <w:spacing w:after="0"/>
        <w:rPr>
          <w:sz w:val="20"/>
          <w:szCs w:val="20"/>
          <w:color w:val="auto"/>
        </w:rPr>
      </w:pPr>
      <w:r>
        <w:rPr>
          <w:rFonts w:ascii="Arial" w:cs="Arial" w:eastAsia="Arial" w:hAnsi="Arial"/>
          <w:sz w:val="18"/>
          <w:szCs w:val="18"/>
          <w:color w:val="auto"/>
        </w:rPr>
        <w:t>Emerging growth company x</w:t>
      </w:r>
    </w:p>
    <w:p>
      <w:pPr>
        <w:spacing w:after="0" w:line="63" w:lineRule="exact"/>
        <w:rPr>
          <w:sz w:val="24"/>
          <w:szCs w:val="24"/>
          <w:color w:val="auto"/>
        </w:rPr>
      </w:pPr>
    </w:p>
    <w:p>
      <w:pPr>
        <w:ind w:left="7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wp:posOffset>
            </wp:positionH>
            <wp:positionV relativeFrom="paragraph">
              <wp:posOffset>190500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353060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31"/>
          </w:cols>
          <w:pgMar w:left="329" w:top="1422"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actions were taken at the Annual Meeting of Stockholders of Veracyte, Inc. (the "Company"), held on June 6, 2018:</w:t>
      </w:r>
    </w:p>
    <w:p>
      <w:pPr>
        <w:spacing w:after="0" w:line="225" w:lineRule="exact"/>
        <w:rPr>
          <w:sz w:val="20"/>
          <w:szCs w:val="20"/>
          <w:color w:val="auto"/>
        </w:rPr>
      </w:pPr>
    </w:p>
    <w:p>
      <w:pPr>
        <w:ind w:left="660" w:right="2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Class II directors were elected to serve until the 2021 Annual Meeting of Stockholders or until their successors are duly elected and qualified:</w:t>
      </w:r>
    </w:p>
    <w:p>
      <w:pPr>
        <w:spacing w:after="0" w:line="32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900" w:type="dxa"/>
            <w:vAlign w:val="bottom"/>
            <w:gridSpan w:val="2"/>
          </w:tcPr>
          <w:p>
            <w:pPr>
              <w:ind w:left="640"/>
              <w:spacing w:after="0"/>
              <w:rPr>
                <w:sz w:val="20"/>
                <w:szCs w:val="20"/>
                <w:color w:val="auto"/>
              </w:rPr>
            </w:pPr>
            <w:r>
              <w:rPr>
                <w:rFonts w:ascii="Arial" w:cs="Arial" w:eastAsia="Arial" w:hAnsi="Arial"/>
                <w:sz w:val="18"/>
                <w:szCs w:val="18"/>
                <w:b w:val="1"/>
                <w:bCs w:val="1"/>
                <w:color w:val="auto"/>
              </w:rPr>
              <w:t>For</w:t>
            </w:r>
          </w:p>
        </w:tc>
        <w:tc>
          <w:tcPr>
            <w:tcW w:w="1980" w:type="dxa"/>
            <w:vAlign w:val="bottom"/>
            <w:gridSpan w:val="2"/>
          </w:tcPr>
          <w:p>
            <w:pPr>
              <w:ind w:left="460"/>
              <w:spacing w:after="0"/>
              <w:rPr>
                <w:sz w:val="20"/>
                <w:szCs w:val="20"/>
                <w:color w:val="auto"/>
              </w:rPr>
            </w:pPr>
            <w:r>
              <w:rPr>
                <w:rFonts w:ascii="Arial" w:cs="Arial" w:eastAsia="Arial" w:hAnsi="Arial"/>
                <w:sz w:val="18"/>
                <w:szCs w:val="18"/>
                <w:b w:val="1"/>
                <w:bCs w:val="1"/>
                <w:color w:val="auto"/>
              </w:rPr>
              <w:t>Withheld</w:t>
            </w:r>
          </w:p>
        </w:tc>
        <w:tc>
          <w:tcPr>
            <w:tcW w:w="1960" w:type="dxa"/>
            <w:vAlign w:val="bottom"/>
          </w:tcPr>
          <w:p>
            <w:pPr>
              <w:jc w:val="right"/>
              <w:ind w:right="21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46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John L. Bishop</w:t>
            </w:r>
          </w:p>
        </w:tc>
        <w:tc>
          <w:tcPr>
            <w:tcW w:w="15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9"/>
              </w:rPr>
              <w:t>28,994,926</w:t>
            </w:r>
          </w:p>
        </w:tc>
        <w:tc>
          <w:tcPr>
            <w:tcW w:w="3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438,193</w:t>
            </w: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2,355,216</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Fred E. Cohen</w:t>
            </w:r>
          </w:p>
        </w:tc>
        <w:tc>
          <w:tcPr>
            <w:tcW w:w="1580" w:type="dxa"/>
            <w:vAlign w:val="bottom"/>
          </w:tcPr>
          <w:p>
            <w:pPr>
              <w:ind w:left="660"/>
              <w:spacing w:after="0"/>
              <w:rPr>
                <w:sz w:val="20"/>
                <w:szCs w:val="20"/>
                <w:color w:val="auto"/>
              </w:rPr>
            </w:pPr>
            <w:r>
              <w:rPr>
                <w:rFonts w:ascii="Arial" w:cs="Arial" w:eastAsia="Arial" w:hAnsi="Arial"/>
                <w:sz w:val="18"/>
                <w:szCs w:val="18"/>
                <w:color w:val="auto"/>
                <w:w w:val="99"/>
              </w:rPr>
              <w:t>23,582,353</w:t>
            </w:r>
          </w:p>
        </w:tc>
        <w:tc>
          <w:tcPr>
            <w:tcW w:w="3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5,850,766</w:t>
            </w: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2,355,216</w:t>
            </w:r>
          </w:p>
        </w:tc>
      </w:tr>
      <w:tr>
        <w:trPr>
          <w:trHeight w:val="27"/>
        </w:trPr>
        <w:tc>
          <w:tcPr>
            <w:tcW w:w="4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4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Tina S. Nova</w:t>
            </w:r>
          </w:p>
        </w:tc>
        <w:tc>
          <w:tcPr>
            <w:tcW w:w="15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9"/>
              </w:rPr>
              <w:t>28,995,474</w:t>
            </w:r>
          </w:p>
        </w:tc>
        <w:tc>
          <w:tcPr>
            <w:tcW w:w="32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437,645</w:t>
            </w:r>
          </w:p>
        </w:tc>
        <w:tc>
          <w:tcPr>
            <w:tcW w:w="320" w:type="dxa"/>
            <w:vAlign w:val="bottom"/>
            <w:shd w:val="clear" w:color="auto" w:fill="CCEEFF"/>
          </w:tcPr>
          <w:p>
            <w:pPr>
              <w:spacing w:after="0"/>
              <w:rPr>
                <w:sz w:val="21"/>
                <w:szCs w:val="21"/>
                <w:color w:val="auto"/>
              </w:rPr>
            </w:pP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2,355,216</w:t>
            </w:r>
          </w:p>
        </w:tc>
      </w:tr>
      <w:tr>
        <w:trPr>
          <w:trHeight w:val="27"/>
        </w:trPr>
        <w:tc>
          <w:tcPr>
            <w:tcW w:w="46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20" w:hanging="488"/>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the Company's independent registered public accounting firm for the fiscal year ending December 31, 2018 was approved:</w:t>
      </w:r>
    </w:p>
    <w:p>
      <w:pPr>
        <w:spacing w:after="0" w:line="329"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3620" w:type="dxa"/>
            <w:vAlign w:val="bottom"/>
            <w:gridSpan w:val="2"/>
          </w:tcPr>
          <w:p>
            <w:pPr>
              <w:ind w:left="1500"/>
              <w:spacing w:after="0"/>
              <w:rPr>
                <w:sz w:val="20"/>
                <w:szCs w:val="20"/>
                <w:color w:val="auto"/>
              </w:rPr>
            </w:pPr>
            <w:r>
              <w:rPr>
                <w:rFonts w:ascii="Arial" w:cs="Arial" w:eastAsia="Arial" w:hAnsi="Arial"/>
                <w:sz w:val="18"/>
                <w:szCs w:val="18"/>
                <w:b w:val="1"/>
                <w:bCs w:val="1"/>
                <w:color w:val="auto"/>
              </w:rPr>
              <w:t>For</w:t>
            </w:r>
          </w:p>
        </w:tc>
        <w:tc>
          <w:tcPr>
            <w:tcW w:w="3500" w:type="dxa"/>
            <w:vAlign w:val="bottom"/>
            <w:gridSpan w:val="2"/>
          </w:tcPr>
          <w:p>
            <w:pPr>
              <w:ind w:left="1300"/>
              <w:spacing w:after="0"/>
              <w:rPr>
                <w:sz w:val="20"/>
                <w:szCs w:val="20"/>
                <w:color w:val="auto"/>
              </w:rPr>
            </w:pPr>
            <w:r>
              <w:rPr>
                <w:rFonts w:ascii="Arial" w:cs="Arial" w:eastAsia="Arial" w:hAnsi="Arial"/>
                <w:sz w:val="18"/>
                <w:szCs w:val="18"/>
                <w:b w:val="1"/>
                <w:bCs w:val="1"/>
                <w:color w:val="auto"/>
              </w:rPr>
              <w:t>Against</w:t>
            </w:r>
          </w:p>
        </w:tc>
        <w:tc>
          <w:tcPr>
            <w:tcW w:w="3200" w:type="dxa"/>
            <w:vAlign w:val="bottom"/>
          </w:tcPr>
          <w:p>
            <w:pPr>
              <w:jc w:val="right"/>
              <w:ind w:right="1210"/>
              <w:spacing w:after="0"/>
              <w:rPr>
                <w:sz w:val="20"/>
                <w:szCs w:val="20"/>
                <w:color w:val="auto"/>
              </w:rPr>
            </w:pPr>
            <w:r>
              <w:rPr>
                <w:rFonts w:ascii="Arial" w:cs="Arial" w:eastAsia="Arial" w:hAnsi="Arial"/>
                <w:sz w:val="18"/>
                <w:szCs w:val="18"/>
                <w:b w:val="1"/>
                <w:bCs w:val="1"/>
                <w:color w:val="auto"/>
              </w:rPr>
              <w:t>Abstain</w:t>
            </w:r>
          </w:p>
        </w:tc>
      </w:tr>
      <w:tr>
        <w:trPr>
          <w:trHeight w:val="27"/>
        </w:trPr>
        <w:tc>
          <w:tcPr>
            <w:tcW w:w="33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200" w:type="dxa"/>
            <w:vAlign w:val="bottom"/>
            <w:tcBorders>
              <w:bottom w:val="single" w:sz="8" w:color="auto"/>
            </w:tcBorders>
          </w:tcPr>
          <w:p>
            <w:pPr>
              <w:spacing w:after="0"/>
              <w:rPr>
                <w:sz w:val="2"/>
                <w:szCs w:val="2"/>
                <w:color w:val="auto"/>
              </w:rPr>
            </w:pPr>
          </w:p>
        </w:tc>
      </w:tr>
      <w:tr>
        <w:trPr>
          <w:trHeight w:val="237"/>
        </w:trPr>
        <w:tc>
          <w:tcPr>
            <w:tcW w:w="3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31,774,256</w:t>
            </w:r>
          </w:p>
        </w:tc>
        <w:tc>
          <w:tcPr>
            <w:tcW w:w="320" w:type="dxa"/>
            <w:vAlign w:val="bottom"/>
            <w:shd w:val="clear" w:color="auto" w:fill="CCEEFF"/>
          </w:tcPr>
          <w:p>
            <w:pPr>
              <w:spacing w:after="0"/>
              <w:rPr>
                <w:sz w:val="20"/>
                <w:szCs w:val="20"/>
                <w:color w:val="auto"/>
              </w:rPr>
            </w:pPr>
          </w:p>
        </w:tc>
        <w:tc>
          <w:tcPr>
            <w:tcW w:w="3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13,979</w:t>
            </w:r>
          </w:p>
        </w:tc>
        <w:tc>
          <w:tcPr>
            <w:tcW w:w="300" w:type="dxa"/>
            <w:vAlign w:val="bottom"/>
            <w:shd w:val="clear" w:color="auto" w:fill="CCEEFF"/>
          </w:tcPr>
          <w:p>
            <w:pPr>
              <w:spacing w:after="0"/>
              <w:rPr>
                <w:sz w:val="20"/>
                <w:szCs w:val="20"/>
                <w:color w:val="auto"/>
              </w:rPr>
            </w:pPr>
          </w:p>
        </w:tc>
        <w:tc>
          <w:tcPr>
            <w:tcW w:w="3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3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337"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Dated: June 6, 2018</w:t>
      </w:r>
    </w:p>
    <w:p>
      <w:pPr>
        <w:spacing w:after="0" w:line="38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VERACYTE, INC.</w:t>
      </w:r>
    </w:p>
    <w:p>
      <w:pPr>
        <w:spacing w:after="0" w:line="387" w:lineRule="exact"/>
        <w:rPr>
          <w:sz w:val="20"/>
          <w:szCs w:val="20"/>
          <w:color w:val="auto"/>
        </w:rPr>
      </w:pPr>
    </w:p>
    <w:tbl>
      <w:tblPr>
        <w:tblLayout w:type="fixed"/>
        <w:tblInd w:w="416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Pr>
          <w:p>
            <w:pPr>
              <w:ind w:left="80"/>
              <w:spacing w:after="0"/>
              <w:rPr>
                <w:sz w:val="20"/>
                <w:szCs w:val="20"/>
                <w:color w:val="auto"/>
              </w:rPr>
            </w:pPr>
            <w:r>
              <w:rPr>
                <w:rFonts w:ascii="Arial" w:cs="Arial" w:eastAsia="Arial" w:hAnsi="Arial"/>
                <w:sz w:val="18"/>
                <w:szCs w:val="18"/>
                <w:color w:val="auto"/>
              </w:rPr>
              <w:t>/s/ Keith Kennedy</w:t>
            </w:r>
          </w:p>
        </w:tc>
        <w:tc>
          <w:tcPr>
            <w:tcW w:w="0" w:type="dxa"/>
            <w:vAlign w:val="bottom"/>
          </w:tcPr>
          <w:p>
            <w:pPr>
              <w:spacing w:after="0"/>
              <w:rPr>
                <w:sz w:val="1"/>
                <w:szCs w:val="1"/>
                <w:color w:val="auto"/>
              </w:rPr>
            </w:pPr>
          </w:p>
        </w:tc>
      </w:tr>
      <w:tr>
        <w:trPr>
          <w:trHeight w:val="54"/>
        </w:trPr>
        <w:tc>
          <w:tcPr>
            <w:tcW w:w="8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60" w:type="dxa"/>
            <w:vAlign w:val="bottom"/>
            <w:vMerge w:val="continue"/>
          </w:tcPr>
          <w:p>
            <w:pPr>
              <w:spacing w:after="0"/>
              <w:rPr>
                <w:sz w:val="20"/>
                <w:szCs w:val="20"/>
                <w:color w:val="auto"/>
              </w:rPr>
            </w:pPr>
          </w:p>
        </w:tc>
        <w:tc>
          <w:tcPr>
            <w:tcW w:w="5340" w:type="dxa"/>
            <w:vAlign w:val="bottom"/>
          </w:tcPr>
          <w:p>
            <w:pPr>
              <w:ind w:left="80"/>
              <w:spacing w:after="0"/>
              <w:rPr>
                <w:sz w:val="20"/>
                <w:szCs w:val="20"/>
                <w:color w:val="auto"/>
              </w:rPr>
            </w:pPr>
            <w:r>
              <w:rPr>
                <w:rFonts w:ascii="Arial" w:cs="Arial" w:eastAsia="Arial" w:hAnsi="Arial"/>
                <w:sz w:val="18"/>
                <w:szCs w:val="18"/>
                <w:color w:val="auto"/>
              </w:rPr>
              <w:t>Keith Kennedy</w:t>
            </w:r>
          </w:p>
        </w:tc>
        <w:tc>
          <w:tcPr>
            <w:tcW w:w="0" w:type="dxa"/>
            <w:vAlign w:val="bottom"/>
          </w:tcPr>
          <w:p>
            <w:pPr>
              <w:spacing w:after="0"/>
              <w:rPr>
                <w:sz w:val="1"/>
                <w:szCs w:val="1"/>
                <w:color w:val="auto"/>
              </w:rPr>
            </w:pPr>
          </w:p>
        </w:tc>
      </w:tr>
      <w:tr>
        <w:trPr>
          <w:trHeight w:val="297"/>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534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780"/>
      </w:cols>
      <w:pgMar w:left="240" w:top="58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2019-12-07T07:22:40Z</dcterms:created>
  <dcterms:modified xsi:type="dcterms:W3CDTF">2019-12-07T07:22:40Z</dcterms:modified>
</cp:coreProperties>
</file>