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Issuer)</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43" w:lineRule="exact"/>
        <w:rPr>
          <w:sz w:val="24"/>
          <w:szCs w:val="24"/>
          <w:color w:val="auto"/>
        </w:rPr>
      </w:pPr>
    </w:p>
    <w:p>
      <w:pPr>
        <w:ind w:right="40" w:firstLine="8"/>
        <w:spacing w:after="0" w:line="244"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Nikko Asset Management Americas, Inc.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2,845,771</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3,272,038</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3,272,038</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5.65%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7"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Veracyte, Inc.</w:t>
      </w:r>
    </w:p>
    <w:p>
      <w:pPr>
        <w:spacing w:after="0" w:line="246"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6000 Shoreline Court, Suite 300, South San Francisco, CA 94080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6"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Nikko Asset Management Americas, Inc.</w:t>
      </w:r>
    </w:p>
    <w:p>
      <w:pPr>
        <w:spacing w:after="0" w:line="246" w:lineRule="exact"/>
        <w:rPr>
          <w:sz w:val="20"/>
          <w:szCs w:val="20"/>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605 Third Avenue, 38</w:t>
      </w:r>
      <w:r>
        <w:rPr>
          <w:rFonts w:ascii="Times New Roman" w:cs="Times New Roman" w:eastAsia="Times New Roman" w:hAnsi="Times New Roman"/>
          <w:sz w:val="35"/>
          <w:szCs w:val="35"/>
          <w:b w:val="1"/>
          <w:bCs w:val="1"/>
          <w:color w:val="auto"/>
          <w:vertAlign w:val="superscript"/>
        </w:rPr>
        <w:t>th</w:t>
      </w:r>
      <w:r>
        <w:rPr>
          <w:rFonts w:ascii="Times New Roman" w:cs="Times New Roman" w:eastAsia="Times New Roman" w:hAnsi="Times New Roman"/>
          <w:sz w:val="22"/>
          <w:szCs w:val="22"/>
          <w:b w:val="1"/>
          <w:bCs w:val="1"/>
          <w:color w:val="auto"/>
        </w:rPr>
        <w:t xml:space="preserve"> Floor, New York, NY 10158</w:t>
      </w:r>
    </w:p>
    <w:p>
      <w:pPr>
        <w:spacing w:after="0" w:line="101"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USA</w:t>
      </w:r>
    </w:p>
    <w:p>
      <w:pPr>
        <w:spacing w:after="0" w:line="246" w:lineRule="exact"/>
        <w:rPr>
          <w:sz w:val="20"/>
          <w:szCs w:val="20"/>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Common stock, par value $0.001 per share</w:t>
      </w:r>
    </w:p>
    <w:p>
      <w:pPr>
        <w:spacing w:after="0" w:line="246"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92337F107</w:t>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27" w:lineRule="exact"/>
        <w:rPr>
          <w:sz w:val="20"/>
          <w:szCs w:val="20"/>
          <w:color w:val="auto"/>
        </w:rPr>
      </w:pPr>
    </w:p>
    <w:p>
      <w:pPr>
        <w:ind w:left="1480" w:hanging="568"/>
        <w:spacing w:after="0" w:line="207" w:lineRule="exact"/>
        <w:tabs>
          <w:tab w:leader="none" w:pos="148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2040" w:right="540" w:hanging="1128"/>
        <w:spacing w:after="0" w:line="226" w:lineRule="exact"/>
        <w:tabs>
          <w:tab w:leader="none" w:pos="1486"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1480" w:hanging="568"/>
        <w:spacing w:after="0" w:line="207" w:lineRule="exact"/>
        <w:tabs>
          <w:tab w:leader="none" w:pos="148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2040" w:hanging="1128"/>
        <w:spacing w:after="0" w:line="226" w:lineRule="exact"/>
        <w:tabs>
          <w:tab w:leader="none" w:pos="1486"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group, in accordance with § 240.13d-1(b)(1)(ii)(K). If filing as a non-U.S. institution in accordance with § 240.13d-1(b)(1) (ii)(J),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47" w:lineRule="exact"/>
        <w:rPr>
          <w:sz w:val="20"/>
          <w:szCs w:val="20"/>
          <w:color w:val="auto"/>
        </w:rPr>
      </w:pPr>
    </w:p>
    <w:p>
      <w:pPr>
        <w:ind w:left="340" w:right="34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194" w:lineRule="exact"/>
        <w:rPr>
          <w:sz w:val="20"/>
          <w:szCs w:val="20"/>
          <w:color w:val="auto"/>
        </w:rPr>
      </w:pPr>
    </w:p>
    <w:p>
      <w:pPr>
        <w:ind w:left="1460" w:hanging="480"/>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3,272,038</w:t>
      </w:r>
    </w:p>
    <w:p>
      <w:pPr>
        <w:spacing w:after="0" w:line="246" w:lineRule="exact"/>
        <w:rPr>
          <w:sz w:val="20"/>
          <w:szCs w:val="20"/>
          <w:color w:val="auto"/>
        </w:rPr>
      </w:pPr>
    </w:p>
    <w:p>
      <w:pPr>
        <w:ind w:left="1460" w:hanging="480"/>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5.65%</w:t>
      </w:r>
    </w:p>
    <w:p>
      <w:pPr>
        <w:spacing w:after="0" w:line="246" w:lineRule="exact"/>
        <w:rPr>
          <w:sz w:val="20"/>
          <w:szCs w:val="20"/>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494"/>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0</w:t>
      </w:r>
    </w:p>
    <w:p>
      <w:pPr>
        <w:spacing w:after="0" w:line="246" w:lineRule="exact"/>
        <w:rPr>
          <w:sz w:val="20"/>
          <w:szCs w:val="20"/>
          <w:color w:val="auto"/>
        </w:rPr>
      </w:pPr>
    </w:p>
    <w:p>
      <w:pPr>
        <w:ind w:left="1960" w:hanging="494"/>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2,845,771</w:t>
      </w:r>
    </w:p>
    <w:p>
      <w:pPr>
        <w:spacing w:after="0" w:line="246" w:lineRule="exact"/>
        <w:rPr>
          <w:sz w:val="20"/>
          <w:szCs w:val="20"/>
          <w:color w:val="auto"/>
        </w:rPr>
      </w:pPr>
    </w:p>
    <w:p>
      <w:pPr>
        <w:ind w:left="1960" w:hanging="494"/>
        <w:spacing w:after="0"/>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0</w:t>
      </w:r>
    </w:p>
    <w:p>
      <w:pPr>
        <w:spacing w:after="0" w:line="246" w:lineRule="exact"/>
        <w:rPr>
          <w:sz w:val="20"/>
          <w:szCs w:val="20"/>
          <w:color w:val="auto"/>
        </w:rPr>
      </w:pPr>
    </w:p>
    <w:p>
      <w:pPr>
        <w:ind w:left="1960" w:hanging="494"/>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3,272,038</w:t>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47" w:lineRule="exact"/>
        <w:rPr>
          <w:sz w:val="20"/>
          <w:szCs w:val="20"/>
          <w:color w:val="auto"/>
        </w:rPr>
      </w:pPr>
    </w:p>
    <w:p>
      <w:pPr>
        <w:ind w:right="340" w:firstLine="972"/>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See Exhibit A.</w:t>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See Exhibit A.</w:t>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43" w:lineRule="exact"/>
        <w:rPr>
          <w:sz w:val="20"/>
          <w:szCs w:val="20"/>
          <w:color w:val="auto"/>
        </w:rPr>
      </w:pPr>
    </w:p>
    <w:p>
      <w:pPr>
        <w:jc w:val="center"/>
        <w:ind w:right="772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4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200"/>
          </w:cols>
          <w:pgMar w:left="320" w:top="117" w:right="37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11, 2021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Gary L. Beckham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Gary L. Beckham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Compliance Officer</w:t>
      </w:r>
    </w:p>
    <w:p>
      <w:pPr>
        <w:spacing w:after="0" w:line="200" w:lineRule="exact"/>
        <w:rPr>
          <w:sz w:val="20"/>
          <w:szCs w:val="20"/>
          <w:color w:val="auto"/>
        </w:rPr>
      </w:pPr>
    </w:p>
    <w:p>
      <w:pPr>
        <w:sectPr>
          <w:pgSz w:w="11900" w:h="16838" w:orient="portrait"/>
          <w:cols w:equalWidth="0" w:num="3">
            <w:col w:w="4920" w:space="720"/>
            <w:col w:w="260" w:space="300"/>
            <w:col w:w="5000"/>
          </w:cols>
          <w:pgMar w:left="320" w:top="117" w:right="379" w:bottom="1440" w:gutter="0" w:footer="0" w:header="0"/>
          <w:type w:val="continuous"/>
        </w:sectPr>
      </w:pPr>
    </w:p>
    <w:p>
      <w:pPr>
        <w:spacing w:after="0" w:line="4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Attention:</w:t>
        <w:tab/>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Items 6 and 7 of Schedule 13G, the security being reported on by Nikko Asset Management Americas, Inc., as subsidiary to the parent holding companies listed below, are owned, or may be deemed to be beneficially owned, by its parent holding companies.</w:t>
      </w:r>
    </w:p>
    <w:p>
      <w:pPr>
        <w:spacing w:after="0" w:line="210" w:lineRule="exact"/>
        <w:rPr>
          <w:sz w:val="20"/>
          <w:szCs w:val="20"/>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Sumitomo Mitsui Trust Holdings Inc.</w:t>
      </w:r>
    </w:p>
    <w:p>
      <w:pPr>
        <w:spacing w:after="0" w:line="2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3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Nikko Asset Management Co., Ltd.</w:t>
      </w:r>
    </w:p>
    <w:p>
      <w:pPr>
        <w:spacing w:after="0" w:line="2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2"/>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2"/>
    </w:lvl>
  </w:abstractNum>
  <w:abstractNum w:abstractNumId="7">
    <w:nsid w:val="3352255A"/>
    <w:multiLevelType w:val="hybridMultilevel"/>
    <w:lvl w:ilvl="0">
      <w:lvlJc w:val="left"/>
      <w:lvlText w:val="(%1)"/>
      <w:numFmt w:val="lowerLetter"/>
      <w:start w:val="3"/>
    </w:lvl>
  </w:abstractNum>
  <w:abstractNum w:abstractNumId="8">
    <w:nsid w:val="109CF92E"/>
    <w:multiLevelType w:val="hybridMultilevel"/>
    <w:lvl w:ilvl="0">
      <w:lvlJc w:val="left"/>
      <w:lvlText w:val="(%1)"/>
      <w:numFmt w:val="lowerLetter"/>
      <w:start w:val="4"/>
    </w:lvl>
  </w:abstractNum>
  <w:abstractNum w:abstractNumId="9">
    <w:nsid w:val="DED7263"/>
    <w:multiLevelType w:val="hybridMultilevel"/>
    <w:lvl w:ilvl="0">
      <w:lvlJc w:val="left"/>
      <w:lvlText w:val="(%1)"/>
      <w:numFmt w:val="lowerLetter"/>
      <w:start w:val="5"/>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lowerLetter"/>
      <w:start w:val="3"/>
    </w:lvl>
    <w:lvl w:ilvl="1">
      <w:lvlJc w:val="left"/>
      <w:lvlText w:val="(%2)"/>
      <w:numFmt w:val="lowerLetter"/>
      <w:start w:val="9"/>
    </w:lvl>
  </w:abstractNum>
  <w:abstractNum w:abstractNumId="14">
    <w:nsid w:val="4E6AFB66"/>
    <w:multiLevelType w:val="hybridMultilevel"/>
    <w:lvl w:ilvl="0">
      <w:lvlJc w:val="left"/>
      <w:lvlText w:val="(%1)"/>
      <w:numFmt w:val="lowerRoman"/>
      <w:start w:val="2"/>
    </w:lvl>
  </w:abstractNum>
  <w:abstractNum w:abstractNumId="15">
    <w:nsid w:val="25E45D32"/>
    <w:multiLevelType w:val="hybridMultilevel"/>
    <w:lvl w:ilvl="0">
      <w:lvlJc w:val="left"/>
      <w:lvlText w:val="(%1)"/>
      <w:numFmt w:val="lowerRoman"/>
      <w:start w:val="3"/>
    </w:lvl>
  </w:abstractNum>
  <w:abstractNum w:abstractNumId="16">
    <w:nsid w:val="519B500D"/>
    <w:multiLevelType w:val="hybridMultilevel"/>
    <w:lvl w:ilvl="0">
      <w:lvlJc w:val="left"/>
      <w:lvlText w:val="(%1)"/>
      <w:numFmt w:val="lowerRoman"/>
      <w:start w:val="4"/>
    </w:lvl>
  </w:abstractNum>
  <w:abstractNum w:abstractNumId="17">
    <w:nsid w:val="431BD7B7"/>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2021-02-11T16:10:29Z</dcterms:created>
  <dcterms:modified xsi:type="dcterms:W3CDTF">2021-02-11T16:10:29Z</dcterms:modified>
</cp:coreProperties>
</file>