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6.gif" ContentType="image/gif"/>
  <Override PartName="/word/media/image13.jpeg" ContentType="image/jpeg"/>
  <Override PartName="/word/media/image12.jpeg" ContentType="image/jpeg"/>
  <Override PartName="/word/media/image4.jpeg" ContentType="image/jpeg"/>
  <Override PartName="/word/media/image7.gif" ContentType="image/gif"/>
  <Override PartName="/word/media/image17.gif" ContentType="image/gif"/>
  <Override PartName="/word/media/image10.jpeg" ContentType="image/jpeg"/>
  <Override PartName="/word/media/image3.jpeg" ContentType="image/jpeg"/>
  <Override PartName="/word/media/image2.jpeg" ContentType="image/jpeg"/>
  <Override PartName="/word/media/image14.gif" ContentType="image/gif"/>
  <Override PartName="/word/media/image1.jpeg" ContentType="image/jpeg"/>
  <Override PartName="/word/media/image5.jpeg" ContentType="image/jpeg"/>
  <Override PartName="/word/media/image15.gif" ContentType="image/gif"/>
  <Override PartName="/word/media/image6.jpeg" ContentType="image/jpeg"/>
  <Override PartName="/word/media/image8.jpeg" ContentType="image/jpeg"/>
  <Override PartName="/word/media/image11.gif" ContentType="image/gif"/>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417"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417"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14A INFORMATION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(AMENDMENT NO.  )</w:t>
      </w:r>
    </w:p>
    <w:p>
      <w:pPr>
        <w:pStyle w:val="TextBody"/>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w:t>
      </w:r>
    </w:p>
    <w:tbl>
      <w:tblPr>
        <w:tblW w:w="8568" w:type="dxa"/>
        <w:jc w:val="center"/>
        <w:tblInd w:w="0" w:type="dxa"/>
        <w:tblCellMar>
          <w:top w:w="28" w:type="dxa"/>
          <w:left w:w="28" w:type="dxa"/>
          <w:bottom w:w="28" w:type="dxa"/>
          <w:right w:w="28" w:type="dxa"/>
        </w:tblCellMar>
      </w:tblPr>
      <w:tblGrid>
        <w:gridCol w:w="632"/>
        <w:gridCol w:w="556"/>
        <w:gridCol w:w="556"/>
        <w:gridCol w:w="1983"/>
        <w:gridCol w:w="1983"/>
        <w:gridCol w:w="2858"/>
      </w:tblGrid>
      <w:tr>
        <w:trPr/>
        <w:tc>
          <w:tcPr>
            <w:tcW w:w="632"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2858" w:type="dxa"/>
            <w:tcBorders/>
            <w:shd w:fill="auto" w:val="clear"/>
            <w:vAlign w:val="center"/>
          </w:tcPr>
          <w:p>
            <w:pPr>
              <w:pStyle w:val="TableContents"/>
              <w:spacing w:before="0" w:after="283"/>
              <w:rPr>
                <w:sz w:val="4"/>
                <w:szCs w:val="4"/>
              </w:rPr>
            </w:pPr>
            <w:r>
              <w:rPr>
                <w:sz w:val="4"/>
                <w:szCs w:val="4"/>
              </w:rPr>
            </w:r>
          </w:p>
        </w:tc>
      </w:tr>
      <w:tr>
        <w:trPr/>
        <w:tc>
          <w:tcPr>
            <w:tcW w:w="8568"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Filed by the Registrant </w:t>
            </w:r>
            <w:r>
              <w:rPr>
                <w:rFonts w:ascii="Wingdings;sans-serif" w:hAnsi="Wingdings;sans-serif"/>
                <w:b w:val="false"/>
                <w:color w:val="000000"/>
                <w:sz w:val="20"/>
              </w:rPr>
              <w:t>x</w:t>
            </w:r>
          </w:p>
        </w:tc>
      </w:tr>
      <w:tr>
        <w:trPr/>
        <w:tc>
          <w:tcPr>
            <w:tcW w:w="8568"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Filed by a Party other than the Registrant </w:t>
            </w:r>
            <w:r>
              <w:rPr>
                <w:rFonts w:ascii="Wingdings;sans-serif" w:hAnsi="Wingdings;sans-serif"/>
                <w:b w:val="false"/>
                <w:color w:val="000000"/>
                <w:sz w:val="20"/>
              </w:rPr>
              <w:t>o</w:t>
            </w:r>
          </w:p>
        </w:tc>
      </w:tr>
      <w:tr>
        <w:trPr/>
        <w:tc>
          <w:tcPr>
            <w:tcW w:w="856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c>
      </w:tr>
      <w:tr>
        <w:trPr/>
        <w:tc>
          <w:tcPr>
            <w:tcW w:w="1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1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1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1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1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bl>
    <w:p>
      <w:pPr>
        <w:pStyle w:val="TextBody"/>
        <w:spacing w:before="100" w:after="283"/>
        <w:jc w:val="center"/>
        <w:rPr/>
      </w:pPr>
      <w:r>
        <w:rPr/>
      </w:r>
    </w:p>
    <w:p>
      <w:pPr>
        <w:pStyle w:val="TextBody"/>
        <w:spacing w:before="100" w:after="283"/>
        <w:jc w:val="center"/>
        <w:rPr/>
      </w:pPr>
      <w:r>
        <w:rPr/>
      </w:r>
    </w:p>
    <w:p>
      <w:pPr>
        <w:pStyle w:val="TextBody"/>
        <w:spacing w:before="100" w:after="283"/>
        <w:jc w:val="center"/>
        <w:rPr/>
      </w:pPr>
      <w:r>
        <w:rPr/>
      </w:r>
    </w:p>
    <w:tbl>
      <w:tblPr>
        <w:tblW w:w="10205" w:type="dxa"/>
        <w:jc w:val="center"/>
        <w:tblInd w:w="0" w:type="dxa"/>
        <w:tblCellMar>
          <w:top w:w="28" w:type="dxa"/>
          <w:left w:w="28" w:type="dxa"/>
          <w:bottom w:w="28" w:type="dxa"/>
          <w:right w:w="28" w:type="dxa"/>
        </w:tblCellMar>
      </w:tblPr>
      <w:tblGrid>
        <w:gridCol w:w="698"/>
        <w:gridCol w:w="612"/>
        <w:gridCol w:w="612"/>
        <w:gridCol w:w="1285"/>
        <w:gridCol w:w="1285"/>
        <w:gridCol w:w="1285"/>
        <w:gridCol w:w="1285"/>
        <w:gridCol w:w="1285"/>
        <w:gridCol w:w="1858"/>
      </w:tblGrid>
      <w:tr>
        <w:trPr/>
        <w:tc>
          <w:tcPr>
            <w:tcW w:w="698"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VERACYTE, INC.</w:t>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Registrant as Specified in its Charter)</w:t>
              <w:br/>
              <w:t>_____________________________</w:t>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Person(s) Filing Proxy Statement, if other than the Registrant)</w:t>
            </w:r>
          </w:p>
        </w:tc>
      </w:tr>
      <w:tr>
        <w:trPr/>
        <w:tc>
          <w:tcPr>
            <w:tcW w:w="1020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tc>
      </w:tr>
      <w:tr>
        <w:trPr/>
        <w:tc>
          <w:tcPr>
            <w:tcW w:w="19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28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19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28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19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28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64" w:before="0" w:after="0"/>
        <w:jc w:val="right"/>
        <w:rPr>
          <w:rFonts w:ascii="Times New Roman;sans-serif" w:hAnsi="Times New Roman;sans-serif"/>
          <w:b/>
          <w:color w:val="FF0000"/>
          <w:sz w:val="20"/>
        </w:rPr>
      </w:pPr>
      <w:r>
        <w:rPr>
          <w:rFonts w:ascii="Times New Roman;sans-serif" w:hAnsi="Times New Roman;sans-serif"/>
          <w:b/>
          <w:color w:val="FF0000"/>
          <w:sz w:val="20"/>
        </w:rPr>
        <w:t>PRELIMINARY PROXY STATEMENT DATED APRIL 17, 2023</w:t>
      </w:r>
    </w:p>
    <w:p>
      <w:pPr>
        <w:pStyle w:val="TextBody"/>
        <w:spacing w:lineRule="auto" w:line="264" w:before="0" w:after="0"/>
        <w:jc w:val="right"/>
        <w:rPr>
          <w:rFonts w:ascii="Times New Roman;sans-serif" w:hAnsi="Times New Roman;sans-serif"/>
          <w:b/>
          <w:color w:val="FF0000"/>
          <w:sz w:val="20"/>
        </w:rPr>
      </w:pPr>
      <w:r>
        <w:rPr>
          <w:rFonts w:ascii="Times New Roman;sans-serif" w:hAnsi="Times New Roman;sans-serif"/>
          <w:b/>
          <w:color w:val="FF0000"/>
          <w:sz w:val="20"/>
        </w:rPr>
        <w:t>SUBJECT TO COMPLETION</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6000 Shoreline Court, Suite 300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South San Francisco, CA 94080</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(650) 243-6300</w:t>
      </w:r>
    </w:p>
    <w:p>
      <w:pPr>
        <w:pStyle w:val="TextBody"/>
        <w:spacing w:lineRule="auto" w:line="288"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 2023</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Dear Stockholder:</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are cordially invited to attend the Annual Meeting of Stockholders of Veracyte, Inc. that will be held virtually on Thursday, June 8, 2023, at 10:00 a.m., Pacific Time. The virtual Annual Meeting can be accessed by visiting www.virtualshareholdermeeting.com/VCYT2023, where you will be able to listen to the meeting live, submit questions and vote online. We believe that a virtual stockholder meeting provides greater access to those who may want to attend, and therefore we have chosen this over an in-person meeting. This approach also lowers costs, enables greater participation and is better for the environment.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matters to be acted upon are described in the accompanying Notice of Annual Meeting and Proxy Statement.</w:t>
      </w:r>
    </w:p>
    <w:p>
      <w:pPr>
        <w:pStyle w:val="TextBody"/>
        <w:spacing w:before="0" w:after="240"/>
        <w:ind w:left="0" w:right="0" w:firstLine="720"/>
        <w:jc w:val="both"/>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reading the Proxy Statement, please vote promptly to ensure that your shares will be represented. Whether or not you plan to attend the meeting, please vote by telephone or the internet, or sign and return a proxy card to ensure your representation at the meeting. Your vote is important.</w:t>
      </w:r>
    </w:p>
    <w:p>
      <w:pPr>
        <w:pStyle w:val="TextBody"/>
        <w:spacing w:lineRule="auto" w:line="288" w:before="0" w:after="3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look forward to seeing you at the Annual Meeting.</w:t>
      </w:r>
    </w:p>
    <w:tbl>
      <w:tblPr>
        <w:tblW w:w="2396" w:type="dxa"/>
        <w:jc w:val="center"/>
        <w:tblInd w:w="0" w:type="dxa"/>
        <w:tblCellMar>
          <w:top w:w="28" w:type="dxa"/>
          <w:left w:w="28" w:type="dxa"/>
          <w:bottom w:w="28" w:type="dxa"/>
          <w:right w:w="28" w:type="dxa"/>
        </w:tblCellMar>
      </w:tblPr>
      <w:tblGrid>
        <w:gridCol w:w="124"/>
        <w:gridCol w:w="109"/>
        <w:gridCol w:w="109"/>
        <w:gridCol w:w="600"/>
        <w:gridCol w:w="600"/>
        <w:gridCol w:w="8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 yours,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64" w:before="0" w:after="0"/>
        <w:jc w:val="right"/>
        <w:rPr>
          <w:rFonts w:ascii="Times New Roman;sans-serif" w:hAnsi="Times New Roman;sans-serif"/>
          <w:b/>
          <w:color w:val="FF0000"/>
          <w:sz w:val="20"/>
        </w:rPr>
      </w:pPr>
      <w:r>
        <w:rPr>
          <w:rFonts w:ascii="Times New Roman;sans-serif" w:hAnsi="Times New Roman;sans-serif"/>
          <w:b/>
          <w:color w:val="FF0000"/>
          <w:sz w:val="20"/>
        </w:rPr>
        <w:t>PRELIMINARY PROXY STATEMENT DATED APRIL 17, 2023</w:t>
      </w:r>
    </w:p>
    <w:p>
      <w:pPr>
        <w:pStyle w:val="TextBody"/>
        <w:spacing w:lineRule="auto" w:line="264" w:before="0" w:after="0"/>
        <w:jc w:val="right"/>
        <w:rPr>
          <w:rFonts w:ascii="Times New Roman;sans-serif" w:hAnsi="Times New Roman;sans-serif"/>
          <w:b/>
          <w:color w:val="FF0000"/>
          <w:sz w:val="20"/>
        </w:rPr>
      </w:pPr>
      <w:r>
        <w:rPr>
          <w:rFonts w:ascii="Times New Roman;sans-serif" w:hAnsi="Times New Roman;sans-serif"/>
          <w:b/>
          <w:color w:val="FF0000"/>
          <w:sz w:val="20"/>
        </w:rPr>
        <w:t>SUBJECT TO COMPLETION</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Veracyte,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6000 Shoreline Court, Suite 300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South San Francisco, CA 94080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Notice of Annual Meeting of Stockholders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be held Thursday, June 8, 2023</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spacing w:before="0" w:after="0"/>
        <w:jc w:val="center"/>
        <w:rPr/>
      </w:pPr>
      <w:r>
        <w:rPr/>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of Veracyte, Inc.:</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Annual Meeting of Stockholders of Veracyte, Inc., a Delaware corporation (“Veracyte,” “we,” “us” or “our”), will be held virtually via the Internet at www.virtualshareholdermeeting.com/VCYT2023 on Thursday, June 8, 2023, at 10:00 a.m., Pacific Time, for the following purposes:</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    To elect two Class I directors to serve until the 2026 Annual Meeting of Stockholders or until their successors are duly elected and qualified;</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    To ratify the appointment of Ernst &amp; Young LLP as our independent registered public accounting firm for 2023;</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    To approve, on a non-binding advisory basis, the compensation paid by us to our named executive officers as disclosed in this Proxy Statement;</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    To approve our new Veracyte, Inc. 2023 Equity Incentive Plan;</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    To adopt an amendment to our existing restated certificate of incorporation in order to declassify our Board of Directors and make other related changes;</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6.    To adopt an amendment to our existing restated certificate of incorporation to permit exculpation of officers by Veracyte from personal liability for certain breaches of the duty of care; and</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7.    To transact such other business as may properly come before the Annual Meeting of Stockholders and any postponement or adjournment of the Annual Meeting.</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Only stockholders of record as of the close of business on April 10, 2023 are entitled to notice of and to vote at the Annual Meeting and any postponement or adjournment thereof.</w:t>
      </w:r>
    </w:p>
    <w:p>
      <w:pPr>
        <w:pStyle w:val="TextBody"/>
        <w:spacing w:lineRule="auto" w:line="288" w:before="0" w:after="240"/>
        <w:ind w:left="0" w:right="0" w:firstLine="720"/>
        <w:jc w:val="both"/>
        <w:rPr/>
      </w:pPr>
      <w:r>
        <w:rPr>
          <w:rFonts w:ascii="Times New Roman;sans-serif" w:hAnsi="Times New Roman;sans-serif"/>
          <w:b/>
          <w:color w:val="000000"/>
          <w:sz w:val="20"/>
        </w:rPr>
        <w:t>It is important that your shares be represented at this meeting. Even if you plan to attend the meeting, we hope that you will vote as soon as possible. Voting now will ensure your representation at the Annual Meeting regardless of whether you attend. You may vote on the internet, by telephone or by mailing the enclosed proxy card or voting instruction form. You may also attend the Annual Meeting and vote and submit questions during the Annual Meeting via the Internet at www.virtualshareholdermeeting.com/VCYT2023. Please review the instructions on page </w:t>
      </w:r>
      <w:hyperlink w:anchor="if37a8ba3dd364fe2aeea4b517fe95c9c_29960">
        <w:r>
          <w:rPr>
            <w:rStyle w:val="InternetLink"/>
            <w:rFonts w:ascii="Times New Roman;sans-serif" w:hAnsi="Times New Roman;sans-serif"/>
            <w:b/>
            <w:color w:val="0000FF"/>
            <w:sz w:val="20"/>
            <w:u w:val="single"/>
          </w:rPr>
          <w:t>6</w:t>
        </w:r>
      </w:hyperlink>
      <w:r>
        <w:rPr>
          <w:color w:val="000000"/>
        </w:rPr>
        <w:t xml:space="preserve"> </w:t>
      </w:r>
      <w:r>
        <w:rPr>
          <w:rFonts w:ascii="Times New Roman;sans-serif" w:hAnsi="Times New Roman;sans-serif"/>
          <w:b/>
          <w:color w:val="000000"/>
          <w:sz w:val="20"/>
        </w:rPr>
        <w:t>of the Proxy Statement and your proxy card or voting instruction form regarding each of these voting options.</w:t>
      </w:r>
    </w:p>
    <w:tbl>
      <w:tblPr>
        <w:tblW w:w="3267" w:type="dxa"/>
        <w:jc w:val="center"/>
        <w:tblInd w:w="0" w:type="dxa"/>
        <w:tblCellMar>
          <w:top w:w="28" w:type="dxa"/>
          <w:left w:w="28" w:type="dxa"/>
          <w:bottom w:w="28" w:type="dxa"/>
          <w:right w:w="28" w:type="dxa"/>
        </w:tblCellMar>
      </w:tblPr>
      <w:tblGrid>
        <w:gridCol w:w="124"/>
        <w:gridCol w:w="109"/>
        <w:gridCol w:w="109"/>
        <w:gridCol w:w="855"/>
        <w:gridCol w:w="855"/>
        <w:gridCol w:w="12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South San Francisco, California</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[___], 2023</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IMPORTANT NOTICE REGARDING THE AVAILABILITY OF PROXY MATERIALS FOR THE ANNUAL MEETING OF STOCKHOLDERS TO BE HELD ON JUNE 8, 2023.</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The Proxy Statement and Annual Report are available at www.proxyvote.com.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FOR 2023 ANNUAL MEETING OF STOCKHOLDERS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before="0" w:after="0"/>
        <w:rPr/>
      </w:pPr>
      <w:r>
        <w:rPr/>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3490"/>
        <w:gridCol w:w="3069"/>
        <w:gridCol w:w="3074"/>
        <w:gridCol w:w="167"/>
        <w:gridCol w:w="167"/>
        <w:gridCol w:w="238"/>
      </w:tblGrid>
      <w:tr>
        <w:trPr/>
        <w:tc>
          <w:tcPr>
            <w:tcW w:w="3490" w:type="dxa"/>
            <w:tcBorders/>
            <w:shd w:fill="auto" w:val="clear"/>
            <w:vAlign w:val="center"/>
          </w:tcPr>
          <w:p>
            <w:pPr>
              <w:pStyle w:val="TableContents"/>
              <w:spacing w:before="0" w:after="283"/>
              <w:rPr>
                <w:sz w:val="4"/>
                <w:szCs w:val="4"/>
              </w:rPr>
            </w:pPr>
            <w:r>
              <w:rPr>
                <w:sz w:val="4"/>
                <w:szCs w:val="4"/>
              </w:rPr>
            </w:r>
          </w:p>
        </w:tc>
        <w:tc>
          <w:tcPr>
            <w:tcW w:w="3069" w:type="dxa"/>
            <w:tcBorders/>
            <w:shd w:fill="auto" w:val="clear"/>
            <w:vAlign w:val="center"/>
          </w:tcPr>
          <w:p>
            <w:pPr>
              <w:pStyle w:val="TableContents"/>
              <w:spacing w:before="0" w:after="283"/>
              <w:rPr>
                <w:sz w:val="4"/>
                <w:szCs w:val="4"/>
              </w:rPr>
            </w:pPr>
            <w:r>
              <w:rPr>
                <w:sz w:val="4"/>
                <w:szCs w:val="4"/>
              </w:rPr>
            </w:r>
          </w:p>
        </w:tc>
        <w:tc>
          <w:tcPr>
            <w:tcW w:w="307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br/>
              <w:t>No.</w:t>
            </w:r>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tc>
        <w:tc>
          <w:tcPr>
            <w:tcW w:w="5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w:anchor="ie24817c9af824b809b029d66ef658cba_1113">
              <w:r>
                <w:rPr>
                  <w:rStyle w:val="InternetLink"/>
                  <w:rFonts w:ascii="Times New Roman;sans-serif" w:hAnsi="Times New Roman;sans-serif"/>
                  <w:b w:val="false"/>
                  <w:color w:val="0000FF"/>
                  <w:sz w:val="20"/>
                  <w:u w:val="single"/>
                </w:rPr>
                <w:t>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PROXY STATEMENT SUMMARY</w:t>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24817c9af824b809b029d66ef658cba_7">
              <w:r>
                <w:rPr>
                  <w:rStyle w:val="InternetLink"/>
                  <w:rFonts w:ascii="Times New Roman;sans-serif" w:hAnsi="Times New Roman;sans-serif"/>
                  <w:b w:val="false"/>
                  <w:color w:val="0000FF"/>
                  <w:sz w:val="20"/>
                  <w:u w:val="single"/>
                </w:rPr>
                <w:t>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GENERAL INFORMATION</w:t>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24817c9af824b809b029d66ef658cba_10">
              <w:r>
                <w:rPr>
                  <w:rStyle w:val="InternetLink"/>
                  <w:rFonts w:ascii="Times New Roman;sans-serif" w:hAnsi="Times New Roman;sans-serif"/>
                  <w:b w:val="false"/>
                  <w:color w:val="0000FF"/>
                  <w:sz w:val="20"/>
                  <w:u w:val="single"/>
                </w:rPr>
                <w:t>5</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PROPOSAL NO. 1 ELECTION OF DIRECTORS</w:t>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24817c9af824b809b029d66ef658cba_13">
              <w:r>
                <w:rPr>
                  <w:rStyle w:val="InternetLink"/>
                  <w:rFonts w:ascii="Times New Roman;sans-serif" w:hAnsi="Times New Roman;sans-serif"/>
                  <w:b w:val="false"/>
                  <w:color w:val="0000FF"/>
                  <w:sz w:val="20"/>
                  <w:u w:val="single"/>
                </w:rPr>
                <w:t>10</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PROPOSAL NO. 2 RATIFICATION OF APPOINTMENT OF INDEPENDENT REGISTERED PUBLIC ACCOUNTING FIRM</w:t>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24817c9af824b809b029d66ef658cba_52">
              <w:r>
                <w:rPr>
                  <w:rStyle w:val="InternetLink"/>
                  <w:rFonts w:ascii="Times New Roman;sans-serif" w:hAnsi="Times New Roman;sans-serif"/>
                  <w:b w:val="false"/>
                  <w:color w:val="0000FF"/>
                  <w:sz w:val="20"/>
                  <w:u w:val="single"/>
                </w:rPr>
                <w:t>22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PROPOSAL NO. 3 ADVISORY VOTE ON THE COMPENSATION OF OUR NAMED EXECUTIVE OFFICERS</w:t>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24817c9af824b809b029d66ef658cba_64">
              <w:r>
                <w:rPr>
                  <w:rStyle w:val="InternetLink"/>
                  <w:rFonts w:ascii="Times New Roman;sans-serif" w:hAnsi="Times New Roman;sans-serif"/>
                  <w:b w:val="false"/>
                  <w:color w:val="0000FF"/>
                  <w:sz w:val="20"/>
                  <w:u w:val="single"/>
                </w:rPr>
                <w:t>23</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PROPOSAL NO. 4 APPROVAL OF THE VERACYTE, INC. 2023 EQUITY INCENTIVE PLAN</w:t>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24817c9af824b809b029d66ef658cba_1042">
              <w:r>
                <w:rPr>
                  <w:rStyle w:val="InternetLink"/>
                  <w:rFonts w:ascii="Times New Roman;sans-serif" w:hAnsi="Times New Roman;sans-serif"/>
                  <w:b w:val="false"/>
                  <w:color w:val="0000FF"/>
                  <w:sz w:val="20"/>
                  <w:u w:val="single"/>
                </w:rPr>
                <w:t>24</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PROPOSAL NO. 5 ADOPTION OF AN AMENDMENT TO THE CURRENT CERTIFICATE IN ORDER TO DECLASSIFY OUR BOARD OF DIRECTORS</w:t>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24817c9af824b809b029d66ef658cba_1048">
              <w:r>
                <w:rPr>
                  <w:rStyle w:val="InternetLink"/>
                  <w:rFonts w:ascii="Times New Roman;sans-serif" w:hAnsi="Times New Roman;sans-serif"/>
                  <w:b w:val="false"/>
                  <w:color w:val="0000FF"/>
                  <w:sz w:val="20"/>
                  <w:u w:val="single"/>
                </w:rPr>
                <w:t>32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PROPOSAL NO. 6 ADOPTION OF AN AMENDMENT TO THE CURRENT CERTIFICATE IN ORDER TO PERMIT THE EXCULPATION OF OFFICERS FROM PERSONAL LIABILITY FOR CERTAIN BREACHES OF THE DUTY OF CARE</w:t>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24817c9af824b809b029d66ef658cba_1054">
              <w:r>
                <w:rPr>
                  <w:rStyle w:val="InternetLink"/>
                  <w:rFonts w:ascii="Times New Roman;sans-serif" w:hAnsi="Times New Roman;sans-serif"/>
                  <w:b w:val="false"/>
                  <w:color w:val="0000FF"/>
                  <w:sz w:val="20"/>
                  <w:u w:val="single"/>
                </w:rPr>
                <w:t>33</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 AND MANAGEMENT</w:t>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24817c9af824b809b029d66ef658cba_67">
              <w:r>
                <w:rPr>
                  <w:rStyle w:val="InternetLink"/>
                  <w:rFonts w:ascii="Times New Roman;sans-serif" w:hAnsi="Times New Roman;sans-serif"/>
                  <w:b w:val="false"/>
                  <w:color w:val="0000FF"/>
                  <w:sz w:val="20"/>
                  <w:u w:val="single"/>
                </w:rPr>
                <w:t>34</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OFFICERS</w:t>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24817c9af824b809b029d66ef658cba_70">
              <w:r>
                <w:rPr>
                  <w:rStyle w:val="InternetLink"/>
                  <w:rFonts w:ascii="Times New Roman;sans-serif" w:hAnsi="Times New Roman;sans-serif"/>
                  <w:b w:val="false"/>
                  <w:color w:val="0000FF"/>
                  <w:sz w:val="20"/>
                  <w:u w:val="single"/>
                </w:rPr>
                <w:t>37</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COMPENSATION</w:t>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24817c9af824b809b029d66ef658cba_73">
              <w:r>
                <w:rPr>
                  <w:rStyle w:val="InternetLink"/>
                  <w:rFonts w:ascii="Times New Roman;sans-serif" w:hAnsi="Times New Roman;sans-serif"/>
                  <w:b w:val="false"/>
                  <w:color w:val="0000FF"/>
                  <w:sz w:val="20"/>
                  <w:u w:val="single"/>
                </w:rPr>
                <w:t>37</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24817c9af824b809b029d66ef658cba_103">
              <w:r>
                <w:rPr>
                  <w:rStyle w:val="InternetLink"/>
                  <w:rFonts w:ascii="Times New Roman;sans-serif" w:hAnsi="Times New Roman;sans-serif"/>
                  <w:b w:val="false"/>
                  <w:color w:val="0000FF"/>
                  <w:sz w:val="20"/>
                  <w:u w:val="single"/>
                </w:rPr>
                <w:t>61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 OF THE AUDIT COMMITTEE OF THE BOARD OF DIRECTORS</w:t>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24817c9af824b809b029d66ef658cba_106">
              <w:r>
                <w:rPr>
                  <w:rStyle w:val="InternetLink"/>
                  <w:rFonts w:ascii="Times New Roman;sans-serif" w:hAnsi="Times New Roman;sans-serif"/>
                  <w:b w:val="false"/>
                  <w:color w:val="0000FF"/>
                  <w:sz w:val="20"/>
                  <w:u w:val="single"/>
                </w:rPr>
                <w:t>61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CERTAIN RELATIONSHIPS AND RELATED PARTY TRANSACTIONS</w:t>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24817c9af824b809b029d66ef658cba_109">
              <w:r>
                <w:rPr>
                  <w:rStyle w:val="InternetLink"/>
                  <w:rFonts w:ascii="Times New Roman;sans-serif" w:hAnsi="Times New Roman;sans-serif"/>
                  <w:b w:val="false"/>
                  <w:color w:val="0000FF"/>
                  <w:sz w:val="20"/>
                  <w:u w:val="single"/>
                </w:rPr>
                <w:t>62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ADDITIONAL INFORMATION</w:t>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24817c9af824b809b029d66ef658cba_112">
              <w:r>
                <w:rPr>
                  <w:rStyle w:val="InternetLink"/>
                  <w:rFonts w:ascii="Times New Roman;sans-serif" w:hAnsi="Times New Roman;sans-serif"/>
                  <w:b w:val="false"/>
                  <w:color w:val="0000FF"/>
                  <w:sz w:val="20"/>
                  <w:u w:val="single"/>
                </w:rPr>
                <w:t>62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MATTERS AND AVAILABLE INFORMATION</w:t>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24817c9af824b809b029d66ef658cba_121">
              <w:r>
                <w:rPr>
                  <w:rStyle w:val="InternetLink"/>
                  <w:rFonts w:ascii="Times New Roman;sans-serif" w:hAnsi="Times New Roman;sans-serif"/>
                  <w:b w:val="false"/>
                  <w:color w:val="0000FF"/>
                  <w:sz w:val="20"/>
                  <w:u w:val="single"/>
                </w:rPr>
                <w:t>63</w:t>
              </w:r>
            </w:hyperlink>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64" w:before="0" w:after="0"/>
        <w:jc w:val="right"/>
        <w:rPr>
          <w:rFonts w:ascii="Times New Roman;sans-serif" w:hAnsi="Times New Roman;sans-serif"/>
          <w:b/>
          <w:color w:val="FF0000"/>
          <w:sz w:val="20"/>
        </w:rPr>
      </w:pPr>
      <w:r>
        <w:rPr>
          <w:rFonts w:ascii="Times New Roman;sans-serif" w:hAnsi="Times New Roman;sans-serif"/>
          <w:b/>
          <w:color w:val="FF0000"/>
          <w:sz w:val="20"/>
        </w:rPr>
        <w:t>PRELIMINARY PROXY STATEMENT DATED APRIL 17, 2023</w:t>
      </w:r>
    </w:p>
    <w:p>
      <w:pPr>
        <w:pStyle w:val="TextBody"/>
        <w:spacing w:lineRule="auto" w:line="264" w:before="0" w:after="0"/>
        <w:jc w:val="right"/>
        <w:rPr>
          <w:rFonts w:ascii="Times New Roman;sans-serif" w:hAnsi="Times New Roman;sans-serif"/>
          <w:b/>
          <w:color w:val="FF0000"/>
          <w:sz w:val="20"/>
        </w:rPr>
      </w:pPr>
      <w:r>
        <w:rPr>
          <w:rFonts w:ascii="Times New Roman;sans-serif" w:hAnsi="Times New Roman;sans-serif"/>
          <w:b/>
          <w:color w:val="FF0000"/>
          <w:sz w:val="20"/>
        </w:rPr>
        <w:t>SUBJECT TO COMPLETION</w:t>
      </w:r>
    </w:p>
    <w:p>
      <w:pPr>
        <w:pStyle w:val="TextBody"/>
        <w:spacing w:before="0" w:after="0"/>
        <w:jc w:val="center"/>
        <w:rPr/>
      </w:pPr>
      <w:r>
        <w:rPr/>
      </w:r>
    </w:p>
    <w:p>
      <w:pPr>
        <w:pStyle w:val="TextBody"/>
        <w:spacing w:before="0" w:after="0"/>
        <w:jc w:val="center"/>
        <w:rPr/>
      </w:pPr>
      <w:r>
        <w:rPr/>
      </w:r>
    </w:p>
    <w:p>
      <w:pPr>
        <w:pStyle w:val="TextBody"/>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CAUTIONARY NOTE REGARDING FORWARD-LOOKING STATEMENTS</w:t>
      </w:r>
    </w:p>
    <w:p>
      <w:pPr>
        <w:pStyle w:val="TextBody"/>
        <w:spacing w:before="0" w:after="0"/>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proxy statement contains forward-looking statements within the meaning of the Private Securities Litigation Reform Act of 1995. When used in this proxy statement, the words “expects,” “anticipates,” “intends,” “estimates,” “plans,” “believes,” “continuing,” “ongoing,” and similar expressions are intended to identify forward-looking statements. These are statements that relate to future events and include but not limited to, forward-looking statements that involve risks and uncertainties; our ability to execute our short-term and long-term growth strategies; our plans for environmental, corporate governance and social responsibility, including our plan to release of our inaugural Environmental, Social, and Corporate Governance report; and other future events.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only predictions and may differ materially from actual results due to a variety of factors, including, but not limited to, the risks and uncertainties listed in our Annual Report on Form 10-K, filed on March 1, 2023, for the year ended December 31, 2022 and other reports filed with the U.S. Securities and Exchange Commission to which your attention is directed. You should not place undue reliance on these forward-looking statements, which speak only as of the date hereof, and we undertake no obligation to update these forward-looking statements to reflect subsequent events or circumstances.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64" w:before="0" w:after="0"/>
        <w:rPr>
          <w:rFonts w:ascii="Times New Roman;sans-serif" w:hAnsi="Times New Roman;sans-serif"/>
          <w:b/>
          <w:color w:val="FF0000"/>
          <w:sz w:val="20"/>
        </w:rPr>
      </w:pPr>
      <w:r>
        <w:rPr>
          <w:rFonts w:ascii="Times New Roman;sans-serif" w:hAnsi="Times New Roman;sans-serif"/>
          <w:b/>
          <w:color w:val="FF0000"/>
          <w:sz w:val="20"/>
        </w:rPr>
        <w:t>PRELIMINARY PROXY STATEMENT DATED APRIL 17, 2023</w:t>
      </w:r>
    </w:p>
    <w:p>
      <w:pPr>
        <w:pStyle w:val="TextBody"/>
        <w:spacing w:before="0" w:after="0"/>
        <w:jc w:val="right"/>
        <w:rPr/>
      </w:pPr>
      <w:r>
        <w:rPr/>
      </w:r>
    </w:p>
    <w:p>
      <w:pPr>
        <w:pStyle w:val="TextBody"/>
        <w:spacing w:lineRule="auto" w:line="264" w:before="0" w:after="0"/>
        <w:jc w:val="right"/>
        <w:rPr>
          <w:rFonts w:ascii="Times New Roman;sans-serif" w:hAnsi="Times New Roman;sans-serif"/>
          <w:b/>
          <w:color w:val="FF0000"/>
          <w:sz w:val="20"/>
        </w:rPr>
      </w:pPr>
      <w:r>
        <w:rPr>
          <w:rFonts w:ascii="Times New Roman;sans-serif" w:hAnsi="Times New Roman;sans-serif"/>
          <w:b/>
          <w:color w:val="FF0000"/>
          <w:sz w:val="20"/>
        </w:rPr>
        <w:t>SUBJECT TO COMPLETION</w:t>
      </w:r>
    </w:p>
    <w:p>
      <w:pPr>
        <w:pStyle w:val="TextBody"/>
        <w:spacing w:before="0" w:after="0"/>
        <w:jc w:val="right"/>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SUMMARY</w:t>
      </w:r>
    </w:p>
    <w:p>
      <w:pPr>
        <w:pStyle w:val="TextBody"/>
        <w:spacing w:before="0" w:after="0"/>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summary highlights information contained elsewhere in this proxy statement. You should read the entire proxy statement before voting. </w:t>
      </w:r>
    </w:p>
    <w:p>
      <w:pPr>
        <w:pStyle w:val="TextBody"/>
        <w:spacing w:lineRule="auto" w:line="264" w:before="0" w:after="180"/>
        <w:rPr>
          <w:rFonts w:ascii="Times New Roman;sans-serif" w:hAnsi="Times New Roman;sans-serif"/>
          <w:b/>
          <w:color w:val="000000"/>
          <w:sz w:val="20"/>
        </w:rPr>
      </w:pPr>
      <w:r>
        <w:rPr>
          <w:rFonts w:ascii="Times New Roman;sans-serif" w:hAnsi="Times New Roman;sans-serif"/>
          <w:b/>
          <w:color w:val="000000"/>
          <w:sz w:val="20"/>
        </w:rPr>
        <w:t>2022 FINANCIAL AND BUSINESS HIGHLIGHTS</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 xml:space="preserve">Total revenue for 2022 was $296.5 million, an increase of 35% compared to $219.5 million in 2021. </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Grew total test volume to 102,524 for the full-year 2022, an increase of 30%, compared to the prior year.</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 xml:space="preserve">Generated $7.5 million in cash from operating activities for the full-year 2022. </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Ended 2022 with cash, cash equivalents and short-term investments of $178.9 million.</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Published and presented over 40 journal articles and scientific abstracts demonstrating the prognostic and predictive value of the Decipher Prostate Genomic Classifier.</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 xml:space="preserve">Received the highest level of evidence (Level 1) in the NCCN Guidelines for the Decipher Prostate Genomic Classifier, making it the first and only prostate cancer gene expression test to achieve this status. </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 xml:space="preserve">Expanded the clinical-evidence library for the Afirma Genomic Sequencing Classifier and introduced test enhancements. </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Submitted the Envisia Genomic Classifier to the Notified Body for CE marking in the European Union, ahead of schedule.</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Continued to progress the Nightingale clinical utility study, which is intended to support reimbursement for our Percepta Nasal Swab.</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Began the transition of our IVD test manufacturing in house and shipped our first Prosigna kits from our facility in Marseille, France.</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 xml:space="preserve">Bolstered our Biopharma business with data on our proprietary immuno-oncology technology published in </w:t>
      </w:r>
      <w:r>
        <w:rPr>
          <w:rFonts w:ascii="Times New Roman;sans-serif" w:hAnsi="Times New Roman;sans-serif"/>
          <w:b w:val="false"/>
          <w:i/>
          <w:color w:val="000000"/>
          <w:sz w:val="20"/>
        </w:rPr>
        <w:t>Nature Medicine and The Lancet Oncology</w:t>
      </w:r>
      <w:r>
        <w:rPr>
          <w:rFonts w:ascii="Times New Roman;sans-serif" w:hAnsi="Times New Roman;sans-serif"/>
          <w:b w:val="false"/>
          <w:color w:val="000000"/>
          <w:sz w:val="20"/>
        </w:rPr>
        <w:t>.</w:t>
      </w:r>
      <w:r>
        <w:rPr>
          <w:color w:val="000000"/>
        </w:rPr>
        <w:t xml:space="preserve"> </w:t>
      </w:r>
    </w:p>
    <w:p>
      <w:pPr>
        <w:pStyle w:val="TextBody"/>
        <w:spacing w:lineRule="auto" w:line="264" w:before="180" w:after="180"/>
        <w:rPr>
          <w:rFonts w:ascii="Times New Roman;sans-serif" w:hAnsi="Times New Roman;sans-serif"/>
          <w:b/>
          <w:color w:val="000000"/>
          <w:sz w:val="20"/>
        </w:rPr>
      </w:pPr>
      <w:r>
        <w:rPr>
          <w:rFonts w:ascii="Times New Roman;sans-serif" w:hAnsi="Times New Roman;sans-serif"/>
          <w:b/>
          <w:color w:val="000000"/>
          <w:sz w:val="20"/>
        </w:rPr>
        <w:t>GOVERNANCE AND BOARD HIGHLIGHTS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good corporate governance, which strengthens the accountability of our Board of Directors and promotes the long-term interests of our stockholders. The list below highlights our independent board and leadership and other corporate governance practices, as discussed further in this Proxy Statement.</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Majority of directors are independent (seven out of nine current directors).</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Board leadership structure where we currently have an independent Chair of the Board of Directors.</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All Board of Directors committees, including our Regulatory and Compliance Committee, are composed of independent directors.</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Following feedback from our stockholders, the Board of Directors has recommended that our stockholders adopt an amendment to our restated certificate of incorporation in order to declassify our Board of Directors. The Board of Directors has also approved amended and restated bylaws, which shall become effective contingent upon and subject to the effectiveness of the filing of the amendment relating to the declassification of our Board of Directors with the Delaware Secretary of State after its adoption by our stockholders, to reflect changes relating to declassification of our Board of Directors. Information regarding this proposal can be found under the section titled “Proposal No. 5— Adoption of Amendment to the Current Certificate in Order to Declassify our Board of Directors.”</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Our nominating and corporate governance committee oversees our programs relating to corporate responsibility and sustainability, including Environmental, Social, and Corporate Governance (“ESG”), with collaboration with the audit committee, compensation committee, and regulatory and compliance committee on certain ESG matters, as appropriate.</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 xml:space="preserve">We are planning to publish our inaugural ESG report during the second quarter of 2023.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Our Board of Directors is focused on enhancing diversity. Currently, three out of our nine members of the Board of Directors are female, and two out of nine members of the Board of Directors are from underrepresented groups.</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We employ comprehensive risk oversight practices, including cybersecurity, data privacy, legal and regulatory matters, ESG, and other critical evolving areas.</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Non-management directors conduct regular executive sessions.</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Directors maintain open communication and strong working relationships among themselves and have regular access to management.</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Directors conduct a robust annual Board of Directors and committee self-assessment process.</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We have a majority voting standard for uncontested elections of directors.</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Board of Directors has robust related party transaction standards for any direct or indirect involvement of a director or management in the company’s business activities.</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 xml:space="preserve">Our management team, including our C-Level executive officers, and the non-employee directors on our Board of Directors, are required to hold shares of our common stock pursuant to stock ownership guidelines. </w:t>
      </w:r>
    </w:p>
    <w:p>
      <w:pPr>
        <w:pStyle w:val="TextBody"/>
        <w:spacing w:lineRule="auto" w:line="276" w:before="0" w:after="120"/>
        <w:ind w:left="0" w:right="0" w:hanging="360"/>
        <w:jc w:val="both"/>
        <w:rPr/>
      </w:pPr>
      <w:r>
        <w:rPr>
          <w:color w:val="000000"/>
        </w:rPr>
        <w:t>•</w:t>
      </w:r>
      <w:r>
        <w:rPr>
          <w:rFonts w:ascii="Times New Roman;sans-serif" w:hAnsi="Times New Roman;sans-serif"/>
          <w:b w:val="false"/>
          <w:color w:val="000000"/>
          <w:sz w:val="20"/>
        </w:rPr>
        <w:t xml:space="preserve">We intend to adopt a clawback policy in accordance with the listing standards adopted by The Nasdaq Stock Market pursuant to final rules regarding recoupment of executive officer compensation in connection with the restatement of financial results adopted by the Securities and Exchange Commission (the “SEC”) in November 2022. </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Meeting Agenda and Voting Recommendations</w:t>
      </w:r>
    </w:p>
    <w:tbl>
      <w:tblPr>
        <w:tblW w:w="10205" w:type="dxa"/>
        <w:jc w:val="left"/>
        <w:tblInd w:w="0" w:type="dxa"/>
        <w:tblCellMar>
          <w:top w:w="28" w:type="dxa"/>
          <w:left w:w="28" w:type="dxa"/>
          <w:bottom w:w="28" w:type="dxa"/>
          <w:right w:w="28" w:type="dxa"/>
        </w:tblCellMar>
      </w:tblPr>
      <w:tblGrid>
        <w:gridCol w:w="874"/>
        <w:gridCol w:w="447"/>
        <w:gridCol w:w="447"/>
        <w:gridCol w:w="447"/>
        <w:gridCol w:w="447"/>
        <w:gridCol w:w="447"/>
        <w:gridCol w:w="544"/>
        <w:gridCol w:w="447"/>
        <w:gridCol w:w="447"/>
        <w:gridCol w:w="447"/>
        <w:gridCol w:w="447"/>
        <w:gridCol w:w="447"/>
        <w:gridCol w:w="893"/>
        <w:gridCol w:w="447"/>
        <w:gridCol w:w="447"/>
        <w:gridCol w:w="109"/>
        <w:gridCol w:w="109"/>
        <w:gridCol w:w="109"/>
        <w:gridCol w:w="642"/>
        <w:gridCol w:w="642"/>
        <w:gridCol w:w="919"/>
      </w:tblGrid>
      <w:tr>
        <w:trPr/>
        <w:tc>
          <w:tcPr>
            <w:tcW w:w="874"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r>
      <w:tr>
        <w:trPr/>
        <w:tc>
          <w:tcPr>
            <w:tcW w:w="7675" w:type="dxa"/>
            <w:gridSpan w:val="15"/>
            <w:tcBorders>
              <w:bottom w:val="single" w:sz="8" w:space="0" w:color="001A3D"/>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5" w:type="dxa"/>
            <w:gridSpan w:val="15"/>
            <w:tcBorders>
              <w:top w:val="single" w:sz="8" w:space="0" w:color="001A3D"/>
              <w:bottom w:val="single" w:sz="8" w:space="0" w:color="001A3D"/>
            </w:tcBorders>
            <w:shd w:fill="auto" w:val="clear"/>
            <w:tcMar>
              <w:top w:w="30" w:type="dxa"/>
              <w:left w:w="0" w:type="dxa"/>
              <w:bottom w:w="3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PROPOSAL NO. 1</w:t>
            </w:r>
          </w:p>
        </w:tc>
        <w:tc>
          <w:tcPr>
            <w:tcW w:w="327" w:type="dxa"/>
            <w:gridSpan w:val="3"/>
            <w:vMerge w:val="restart"/>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3" w:type="dxa"/>
            <w:gridSpan w:val="3"/>
            <w:vMerge w:val="restart"/>
            <w:tcBorders/>
            <w:shd w:fill="DBDBDB"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76225" cy="27622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276225" cy="276225"/>
                          </a:xfrm>
                          <a:prstGeom prst="rect">
                            <a:avLst/>
                          </a:prstGeom>
                        </pic:spPr>
                      </pic:pic>
                    </a:graphicData>
                  </a:graphic>
                </wp:inline>
              </w:drawing>
            </w:r>
          </w:p>
          <w:p>
            <w:pPr>
              <w:pStyle w:val="TableContents"/>
              <w:spacing w:before="0" w:after="0"/>
              <w:jc w:val="center"/>
              <w:rPr/>
            </w:pPr>
            <w:r>
              <w:rPr/>
            </w:r>
          </w:p>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BOARD’S RECOMMENDATION</w:t>
            </w:r>
          </w:p>
          <w:p>
            <w:pPr>
              <w:pStyle w:val="TableContents"/>
              <w:spacing w:lineRule="auto" w:line="268" w:before="0" w:after="0"/>
              <w:jc w:val="center"/>
              <w:rPr>
                <w:color w:val="000000"/>
              </w:rPr>
            </w:pPr>
            <w:r>
              <w:rPr>
                <w:color w:val="000000"/>
              </w:rPr>
              <w:t> </w:t>
            </w:r>
          </w:p>
          <w:p>
            <w:pPr>
              <w:pStyle w:val="TableContents"/>
              <w:spacing w:lineRule="auto" w:line="268" w:before="0" w:after="0"/>
              <w:jc w:val="center"/>
              <w:rPr>
                <w:color w:val="000000"/>
              </w:rPr>
            </w:pPr>
            <w:r>
              <w:rPr>
                <w:color w:val="000000"/>
              </w:rPr>
              <w:t>“</w:t>
            </w:r>
            <w:r>
              <w:rPr>
                <w:rFonts w:ascii="Times New Roman;sans-serif" w:hAnsi="Times New Roman;sans-serif"/>
                <w:b/>
                <w:color w:val="000000"/>
                <w:sz w:val="20"/>
              </w:rPr>
              <w:t>FOR” this Proposal</w:t>
            </w:r>
          </w:p>
        </w:tc>
      </w:tr>
      <w:tr>
        <w:trPr/>
        <w:tc>
          <w:tcPr>
            <w:tcW w:w="7675" w:type="dxa"/>
            <w:gridSpan w:val="15"/>
            <w:tcBorders>
              <w:top w:val="single" w:sz="8" w:space="0" w:color="001A3D"/>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ELECTION OF DIRECTORS</w:t>
            </w:r>
          </w:p>
        </w:tc>
        <w:tc>
          <w:tcPr>
            <w:tcW w:w="327" w:type="dxa"/>
            <w:gridSpan w:val="3"/>
            <w:vMerge w:val="continue"/>
            <w:tcBorders/>
            <w:shd w:fill="DBDBDB" w:val="clear"/>
            <w:tcMar>
              <w:top w:w="0" w:type="dxa"/>
              <w:left w:w="0" w:type="dxa"/>
              <w:bottom w:w="0" w:type="dxa"/>
              <w:right w:w="0" w:type="dxa"/>
            </w:tcMar>
            <w:vAlign w:val="center"/>
          </w:tcPr>
          <w:p>
            <w:pPr>
              <w:pStyle w:val="Normal"/>
              <w:rPr/>
            </w:pPr>
            <w:r>
              <w:rPr/>
            </w:r>
          </w:p>
        </w:tc>
        <w:tc>
          <w:tcPr>
            <w:tcW w:w="2203" w:type="dxa"/>
            <w:gridSpan w:val="3"/>
            <w:vMerge w:val="continue"/>
            <w:tcBorders/>
            <w:shd w:fill="DBDBDB" w:val="clear"/>
            <w:tcMar>
              <w:top w:w="0" w:type="dxa"/>
              <w:left w:w="0" w:type="dxa"/>
              <w:bottom w:w="0" w:type="dxa"/>
              <w:right w:w="0" w:type="dxa"/>
            </w:tcMar>
            <w:vAlign w:val="center"/>
          </w:tcPr>
          <w:p>
            <w:pPr>
              <w:pStyle w:val="Normal"/>
              <w:rPr/>
            </w:pPr>
            <w:r>
              <w:rPr/>
            </w:r>
          </w:p>
        </w:tc>
      </w:tr>
      <w:tr>
        <w:trPr/>
        <w:tc>
          <w:tcPr>
            <w:tcW w:w="7675" w:type="dxa"/>
            <w:gridSpan w:val="15"/>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asking our stockholders to elect two Class I directors for a three-year term expiring at the 2026 annual meeting of stockholders and until such director’s successor is duly elected and qualified or until such director’s earlier death, resignation, disqualification or removal. The table below sets forth information with respect to our two nominees standing for election. Both of the nominees are currently serving as directors. Additional information about our director nominees and their respective qualifications can be found under the section titled “Proposal No. 1 Election of Directors—Directors and Nominees.”</w:t>
            </w:r>
          </w:p>
        </w:tc>
        <w:tc>
          <w:tcPr>
            <w:tcW w:w="327" w:type="dxa"/>
            <w:gridSpan w:val="3"/>
            <w:vMerge w:val="continue"/>
            <w:tcBorders/>
            <w:shd w:fill="DBDBDB" w:val="clear"/>
            <w:tcMar>
              <w:top w:w="0" w:type="dxa"/>
              <w:left w:w="0" w:type="dxa"/>
              <w:bottom w:w="0" w:type="dxa"/>
              <w:right w:w="0" w:type="dxa"/>
            </w:tcMar>
            <w:vAlign w:val="center"/>
          </w:tcPr>
          <w:p>
            <w:pPr>
              <w:pStyle w:val="Normal"/>
              <w:rPr/>
            </w:pPr>
            <w:r>
              <w:rPr/>
            </w:r>
          </w:p>
        </w:tc>
        <w:tc>
          <w:tcPr>
            <w:tcW w:w="2203" w:type="dxa"/>
            <w:gridSpan w:val="3"/>
            <w:vMerge w:val="continue"/>
            <w:tcBorders/>
            <w:shd w:fill="DBDBDB" w:val="clear"/>
            <w:tcMar>
              <w:top w:w="0" w:type="dxa"/>
              <w:left w:w="0" w:type="dxa"/>
              <w:bottom w:w="0" w:type="dxa"/>
              <w:right w:w="0" w:type="dxa"/>
            </w:tcMar>
            <w:vAlign w:val="center"/>
          </w:tcPr>
          <w:p>
            <w:pPr>
              <w:pStyle w:val="Normal"/>
              <w:rPr/>
            </w:pPr>
            <w:r>
              <w:rPr/>
            </w:r>
          </w:p>
        </w:tc>
      </w:tr>
      <w:tr>
        <w:trPr/>
        <w:tc>
          <w:tcPr>
            <w:tcW w:w="1768"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Director Since</w:t>
            </w:r>
          </w:p>
        </w:tc>
        <w:tc>
          <w:tcPr>
            <w:tcW w:w="327" w:type="dxa"/>
            <w:gridSpan w:val="3"/>
            <w:vMerge w:val="continue"/>
            <w:tcBorders/>
            <w:shd w:fill="DBDBDB" w:val="clear"/>
            <w:tcMar>
              <w:top w:w="0" w:type="dxa"/>
              <w:left w:w="0" w:type="dxa"/>
              <w:bottom w:w="0" w:type="dxa"/>
              <w:right w:w="0" w:type="dxa"/>
            </w:tcMar>
            <w:vAlign w:val="center"/>
          </w:tcPr>
          <w:p>
            <w:pPr>
              <w:pStyle w:val="Normal"/>
              <w:rPr/>
            </w:pPr>
            <w:r>
              <w:rPr/>
            </w:r>
          </w:p>
        </w:tc>
        <w:tc>
          <w:tcPr>
            <w:tcW w:w="2203" w:type="dxa"/>
            <w:gridSpan w:val="3"/>
            <w:vMerge w:val="continue"/>
            <w:tcBorders/>
            <w:shd w:fill="DBDBDB" w:val="clear"/>
            <w:tcMar>
              <w:top w:w="0" w:type="dxa"/>
              <w:left w:w="0" w:type="dxa"/>
              <w:bottom w:w="0" w:type="dxa"/>
              <w:right w:w="0" w:type="dxa"/>
            </w:tcMar>
            <w:vAlign w:val="center"/>
          </w:tcPr>
          <w:p>
            <w:pPr>
              <w:pStyle w:val="Normal"/>
              <w:rPr/>
            </w:pPr>
            <w:r>
              <w:rPr/>
            </w:r>
          </w:p>
        </w:tc>
      </w:tr>
      <w:tr>
        <w:trPr/>
        <w:tc>
          <w:tcPr>
            <w:tcW w:w="1768"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Robert S. Epstein</w:t>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2015</w:t>
            </w:r>
          </w:p>
        </w:tc>
        <w:tc>
          <w:tcPr>
            <w:tcW w:w="327" w:type="dxa"/>
            <w:gridSpan w:val="3"/>
            <w:vMerge w:val="continue"/>
            <w:tcBorders/>
            <w:shd w:fill="DBDBDB" w:val="clear"/>
            <w:tcMar>
              <w:top w:w="0" w:type="dxa"/>
              <w:left w:w="0" w:type="dxa"/>
              <w:bottom w:w="0" w:type="dxa"/>
              <w:right w:w="0" w:type="dxa"/>
            </w:tcMar>
            <w:vAlign w:val="center"/>
          </w:tcPr>
          <w:p>
            <w:pPr>
              <w:pStyle w:val="Normal"/>
              <w:rPr/>
            </w:pPr>
            <w:r>
              <w:rPr/>
            </w:r>
          </w:p>
        </w:tc>
        <w:tc>
          <w:tcPr>
            <w:tcW w:w="2203" w:type="dxa"/>
            <w:gridSpan w:val="3"/>
            <w:vMerge w:val="continue"/>
            <w:tcBorders/>
            <w:shd w:fill="DBDBDB" w:val="clear"/>
            <w:tcMar>
              <w:top w:w="0" w:type="dxa"/>
              <w:left w:w="0" w:type="dxa"/>
              <w:bottom w:w="0" w:type="dxa"/>
              <w:right w:w="0" w:type="dxa"/>
            </w:tcMar>
            <w:vAlign w:val="center"/>
          </w:tcPr>
          <w:p>
            <w:pPr>
              <w:pStyle w:val="Normal"/>
              <w:rPr/>
            </w:pPr>
            <w:r>
              <w:rPr/>
            </w:r>
          </w:p>
        </w:tc>
      </w:tr>
      <w:tr>
        <w:trPr/>
        <w:tc>
          <w:tcPr>
            <w:tcW w:w="1768"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Evan Jones</w:t>
            </w:r>
          </w:p>
        </w:tc>
        <w:tc>
          <w:tcPr>
            <w:tcW w:w="1341" w:type="dxa"/>
            <w:gridSpan w:val="3"/>
            <w:tcBorders>
              <w:bottom w:val="single" w:sz="8" w:space="0" w:color="001A3D"/>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438" w:type="dxa"/>
            <w:gridSpan w:val="3"/>
            <w:tcBorders>
              <w:bottom w:val="single" w:sz="8" w:space="0" w:color="001A3D"/>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341" w:type="dxa"/>
            <w:gridSpan w:val="3"/>
            <w:tcBorders>
              <w:bottom w:val="single" w:sz="8" w:space="0" w:color="001A3D"/>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787" w:type="dxa"/>
            <w:gridSpan w:val="3"/>
            <w:tcBorders>
              <w:bottom w:val="single" w:sz="8" w:space="0" w:color="001A3D"/>
            </w:tcBorders>
            <w:shd w:fill="auto" w:val="clear"/>
            <w:tcMar>
              <w:top w:w="0" w:type="dxa"/>
              <w:left w:w="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2008</w:t>
            </w:r>
          </w:p>
        </w:tc>
        <w:tc>
          <w:tcPr>
            <w:tcW w:w="327" w:type="dxa"/>
            <w:gridSpan w:val="3"/>
            <w:vMerge w:val="continue"/>
            <w:tcBorders/>
            <w:shd w:fill="DBDBDB" w:val="clear"/>
            <w:tcMar>
              <w:top w:w="0" w:type="dxa"/>
              <w:left w:w="0" w:type="dxa"/>
              <w:bottom w:w="0" w:type="dxa"/>
              <w:right w:w="0" w:type="dxa"/>
            </w:tcMar>
            <w:vAlign w:val="center"/>
          </w:tcPr>
          <w:p>
            <w:pPr>
              <w:pStyle w:val="Normal"/>
              <w:rPr/>
            </w:pPr>
            <w:r>
              <w:rPr/>
            </w:r>
          </w:p>
        </w:tc>
        <w:tc>
          <w:tcPr>
            <w:tcW w:w="2203" w:type="dxa"/>
            <w:gridSpan w:val="3"/>
            <w:vMerge w:val="continue"/>
            <w:tcBorders/>
            <w:shd w:fill="DBDBDB" w:val="clear"/>
            <w:tcMar>
              <w:top w:w="0" w:type="dxa"/>
              <w:left w:w="0" w:type="dxa"/>
              <w:bottom w:w="0" w:type="dxa"/>
              <w:right w:w="0" w:type="dxa"/>
            </w:tcMar>
            <w:vAlign w:val="center"/>
          </w:tcPr>
          <w:p>
            <w:pPr>
              <w:pStyle w:val="Normal"/>
              <w:rPr/>
            </w:pPr>
            <w:r>
              <w:rPr/>
            </w:r>
          </w:p>
        </w:tc>
      </w:tr>
      <w:tr>
        <w:trPr/>
        <w:tc>
          <w:tcPr>
            <w:tcW w:w="7675" w:type="dxa"/>
            <w:gridSpan w:val="15"/>
            <w:tcBorders>
              <w:top w:val="single" w:sz="8" w:space="0" w:color="001A3D"/>
              <w:bottom w:val="single" w:sz="8" w:space="0" w:color="001A3D"/>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5" w:type="dxa"/>
            <w:gridSpan w:val="15"/>
            <w:tcBorders>
              <w:top w:val="single" w:sz="8" w:space="0" w:color="001A3D"/>
              <w:bottom w:val="single" w:sz="8" w:space="0" w:color="001A3D"/>
            </w:tcBorders>
            <w:shd w:fill="auto" w:val="clear"/>
            <w:tcMar>
              <w:top w:w="30" w:type="dxa"/>
              <w:left w:w="0" w:type="dxa"/>
              <w:bottom w:w="3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PROPOSAL NO. 2</w:t>
            </w:r>
          </w:p>
        </w:tc>
        <w:tc>
          <w:tcPr>
            <w:tcW w:w="327" w:type="dxa"/>
            <w:gridSpan w:val="3"/>
            <w:vMerge w:val="restart"/>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3" w:type="dxa"/>
            <w:gridSpan w:val="3"/>
            <w:vMerge w:val="restart"/>
            <w:tcBorders/>
            <w:shd w:fill="DBDBDB"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76225" cy="27622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276225" cy="276225"/>
                          </a:xfrm>
                          <a:prstGeom prst="rect">
                            <a:avLst/>
                          </a:prstGeom>
                        </pic:spPr>
                      </pic:pic>
                    </a:graphicData>
                  </a:graphic>
                </wp:inline>
              </w:drawing>
            </w:r>
          </w:p>
          <w:p>
            <w:pPr>
              <w:pStyle w:val="TableContents"/>
              <w:spacing w:lineRule="auto" w:line="268" w:before="0" w:after="0"/>
              <w:jc w:val="center"/>
              <w:rPr>
                <w:color w:val="000000"/>
              </w:rPr>
            </w:pPr>
            <w:r>
              <w:rPr>
                <w:color w:val="000000"/>
              </w:rPr>
              <w:t> </w:t>
            </w:r>
          </w:p>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BOARD’S RECOMMENDATION</w:t>
            </w:r>
          </w:p>
          <w:p>
            <w:pPr>
              <w:pStyle w:val="TableContents"/>
              <w:spacing w:lineRule="auto" w:line="268" w:before="0" w:after="0"/>
              <w:jc w:val="center"/>
              <w:rPr>
                <w:color w:val="000000"/>
              </w:rPr>
            </w:pPr>
            <w:r>
              <w:rPr>
                <w:color w:val="000000"/>
              </w:rPr>
              <w:t> </w:t>
            </w:r>
          </w:p>
          <w:p>
            <w:pPr>
              <w:pStyle w:val="TableContents"/>
              <w:spacing w:lineRule="auto" w:line="268" w:before="0" w:after="0"/>
              <w:jc w:val="center"/>
              <w:rPr>
                <w:color w:val="000000"/>
              </w:rPr>
            </w:pPr>
            <w:r>
              <w:rPr>
                <w:color w:val="000000"/>
              </w:rPr>
              <w:t>“</w:t>
            </w:r>
            <w:r>
              <w:rPr>
                <w:rFonts w:ascii="Times New Roman;sans-serif" w:hAnsi="Times New Roman;sans-serif"/>
                <w:b/>
                <w:color w:val="000000"/>
                <w:sz w:val="20"/>
              </w:rPr>
              <w:t>FOR” this Proposal</w:t>
            </w:r>
          </w:p>
        </w:tc>
      </w:tr>
      <w:tr>
        <w:trPr/>
        <w:tc>
          <w:tcPr>
            <w:tcW w:w="7675" w:type="dxa"/>
            <w:gridSpan w:val="15"/>
            <w:tcBorders>
              <w:top w:val="single" w:sz="8" w:space="0" w:color="001A3D"/>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RATIFICATION OF APPOINTMENT OF INDEPENDENT REGISTERED PUBLIC ACCOUNTING FIRM</w:t>
            </w:r>
          </w:p>
        </w:tc>
        <w:tc>
          <w:tcPr>
            <w:tcW w:w="327" w:type="dxa"/>
            <w:gridSpan w:val="3"/>
            <w:vMerge w:val="continue"/>
            <w:tcBorders/>
            <w:shd w:fill="DBDBDB" w:val="clear"/>
            <w:tcMar>
              <w:top w:w="0" w:type="dxa"/>
              <w:left w:w="0" w:type="dxa"/>
              <w:bottom w:w="0" w:type="dxa"/>
              <w:right w:w="0" w:type="dxa"/>
            </w:tcMar>
            <w:vAlign w:val="center"/>
          </w:tcPr>
          <w:p>
            <w:pPr>
              <w:pStyle w:val="Normal"/>
              <w:rPr/>
            </w:pPr>
            <w:r>
              <w:rPr/>
            </w:r>
          </w:p>
        </w:tc>
        <w:tc>
          <w:tcPr>
            <w:tcW w:w="2203" w:type="dxa"/>
            <w:gridSpan w:val="3"/>
            <w:vMerge w:val="continue"/>
            <w:tcBorders/>
            <w:shd w:fill="DBDBDB" w:val="clear"/>
            <w:tcMar>
              <w:top w:w="0" w:type="dxa"/>
              <w:left w:w="0" w:type="dxa"/>
              <w:bottom w:w="0" w:type="dxa"/>
              <w:right w:w="0" w:type="dxa"/>
            </w:tcMar>
            <w:vAlign w:val="center"/>
          </w:tcPr>
          <w:p>
            <w:pPr>
              <w:pStyle w:val="Normal"/>
              <w:rPr/>
            </w:pPr>
            <w:r>
              <w:rPr/>
            </w:r>
          </w:p>
        </w:tc>
      </w:tr>
      <w:tr>
        <w:trPr/>
        <w:tc>
          <w:tcPr>
            <w:tcW w:w="7675" w:type="dxa"/>
            <w:gridSpan w:val="15"/>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asking our stockholders to ratify the audit committee’s appointment of Ernst &amp; Young LLP as our independent registered public accounting firm for the year ending December 31, 2023. Information regarding fees paid to Ernst &amp; Young LLP during 2022 and 2021 can be found under the section titled “Proposal No. 2 Ratification of Appointment of Independent Registered Public Accounting Firm.”</w:t>
            </w:r>
          </w:p>
        </w:tc>
        <w:tc>
          <w:tcPr>
            <w:tcW w:w="327" w:type="dxa"/>
            <w:gridSpan w:val="3"/>
            <w:vMerge w:val="continue"/>
            <w:tcBorders/>
            <w:shd w:fill="DBDBDB" w:val="clear"/>
            <w:tcMar>
              <w:top w:w="0" w:type="dxa"/>
              <w:left w:w="0" w:type="dxa"/>
              <w:bottom w:w="0" w:type="dxa"/>
              <w:right w:w="0" w:type="dxa"/>
            </w:tcMar>
            <w:vAlign w:val="center"/>
          </w:tcPr>
          <w:p>
            <w:pPr>
              <w:pStyle w:val="Normal"/>
              <w:rPr/>
            </w:pPr>
            <w:r>
              <w:rPr/>
            </w:r>
          </w:p>
        </w:tc>
        <w:tc>
          <w:tcPr>
            <w:tcW w:w="2203" w:type="dxa"/>
            <w:gridSpan w:val="3"/>
            <w:vMerge w:val="continue"/>
            <w:tcBorders/>
            <w:shd w:fill="DBDBDB" w:val="clear"/>
            <w:tcMar>
              <w:top w:w="0" w:type="dxa"/>
              <w:left w:w="0" w:type="dxa"/>
              <w:bottom w:w="0" w:type="dxa"/>
              <w:right w:w="0" w:type="dxa"/>
            </w:tcMar>
            <w:vAlign w:val="center"/>
          </w:tcPr>
          <w:p>
            <w:pPr>
              <w:pStyle w:val="Normal"/>
              <w:rPr/>
            </w:pPr>
            <w:r>
              <w:rPr/>
            </w:r>
          </w:p>
        </w:tc>
      </w:tr>
      <w:tr>
        <w:trPr/>
        <w:tc>
          <w:tcPr>
            <w:tcW w:w="1768" w:type="dxa"/>
            <w:gridSpan w:val="3"/>
            <w:tcBorders>
              <w:top w:val="single" w:sz="8" w:space="0" w:color="000000"/>
              <w:bottom w:val="single" w:sz="8" w:space="0" w:color="001A3D"/>
            </w:tcBorders>
            <w:shd w:fill="auto" w:val="clear"/>
            <w:tcMar>
              <w:left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1A3D"/>
            </w:tcBorders>
            <w:shd w:fill="auto" w:val="clear"/>
            <w:tcMar>
              <w:left w:w="0" w:type="dxa"/>
              <w:right w:w="0" w:type="dxa"/>
            </w:tcMar>
            <w:vAlign w:val="center"/>
          </w:tcPr>
          <w:p>
            <w:pPr>
              <w:pStyle w:val="TableContents"/>
              <w:spacing w:before="0" w:after="283"/>
              <w:rPr>
                <w:sz w:val="4"/>
                <w:szCs w:val="4"/>
              </w:rPr>
            </w:pPr>
            <w:r>
              <w:rPr>
                <w:sz w:val="4"/>
                <w:szCs w:val="4"/>
              </w:rPr>
            </w:r>
          </w:p>
        </w:tc>
        <w:tc>
          <w:tcPr>
            <w:tcW w:w="1438" w:type="dxa"/>
            <w:gridSpan w:val="3"/>
            <w:tcBorders>
              <w:top w:val="single" w:sz="8" w:space="0" w:color="000000"/>
              <w:bottom w:val="single" w:sz="8" w:space="0" w:color="001A3D"/>
            </w:tcBorders>
            <w:shd w:fill="auto" w:val="clear"/>
            <w:tcMar>
              <w:left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1A3D"/>
            </w:tcBorders>
            <w:shd w:fill="auto" w:val="clear"/>
            <w:tcMar>
              <w:left w:w="0" w:type="dxa"/>
              <w:right w:w="0" w:type="dxa"/>
            </w:tcMar>
            <w:vAlign w:val="center"/>
          </w:tcPr>
          <w:p>
            <w:pPr>
              <w:pStyle w:val="TableContents"/>
              <w:spacing w:before="0" w:after="283"/>
              <w:rPr>
                <w:sz w:val="4"/>
                <w:szCs w:val="4"/>
              </w:rPr>
            </w:pPr>
            <w:r>
              <w:rPr>
                <w:sz w:val="4"/>
                <w:szCs w:val="4"/>
              </w:rPr>
            </w:r>
          </w:p>
        </w:tc>
        <w:tc>
          <w:tcPr>
            <w:tcW w:w="1787" w:type="dxa"/>
            <w:gridSpan w:val="3"/>
            <w:tcBorders>
              <w:top w:val="single" w:sz="8" w:space="0" w:color="000000"/>
              <w:bottom w:val="single" w:sz="8" w:space="0" w:color="001A3D"/>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573"/>
        <w:gridCol w:w="506"/>
        <w:gridCol w:w="506"/>
        <w:gridCol w:w="506"/>
        <w:gridCol w:w="506"/>
        <w:gridCol w:w="506"/>
        <w:gridCol w:w="506"/>
        <w:gridCol w:w="506"/>
        <w:gridCol w:w="506"/>
        <w:gridCol w:w="506"/>
        <w:gridCol w:w="506"/>
        <w:gridCol w:w="506"/>
        <w:gridCol w:w="506"/>
        <w:gridCol w:w="506"/>
        <w:gridCol w:w="510"/>
        <w:gridCol w:w="109"/>
        <w:gridCol w:w="109"/>
        <w:gridCol w:w="109"/>
        <w:gridCol w:w="648"/>
        <w:gridCol w:w="648"/>
        <w:gridCol w:w="921"/>
      </w:tblGrid>
      <w:tr>
        <w:trPr/>
        <w:tc>
          <w:tcPr>
            <w:tcW w:w="573"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r>
      <w:tr>
        <w:trPr/>
        <w:tc>
          <w:tcPr>
            <w:tcW w:w="7661" w:type="dxa"/>
            <w:gridSpan w:val="15"/>
            <w:tcBorders>
              <w:top w:val="single" w:sz="8" w:space="0" w:color="001A3D"/>
              <w:bottom w:val="single" w:sz="8" w:space="0" w:color="001A3D"/>
            </w:tcBorders>
            <w:shd w:fill="auto" w:val="clear"/>
            <w:tcMar>
              <w:top w:w="30" w:type="dxa"/>
              <w:left w:w="0" w:type="dxa"/>
              <w:bottom w:w="3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PROPOSAL NO. 3</w:t>
            </w:r>
          </w:p>
        </w:tc>
        <w:tc>
          <w:tcPr>
            <w:tcW w:w="327" w:type="dxa"/>
            <w:gridSpan w:val="3"/>
            <w:vMerge w:val="restart"/>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3"/>
            <w:vMerge w:val="restart"/>
            <w:tcBorders/>
            <w:shd w:fill="DBDBDB"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76225" cy="27622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276225" cy="276225"/>
                          </a:xfrm>
                          <a:prstGeom prst="rect">
                            <a:avLst/>
                          </a:prstGeom>
                        </pic:spPr>
                      </pic:pic>
                    </a:graphicData>
                  </a:graphic>
                </wp:inline>
              </w:drawing>
            </w:r>
          </w:p>
          <w:p>
            <w:pPr>
              <w:pStyle w:val="TableContents"/>
              <w:spacing w:lineRule="auto" w:line="268" w:before="0" w:after="0"/>
              <w:jc w:val="center"/>
              <w:rPr>
                <w:color w:val="000000"/>
              </w:rPr>
            </w:pPr>
            <w:r>
              <w:rPr>
                <w:color w:val="000000"/>
              </w:rPr>
              <w:t> </w:t>
            </w:r>
          </w:p>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BOARD’S RECOMMENDATION</w:t>
            </w:r>
          </w:p>
          <w:p>
            <w:pPr>
              <w:pStyle w:val="TableContents"/>
              <w:spacing w:lineRule="auto" w:line="268" w:before="0" w:after="0"/>
              <w:jc w:val="center"/>
              <w:rPr>
                <w:color w:val="000000"/>
              </w:rPr>
            </w:pPr>
            <w:r>
              <w:rPr>
                <w:color w:val="000000"/>
              </w:rPr>
              <w:t> </w:t>
            </w:r>
          </w:p>
          <w:p>
            <w:pPr>
              <w:pStyle w:val="TableContents"/>
              <w:spacing w:lineRule="auto" w:line="268" w:before="0" w:after="0"/>
              <w:jc w:val="center"/>
              <w:rPr>
                <w:color w:val="000000"/>
              </w:rPr>
            </w:pPr>
            <w:r>
              <w:rPr>
                <w:color w:val="000000"/>
              </w:rPr>
              <w:t>“</w:t>
            </w:r>
            <w:r>
              <w:rPr>
                <w:rFonts w:ascii="Times New Roman;sans-serif" w:hAnsi="Times New Roman;sans-serif"/>
                <w:b/>
                <w:color w:val="000000"/>
                <w:sz w:val="20"/>
              </w:rPr>
              <w:t>FOR” this Proposal</w:t>
            </w:r>
          </w:p>
        </w:tc>
      </w:tr>
      <w:tr>
        <w:trPr/>
        <w:tc>
          <w:tcPr>
            <w:tcW w:w="7661" w:type="dxa"/>
            <w:gridSpan w:val="15"/>
            <w:tcBorders>
              <w:top w:val="single" w:sz="8" w:space="0" w:color="001A3D"/>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ADVISORY VOTE ON THE COMPENSATION OF OUR NAMED EXECUTIVE OFFICERS</w:t>
            </w:r>
          </w:p>
        </w:tc>
        <w:tc>
          <w:tcPr>
            <w:tcW w:w="327" w:type="dxa"/>
            <w:gridSpan w:val="3"/>
            <w:vMerge w:val="continue"/>
            <w:tcBorders/>
            <w:shd w:fill="DBDBDB" w:val="clear"/>
            <w:tcMar>
              <w:top w:w="0" w:type="dxa"/>
              <w:left w:w="0" w:type="dxa"/>
              <w:bottom w:w="0" w:type="dxa"/>
              <w:right w:w="0" w:type="dxa"/>
            </w:tcMar>
            <w:vAlign w:val="center"/>
          </w:tcPr>
          <w:p>
            <w:pPr>
              <w:pStyle w:val="Normal"/>
              <w:rPr/>
            </w:pPr>
            <w:r>
              <w:rPr/>
            </w:r>
          </w:p>
        </w:tc>
        <w:tc>
          <w:tcPr>
            <w:tcW w:w="2217" w:type="dxa"/>
            <w:gridSpan w:val="3"/>
            <w:vMerge w:val="continue"/>
            <w:tcBorders/>
            <w:shd w:fill="DBDBDB" w:val="clear"/>
            <w:tcMar>
              <w:top w:w="0" w:type="dxa"/>
              <w:left w:w="0" w:type="dxa"/>
              <w:bottom w:w="0" w:type="dxa"/>
              <w:right w:w="0" w:type="dxa"/>
            </w:tcMar>
            <w:vAlign w:val="center"/>
          </w:tcPr>
          <w:p>
            <w:pPr>
              <w:pStyle w:val="Normal"/>
              <w:rPr/>
            </w:pPr>
            <w:r>
              <w:rPr/>
            </w:r>
          </w:p>
        </w:tc>
      </w:tr>
      <w:tr>
        <w:trPr/>
        <w:tc>
          <w:tcPr>
            <w:tcW w:w="7661" w:type="dxa"/>
            <w:gridSpan w:val="15"/>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asking our stockholders to approve, on a non-binding advisory basis, the compensation of our named executive officers, commonly referred to as a “say on pay” vote. Information regarding our executive compensation philosophy and amounts paid to each of our named executive officers in 2022 can be found under the section titled “Executive Compensation.”</w:t>
            </w:r>
          </w:p>
        </w:tc>
        <w:tc>
          <w:tcPr>
            <w:tcW w:w="327" w:type="dxa"/>
            <w:gridSpan w:val="3"/>
            <w:vMerge w:val="continue"/>
            <w:tcBorders/>
            <w:shd w:fill="DBDBDB" w:val="clear"/>
            <w:tcMar>
              <w:top w:w="0" w:type="dxa"/>
              <w:left w:w="0" w:type="dxa"/>
              <w:bottom w:w="0" w:type="dxa"/>
              <w:right w:w="0" w:type="dxa"/>
            </w:tcMar>
            <w:vAlign w:val="center"/>
          </w:tcPr>
          <w:p>
            <w:pPr>
              <w:pStyle w:val="Normal"/>
              <w:rPr/>
            </w:pPr>
            <w:r>
              <w:rPr/>
            </w:r>
          </w:p>
        </w:tc>
        <w:tc>
          <w:tcPr>
            <w:tcW w:w="2217" w:type="dxa"/>
            <w:gridSpan w:val="3"/>
            <w:vMerge w:val="continue"/>
            <w:tcBorders/>
            <w:shd w:fill="DBDBDB" w:val="clear"/>
            <w:tcMar>
              <w:top w:w="0" w:type="dxa"/>
              <w:left w:w="0" w:type="dxa"/>
              <w:bottom w:w="0" w:type="dxa"/>
              <w:right w:w="0" w:type="dxa"/>
            </w:tcMar>
            <w:vAlign w:val="center"/>
          </w:tcPr>
          <w:p>
            <w:pPr>
              <w:pStyle w:val="Normal"/>
              <w:rPr/>
            </w:pPr>
            <w:r>
              <w:rPr/>
            </w:r>
          </w:p>
        </w:tc>
      </w:tr>
      <w:tr>
        <w:trPr/>
        <w:tc>
          <w:tcPr>
            <w:tcW w:w="15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3"/>
            <w:tcBorders>
              <w:top w:val="single" w:sz="8" w:space="0" w:color="000000"/>
              <w:bottom w:val="single" w:sz="8" w:space="0" w:color="001A3D"/>
            </w:tcBorders>
            <w:shd w:fill="auto" w:val="clear"/>
            <w:tcMar>
              <w:left w:w="0" w:type="dxa"/>
              <w:right w:w="0" w:type="dxa"/>
            </w:tcMar>
            <w:vAlign w:val="center"/>
          </w:tcPr>
          <w:p>
            <w:pPr>
              <w:pStyle w:val="TableContents"/>
              <w:spacing w:before="0" w:after="283"/>
              <w:rPr>
                <w:sz w:val="4"/>
                <w:szCs w:val="4"/>
              </w:rPr>
            </w:pPr>
            <w:r>
              <w:rPr>
                <w:sz w:val="4"/>
                <w:szCs w:val="4"/>
              </w:rPr>
            </w:r>
          </w:p>
        </w:tc>
        <w:tc>
          <w:tcPr>
            <w:tcW w:w="1518" w:type="dxa"/>
            <w:gridSpan w:val="3"/>
            <w:tcBorders>
              <w:top w:val="single" w:sz="8" w:space="0" w:color="000000"/>
              <w:bottom w:val="single" w:sz="8" w:space="0" w:color="001A3D"/>
            </w:tcBorders>
            <w:shd w:fill="auto" w:val="clear"/>
            <w:tcMar>
              <w:left w:w="0" w:type="dxa"/>
              <w:right w:w="0" w:type="dxa"/>
            </w:tcMar>
            <w:vAlign w:val="center"/>
          </w:tcPr>
          <w:p>
            <w:pPr>
              <w:pStyle w:val="TableContents"/>
              <w:spacing w:before="0" w:after="283"/>
              <w:rPr>
                <w:sz w:val="4"/>
                <w:szCs w:val="4"/>
              </w:rPr>
            </w:pPr>
            <w:r>
              <w:rPr>
                <w:sz w:val="4"/>
                <w:szCs w:val="4"/>
              </w:rPr>
            </w:r>
          </w:p>
        </w:tc>
        <w:tc>
          <w:tcPr>
            <w:tcW w:w="1518" w:type="dxa"/>
            <w:gridSpan w:val="3"/>
            <w:tcBorders>
              <w:top w:val="single" w:sz="8" w:space="0" w:color="000000"/>
              <w:bottom w:val="single" w:sz="8" w:space="0" w:color="001A3D"/>
            </w:tcBorders>
            <w:shd w:fill="auto" w:val="clear"/>
            <w:tcMar>
              <w:left w:w="0" w:type="dxa"/>
              <w:right w:w="0" w:type="dxa"/>
            </w:tcMar>
            <w:vAlign w:val="center"/>
          </w:tcPr>
          <w:p>
            <w:pPr>
              <w:pStyle w:val="TableContents"/>
              <w:spacing w:before="0" w:after="283"/>
              <w:rPr>
                <w:sz w:val="4"/>
                <w:szCs w:val="4"/>
              </w:rPr>
            </w:pPr>
            <w:r>
              <w:rPr>
                <w:sz w:val="4"/>
                <w:szCs w:val="4"/>
              </w:rPr>
            </w:r>
          </w:p>
        </w:tc>
        <w:tc>
          <w:tcPr>
            <w:tcW w:w="1522" w:type="dxa"/>
            <w:gridSpan w:val="3"/>
            <w:tcBorders>
              <w:top w:val="single" w:sz="8" w:space="0" w:color="000000"/>
              <w:bottom w:val="single" w:sz="8" w:space="0" w:color="001A3D"/>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1" w:type="dxa"/>
            <w:gridSpan w:val="15"/>
            <w:tcBorders>
              <w:top w:val="single" w:sz="8" w:space="0" w:color="001A3D"/>
              <w:bottom w:val="single" w:sz="8" w:space="0" w:color="001A3D"/>
            </w:tcBorders>
            <w:shd w:fill="auto" w:val="clear"/>
            <w:tcMar>
              <w:top w:w="30" w:type="dxa"/>
              <w:left w:w="0" w:type="dxa"/>
              <w:bottom w:w="3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PROPOSAL NO. 4</w:t>
            </w:r>
          </w:p>
        </w:tc>
        <w:tc>
          <w:tcPr>
            <w:tcW w:w="327" w:type="dxa"/>
            <w:gridSpan w:val="3"/>
            <w:vMerge w:val="restart"/>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3"/>
            <w:vMerge w:val="restart"/>
            <w:tcBorders/>
            <w:shd w:fill="DBDBDB"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76225" cy="27622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276225" cy="276225"/>
                          </a:xfrm>
                          <a:prstGeom prst="rect">
                            <a:avLst/>
                          </a:prstGeom>
                        </pic:spPr>
                      </pic:pic>
                    </a:graphicData>
                  </a:graphic>
                </wp:inline>
              </w:drawing>
            </w:r>
          </w:p>
          <w:p>
            <w:pPr>
              <w:pStyle w:val="TableContents"/>
              <w:spacing w:lineRule="auto" w:line="268" w:before="0" w:after="0"/>
              <w:jc w:val="center"/>
              <w:rPr>
                <w:color w:val="000000"/>
              </w:rPr>
            </w:pPr>
            <w:r>
              <w:rPr>
                <w:color w:val="000000"/>
              </w:rPr>
              <w:t> </w:t>
            </w:r>
          </w:p>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BOARD’S RECOMMENDATION</w:t>
            </w:r>
          </w:p>
          <w:p>
            <w:pPr>
              <w:pStyle w:val="TableContents"/>
              <w:spacing w:lineRule="auto" w:line="268" w:before="0" w:after="0"/>
              <w:jc w:val="center"/>
              <w:rPr>
                <w:color w:val="000000"/>
              </w:rPr>
            </w:pPr>
            <w:r>
              <w:rPr>
                <w:color w:val="000000"/>
              </w:rPr>
              <w:t> </w:t>
            </w:r>
          </w:p>
          <w:p>
            <w:pPr>
              <w:pStyle w:val="TableContents"/>
              <w:spacing w:lineRule="auto" w:line="268" w:before="0" w:after="0"/>
              <w:jc w:val="center"/>
              <w:rPr>
                <w:color w:val="000000"/>
              </w:rPr>
            </w:pPr>
            <w:r>
              <w:rPr>
                <w:color w:val="000000"/>
              </w:rPr>
              <w:t>“</w:t>
            </w:r>
            <w:r>
              <w:rPr>
                <w:rFonts w:ascii="Times New Roman;sans-serif" w:hAnsi="Times New Roman;sans-serif"/>
                <w:b/>
                <w:color w:val="000000"/>
                <w:sz w:val="20"/>
              </w:rPr>
              <w:t>FOR” this Proposal</w:t>
            </w:r>
          </w:p>
        </w:tc>
      </w:tr>
      <w:tr>
        <w:trPr/>
        <w:tc>
          <w:tcPr>
            <w:tcW w:w="7661" w:type="dxa"/>
            <w:gridSpan w:val="15"/>
            <w:tcBorders>
              <w:top w:val="single" w:sz="8" w:space="0" w:color="001A3D"/>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APPROVAL OF THE VERACYTE, INC. 2023 EQUITY INCENTIVE PLAN</w:t>
            </w:r>
          </w:p>
        </w:tc>
        <w:tc>
          <w:tcPr>
            <w:tcW w:w="327" w:type="dxa"/>
            <w:gridSpan w:val="3"/>
            <w:vMerge w:val="continue"/>
            <w:tcBorders/>
            <w:shd w:fill="DBDBDB" w:val="clear"/>
            <w:tcMar>
              <w:top w:w="0" w:type="dxa"/>
              <w:left w:w="0" w:type="dxa"/>
              <w:bottom w:w="0" w:type="dxa"/>
              <w:right w:w="0" w:type="dxa"/>
            </w:tcMar>
            <w:vAlign w:val="center"/>
          </w:tcPr>
          <w:p>
            <w:pPr>
              <w:pStyle w:val="Normal"/>
              <w:rPr/>
            </w:pPr>
            <w:r>
              <w:rPr/>
            </w:r>
          </w:p>
        </w:tc>
        <w:tc>
          <w:tcPr>
            <w:tcW w:w="2217" w:type="dxa"/>
            <w:gridSpan w:val="3"/>
            <w:vMerge w:val="continue"/>
            <w:tcBorders/>
            <w:shd w:fill="DBDBDB" w:val="clear"/>
            <w:tcMar>
              <w:top w:w="0" w:type="dxa"/>
              <w:left w:w="0" w:type="dxa"/>
              <w:bottom w:w="0" w:type="dxa"/>
              <w:right w:w="0" w:type="dxa"/>
            </w:tcMar>
            <w:vAlign w:val="center"/>
          </w:tcPr>
          <w:p>
            <w:pPr>
              <w:pStyle w:val="Normal"/>
              <w:rPr/>
            </w:pPr>
            <w:r>
              <w:rPr/>
            </w:r>
          </w:p>
        </w:tc>
      </w:tr>
      <w:tr>
        <w:trPr/>
        <w:tc>
          <w:tcPr>
            <w:tcW w:w="7661" w:type="dxa"/>
            <w:gridSpan w:val="15"/>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asking our stockholders to approve our new Veracyte, Inc. 2023 Equity Incentive Plan, as amended (the “Plan”). If approved by our stockholders, the Plan will replace our existing 2013 Stock Incentive Plan (the “Prior Plan”), which was adopted in connection with our initial public offering and expires on October 2, 2023. If the Plan is approved by our stockholders, the Plan will become effective on June 8, 2023, the date of our Annual Meeting. Information regarding this proposal can be found under the section titled “Proposal No. 4—Approval of the Veracyte, Inc. 2023 Equity Incentive Plan.” </w:t>
            </w:r>
          </w:p>
        </w:tc>
        <w:tc>
          <w:tcPr>
            <w:tcW w:w="327" w:type="dxa"/>
            <w:gridSpan w:val="3"/>
            <w:vMerge w:val="continue"/>
            <w:tcBorders/>
            <w:shd w:fill="DBDBDB" w:val="clear"/>
            <w:tcMar>
              <w:top w:w="0" w:type="dxa"/>
              <w:left w:w="0" w:type="dxa"/>
              <w:bottom w:w="0" w:type="dxa"/>
              <w:right w:w="0" w:type="dxa"/>
            </w:tcMar>
            <w:vAlign w:val="center"/>
          </w:tcPr>
          <w:p>
            <w:pPr>
              <w:pStyle w:val="Normal"/>
              <w:rPr/>
            </w:pPr>
            <w:r>
              <w:rPr/>
            </w:r>
          </w:p>
        </w:tc>
        <w:tc>
          <w:tcPr>
            <w:tcW w:w="2217" w:type="dxa"/>
            <w:gridSpan w:val="3"/>
            <w:vMerge w:val="continue"/>
            <w:tcBorders/>
            <w:shd w:fill="DBDBDB" w:val="clear"/>
            <w:tcMar>
              <w:top w:w="0" w:type="dxa"/>
              <w:left w:w="0" w:type="dxa"/>
              <w:bottom w:w="0" w:type="dxa"/>
              <w:right w:w="0" w:type="dxa"/>
            </w:tcMar>
            <w:vAlign w:val="center"/>
          </w:tcPr>
          <w:p>
            <w:pPr>
              <w:pStyle w:val="Normal"/>
              <w:rPr/>
            </w:pPr>
            <w:r>
              <w:rPr/>
            </w:r>
          </w:p>
        </w:tc>
      </w:tr>
      <w:tr>
        <w:trPr/>
        <w:tc>
          <w:tcPr>
            <w:tcW w:w="15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3"/>
            <w:tcBorders>
              <w:top w:val="single" w:sz="8" w:space="0" w:color="000000"/>
              <w:bottom w:val="single" w:sz="8" w:space="0" w:color="001A3D"/>
            </w:tcBorders>
            <w:shd w:fill="auto" w:val="clear"/>
            <w:tcMar>
              <w:left w:w="0" w:type="dxa"/>
              <w:right w:w="0" w:type="dxa"/>
            </w:tcMar>
            <w:vAlign w:val="center"/>
          </w:tcPr>
          <w:p>
            <w:pPr>
              <w:pStyle w:val="TableContents"/>
              <w:spacing w:before="0" w:after="283"/>
              <w:rPr>
                <w:sz w:val="4"/>
                <w:szCs w:val="4"/>
              </w:rPr>
            </w:pPr>
            <w:r>
              <w:rPr>
                <w:sz w:val="4"/>
                <w:szCs w:val="4"/>
              </w:rPr>
            </w:r>
          </w:p>
        </w:tc>
        <w:tc>
          <w:tcPr>
            <w:tcW w:w="1518" w:type="dxa"/>
            <w:gridSpan w:val="3"/>
            <w:tcBorders>
              <w:top w:val="single" w:sz="8" w:space="0" w:color="000000"/>
              <w:bottom w:val="single" w:sz="8" w:space="0" w:color="001A3D"/>
            </w:tcBorders>
            <w:shd w:fill="auto" w:val="clear"/>
            <w:tcMar>
              <w:left w:w="0" w:type="dxa"/>
              <w:right w:w="0" w:type="dxa"/>
            </w:tcMar>
            <w:vAlign w:val="center"/>
          </w:tcPr>
          <w:p>
            <w:pPr>
              <w:pStyle w:val="TableContents"/>
              <w:spacing w:before="0" w:after="283"/>
              <w:rPr>
                <w:sz w:val="4"/>
                <w:szCs w:val="4"/>
              </w:rPr>
            </w:pPr>
            <w:r>
              <w:rPr>
                <w:sz w:val="4"/>
                <w:szCs w:val="4"/>
              </w:rPr>
            </w:r>
          </w:p>
        </w:tc>
        <w:tc>
          <w:tcPr>
            <w:tcW w:w="1518" w:type="dxa"/>
            <w:gridSpan w:val="3"/>
            <w:tcBorders>
              <w:top w:val="single" w:sz="8" w:space="0" w:color="000000"/>
              <w:bottom w:val="single" w:sz="8" w:space="0" w:color="001A3D"/>
            </w:tcBorders>
            <w:shd w:fill="auto" w:val="clear"/>
            <w:tcMar>
              <w:left w:w="0" w:type="dxa"/>
              <w:right w:w="0" w:type="dxa"/>
            </w:tcMar>
            <w:vAlign w:val="center"/>
          </w:tcPr>
          <w:p>
            <w:pPr>
              <w:pStyle w:val="TableContents"/>
              <w:spacing w:before="0" w:after="283"/>
              <w:rPr>
                <w:sz w:val="4"/>
                <w:szCs w:val="4"/>
              </w:rPr>
            </w:pPr>
            <w:r>
              <w:rPr>
                <w:sz w:val="4"/>
                <w:szCs w:val="4"/>
              </w:rPr>
            </w:r>
          </w:p>
        </w:tc>
        <w:tc>
          <w:tcPr>
            <w:tcW w:w="1522" w:type="dxa"/>
            <w:gridSpan w:val="3"/>
            <w:tcBorders>
              <w:top w:val="single" w:sz="8" w:space="0" w:color="000000"/>
              <w:bottom w:val="single" w:sz="8" w:space="0" w:color="001A3D"/>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1" w:type="dxa"/>
            <w:gridSpan w:val="15"/>
            <w:tcBorders>
              <w:top w:val="single" w:sz="8" w:space="0" w:color="001A3D"/>
              <w:bottom w:val="single" w:sz="8" w:space="0" w:color="001A3D"/>
            </w:tcBorders>
            <w:shd w:fill="auto" w:val="clear"/>
            <w:tcMar>
              <w:top w:w="30" w:type="dxa"/>
              <w:left w:w="0" w:type="dxa"/>
              <w:bottom w:w="3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PROPOSAL NO. 5</w:t>
            </w:r>
          </w:p>
        </w:tc>
        <w:tc>
          <w:tcPr>
            <w:tcW w:w="327" w:type="dxa"/>
            <w:gridSpan w:val="3"/>
            <w:vMerge w:val="restart"/>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3"/>
            <w:vMerge w:val="restart"/>
            <w:tcBorders/>
            <w:shd w:fill="DBDBDB"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76225" cy="27622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276225" cy="276225"/>
                          </a:xfrm>
                          <a:prstGeom prst="rect">
                            <a:avLst/>
                          </a:prstGeom>
                        </pic:spPr>
                      </pic:pic>
                    </a:graphicData>
                  </a:graphic>
                </wp:inline>
              </w:drawing>
            </w:r>
          </w:p>
          <w:p>
            <w:pPr>
              <w:pStyle w:val="TableContents"/>
              <w:spacing w:lineRule="auto" w:line="268" w:before="0" w:after="0"/>
              <w:jc w:val="center"/>
              <w:rPr>
                <w:color w:val="000000"/>
              </w:rPr>
            </w:pPr>
            <w:r>
              <w:rPr>
                <w:color w:val="000000"/>
              </w:rPr>
              <w:t> </w:t>
            </w:r>
          </w:p>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BOARD’S RECOMMENDATION</w:t>
            </w:r>
          </w:p>
          <w:p>
            <w:pPr>
              <w:pStyle w:val="TableContents"/>
              <w:spacing w:lineRule="auto" w:line="268" w:before="0" w:after="0"/>
              <w:jc w:val="center"/>
              <w:rPr>
                <w:color w:val="000000"/>
              </w:rPr>
            </w:pPr>
            <w:r>
              <w:rPr>
                <w:color w:val="000000"/>
              </w:rPr>
              <w:t> </w:t>
            </w:r>
          </w:p>
          <w:p>
            <w:pPr>
              <w:pStyle w:val="TableContents"/>
              <w:spacing w:lineRule="auto" w:line="268" w:before="0" w:after="0"/>
              <w:jc w:val="center"/>
              <w:rPr>
                <w:color w:val="000000"/>
              </w:rPr>
            </w:pPr>
            <w:r>
              <w:rPr>
                <w:color w:val="000000"/>
              </w:rPr>
              <w:t>“</w:t>
            </w:r>
            <w:r>
              <w:rPr>
                <w:rFonts w:ascii="Times New Roman;sans-serif" w:hAnsi="Times New Roman;sans-serif"/>
                <w:b/>
                <w:color w:val="000000"/>
                <w:sz w:val="20"/>
              </w:rPr>
              <w:t>FOR” this Proposal</w:t>
            </w:r>
          </w:p>
        </w:tc>
      </w:tr>
      <w:tr>
        <w:trPr/>
        <w:tc>
          <w:tcPr>
            <w:tcW w:w="7661" w:type="dxa"/>
            <w:gridSpan w:val="15"/>
            <w:tcBorders>
              <w:top w:val="single" w:sz="8" w:space="0" w:color="001A3D"/>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ADOPTION OF AN AMENDMENT TO THE CURRENT CERTIFICATE IN ORDER TO DECLASSIFY OUR BOARD OF DIRECTORS</w:t>
            </w:r>
          </w:p>
        </w:tc>
        <w:tc>
          <w:tcPr>
            <w:tcW w:w="327" w:type="dxa"/>
            <w:gridSpan w:val="3"/>
            <w:vMerge w:val="continue"/>
            <w:tcBorders/>
            <w:shd w:fill="DBDBDB" w:val="clear"/>
            <w:tcMar>
              <w:top w:w="0" w:type="dxa"/>
              <w:left w:w="0" w:type="dxa"/>
              <w:bottom w:w="0" w:type="dxa"/>
              <w:right w:w="0" w:type="dxa"/>
            </w:tcMar>
            <w:vAlign w:val="center"/>
          </w:tcPr>
          <w:p>
            <w:pPr>
              <w:pStyle w:val="Normal"/>
              <w:rPr/>
            </w:pPr>
            <w:r>
              <w:rPr/>
            </w:r>
          </w:p>
        </w:tc>
        <w:tc>
          <w:tcPr>
            <w:tcW w:w="2217" w:type="dxa"/>
            <w:gridSpan w:val="3"/>
            <w:vMerge w:val="continue"/>
            <w:tcBorders/>
            <w:shd w:fill="DBDBDB" w:val="clear"/>
            <w:tcMar>
              <w:top w:w="0" w:type="dxa"/>
              <w:left w:w="0" w:type="dxa"/>
              <w:bottom w:w="0" w:type="dxa"/>
              <w:right w:w="0" w:type="dxa"/>
            </w:tcMar>
            <w:vAlign w:val="center"/>
          </w:tcPr>
          <w:p>
            <w:pPr>
              <w:pStyle w:val="Normal"/>
              <w:rPr/>
            </w:pPr>
            <w:r>
              <w:rPr/>
            </w:r>
          </w:p>
        </w:tc>
      </w:tr>
      <w:tr>
        <w:trPr/>
        <w:tc>
          <w:tcPr>
            <w:tcW w:w="7661" w:type="dxa"/>
            <w:gridSpan w:val="15"/>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asking our stockholders to adopt an amendment to our Restated Certificate of Incorporation (the “Current Certificate”) in order to declassify our Board of Directors and make other conforming, administrative and technical changes (the “Declassification Amendment”). Information regarding this proposal can be found under the section titled “Proposal No. 5—Adoption of Amendment to the Current Certificate in Order to Declassify our Board of Directors.”</w:t>
            </w:r>
          </w:p>
        </w:tc>
        <w:tc>
          <w:tcPr>
            <w:tcW w:w="327" w:type="dxa"/>
            <w:gridSpan w:val="3"/>
            <w:vMerge w:val="continue"/>
            <w:tcBorders/>
            <w:shd w:fill="DBDBDB" w:val="clear"/>
            <w:tcMar>
              <w:top w:w="0" w:type="dxa"/>
              <w:left w:w="0" w:type="dxa"/>
              <w:bottom w:w="0" w:type="dxa"/>
              <w:right w:w="0" w:type="dxa"/>
            </w:tcMar>
            <w:vAlign w:val="center"/>
          </w:tcPr>
          <w:p>
            <w:pPr>
              <w:pStyle w:val="Normal"/>
              <w:rPr/>
            </w:pPr>
            <w:r>
              <w:rPr/>
            </w:r>
          </w:p>
        </w:tc>
        <w:tc>
          <w:tcPr>
            <w:tcW w:w="2217" w:type="dxa"/>
            <w:gridSpan w:val="3"/>
            <w:vMerge w:val="continue"/>
            <w:tcBorders/>
            <w:shd w:fill="DBDBDB" w:val="clear"/>
            <w:tcMar>
              <w:top w:w="0" w:type="dxa"/>
              <w:left w:w="0" w:type="dxa"/>
              <w:bottom w:w="0" w:type="dxa"/>
              <w:right w:w="0" w:type="dxa"/>
            </w:tcMar>
            <w:vAlign w:val="center"/>
          </w:tcPr>
          <w:p>
            <w:pPr>
              <w:pStyle w:val="Normal"/>
              <w:rPr/>
            </w:pPr>
            <w:r>
              <w:rPr/>
            </w:r>
          </w:p>
        </w:tc>
      </w:tr>
      <w:tr>
        <w:trPr/>
        <w:tc>
          <w:tcPr>
            <w:tcW w:w="15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3"/>
            <w:tcBorders>
              <w:top w:val="single" w:sz="8" w:space="0" w:color="000000"/>
              <w:bottom w:val="single" w:sz="8" w:space="0" w:color="001A3D"/>
            </w:tcBorders>
            <w:shd w:fill="auto" w:val="clear"/>
            <w:tcMar>
              <w:left w:w="0" w:type="dxa"/>
              <w:right w:w="0" w:type="dxa"/>
            </w:tcMar>
            <w:vAlign w:val="center"/>
          </w:tcPr>
          <w:p>
            <w:pPr>
              <w:pStyle w:val="TableContents"/>
              <w:spacing w:before="0" w:after="283"/>
              <w:rPr>
                <w:sz w:val="4"/>
                <w:szCs w:val="4"/>
              </w:rPr>
            </w:pPr>
            <w:r>
              <w:rPr>
                <w:sz w:val="4"/>
                <w:szCs w:val="4"/>
              </w:rPr>
            </w:r>
          </w:p>
        </w:tc>
        <w:tc>
          <w:tcPr>
            <w:tcW w:w="1518" w:type="dxa"/>
            <w:gridSpan w:val="3"/>
            <w:tcBorders>
              <w:top w:val="single" w:sz="8" w:space="0" w:color="000000"/>
              <w:bottom w:val="single" w:sz="8" w:space="0" w:color="001A3D"/>
            </w:tcBorders>
            <w:shd w:fill="auto" w:val="clear"/>
            <w:tcMar>
              <w:left w:w="0" w:type="dxa"/>
              <w:right w:w="0" w:type="dxa"/>
            </w:tcMar>
            <w:vAlign w:val="center"/>
          </w:tcPr>
          <w:p>
            <w:pPr>
              <w:pStyle w:val="TableContents"/>
              <w:spacing w:before="0" w:after="283"/>
              <w:rPr>
                <w:sz w:val="4"/>
                <w:szCs w:val="4"/>
              </w:rPr>
            </w:pPr>
            <w:r>
              <w:rPr>
                <w:sz w:val="4"/>
                <w:szCs w:val="4"/>
              </w:rPr>
            </w:r>
          </w:p>
        </w:tc>
        <w:tc>
          <w:tcPr>
            <w:tcW w:w="1518" w:type="dxa"/>
            <w:gridSpan w:val="3"/>
            <w:tcBorders>
              <w:top w:val="single" w:sz="8" w:space="0" w:color="000000"/>
              <w:bottom w:val="single" w:sz="8" w:space="0" w:color="001A3D"/>
            </w:tcBorders>
            <w:shd w:fill="auto" w:val="clear"/>
            <w:tcMar>
              <w:left w:w="0" w:type="dxa"/>
              <w:right w:w="0" w:type="dxa"/>
            </w:tcMar>
            <w:vAlign w:val="center"/>
          </w:tcPr>
          <w:p>
            <w:pPr>
              <w:pStyle w:val="TableContents"/>
              <w:spacing w:before="0" w:after="283"/>
              <w:rPr>
                <w:sz w:val="4"/>
                <w:szCs w:val="4"/>
              </w:rPr>
            </w:pPr>
            <w:r>
              <w:rPr>
                <w:sz w:val="4"/>
                <w:szCs w:val="4"/>
              </w:rPr>
            </w:r>
          </w:p>
        </w:tc>
        <w:tc>
          <w:tcPr>
            <w:tcW w:w="1522" w:type="dxa"/>
            <w:gridSpan w:val="3"/>
            <w:tcBorders>
              <w:top w:val="single" w:sz="8" w:space="0" w:color="000000"/>
              <w:bottom w:val="single" w:sz="8" w:space="0" w:color="001A3D"/>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1" w:type="dxa"/>
            <w:gridSpan w:val="15"/>
            <w:tcBorders>
              <w:top w:val="single" w:sz="8" w:space="0" w:color="001A3D"/>
              <w:bottom w:val="single" w:sz="8" w:space="0" w:color="001A3D"/>
            </w:tcBorders>
            <w:shd w:fill="auto" w:val="clear"/>
            <w:tcMar>
              <w:top w:w="30" w:type="dxa"/>
              <w:left w:w="0" w:type="dxa"/>
              <w:bottom w:w="3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PROPOSAL NO. 6</w:t>
            </w:r>
          </w:p>
        </w:tc>
        <w:tc>
          <w:tcPr>
            <w:tcW w:w="327" w:type="dxa"/>
            <w:gridSpan w:val="3"/>
            <w:vMerge w:val="restart"/>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3"/>
            <w:vMerge w:val="restart"/>
            <w:tcBorders/>
            <w:shd w:fill="DBDBDB"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76225" cy="2762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276225" cy="276225"/>
                          </a:xfrm>
                          <a:prstGeom prst="rect">
                            <a:avLst/>
                          </a:prstGeom>
                        </pic:spPr>
                      </pic:pic>
                    </a:graphicData>
                  </a:graphic>
                </wp:inline>
              </w:drawing>
            </w:r>
          </w:p>
          <w:p>
            <w:pPr>
              <w:pStyle w:val="TableContents"/>
              <w:spacing w:lineRule="auto" w:line="268" w:before="0" w:after="0"/>
              <w:jc w:val="center"/>
              <w:rPr>
                <w:color w:val="000000"/>
              </w:rPr>
            </w:pPr>
            <w:r>
              <w:rPr>
                <w:color w:val="000000"/>
              </w:rPr>
              <w:t> </w:t>
            </w:r>
          </w:p>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BOARD’S RECOMMENDATION</w:t>
            </w:r>
          </w:p>
          <w:p>
            <w:pPr>
              <w:pStyle w:val="TableContents"/>
              <w:spacing w:lineRule="auto" w:line="268" w:before="0" w:after="0"/>
              <w:jc w:val="center"/>
              <w:rPr>
                <w:color w:val="000000"/>
              </w:rPr>
            </w:pPr>
            <w:r>
              <w:rPr>
                <w:color w:val="000000"/>
              </w:rPr>
              <w:t> </w:t>
            </w:r>
          </w:p>
          <w:p>
            <w:pPr>
              <w:pStyle w:val="TableContents"/>
              <w:spacing w:lineRule="auto" w:line="268" w:before="0" w:after="0"/>
              <w:jc w:val="center"/>
              <w:rPr>
                <w:color w:val="000000"/>
              </w:rPr>
            </w:pPr>
            <w:r>
              <w:rPr>
                <w:color w:val="000000"/>
              </w:rPr>
              <w:t>“</w:t>
            </w:r>
            <w:r>
              <w:rPr>
                <w:rFonts w:ascii="Times New Roman;sans-serif" w:hAnsi="Times New Roman;sans-serif"/>
                <w:b/>
                <w:color w:val="000000"/>
                <w:sz w:val="20"/>
              </w:rPr>
              <w:t>FOR” this Proposal</w:t>
            </w:r>
          </w:p>
        </w:tc>
      </w:tr>
      <w:tr>
        <w:trPr/>
        <w:tc>
          <w:tcPr>
            <w:tcW w:w="7661" w:type="dxa"/>
            <w:gridSpan w:val="15"/>
            <w:tcBorders>
              <w:top w:val="single" w:sz="8" w:space="0" w:color="001A3D"/>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ADOPTION OF AN AMENDMENT TO THE CURRENT CERTIFICATE IN ORDER TO PERMIT THE EXCULPATION OF OFFICERS FROM PERSONAL LIABILITY FOR CERTAIN BREACHES OF THE DUTY OF CARE</w:t>
            </w:r>
          </w:p>
        </w:tc>
        <w:tc>
          <w:tcPr>
            <w:tcW w:w="327" w:type="dxa"/>
            <w:gridSpan w:val="3"/>
            <w:vMerge w:val="continue"/>
            <w:tcBorders/>
            <w:shd w:fill="DBDBDB" w:val="clear"/>
            <w:tcMar>
              <w:top w:w="0" w:type="dxa"/>
              <w:left w:w="0" w:type="dxa"/>
              <w:bottom w:w="0" w:type="dxa"/>
              <w:right w:w="0" w:type="dxa"/>
            </w:tcMar>
            <w:vAlign w:val="center"/>
          </w:tcPr>
          <w:p>
            <w:pPr>
              <w:pStyle w:val="Normal"/>
              <w:rPr/>
            </w:pPr>
            <w:r>
              <w:rPr/>
            </w:r>
          </w:p>
        </w:tc>
        <w:tc>
          <w:tcPr>
            <w:tcW w:w="2217" w:type="dxa"/>
            <w:gridSpan w:val="3"/>
            <w:vMerge w:val="continue"/>
            <w:tcBorders/>
            <w:shd w:fill="DBDBDB" w:val="clear"/>
            <w:tcMar>
              <w:top w:w="0" w:type="dxa"/>
              <w:left w:w="0" w:type="dxa"/>
              <w:bottom w:w="0" w:type="dxa"/>
              <w:right w:w="0" w:type="dxa"/>
            </w:tcMar>
            <w:vAlign w:val="center"/>
          </w:tcPr>
          <w:p>
            <w:pPr>
              <w:pStyle w:val="Normal"/>
              <w:rPr/>
            </w:pPr>
            <w:r>
              <w:rPr/>
            </w:r>
          </w:p>
        </w:tc>
      </w:tr>
      <w:tr>
        <w:trPr/>
        <w:tc>
          <w:tcPr>
            <w:tcW w:w="7661"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asking our stockholders to adopt an amendment to our Current Certificate in order to provide exculpation for our officers from personal liability for certain breaches of the duty of care (the “Officer Exculpation Amendment”). Information regarding this proposal can be found under the section titled “Proposal No. 6—Adoption of Amendment to the Current Certificate in Order to Permit the Exculpation of Officers from Personal Liability for Certain Breaches of the Duty of Care.”</w:t>
            </w:r>
          </w:p>
        </w:tc>
        <w:tc>
          <w:tcPr>
            <w:tcW w:w="327" w:type="dxa"/>
            <w:gridSpan w:val="3"/>
            <w:vMerge w:val="continue"/>
            <w:tcBorders/>
            <w:shd w:fill="DBDBDB" w:val="clear"/>
            <w:tcMar>
              <w:top w:w="0" w:type="dxa"/>
              <w:left w:w="0" w:type="dxa"/>
              <w:bottom w:w="0" w:type="dxa"/>
              <w:right w:w="0" w:type="dxa"/>
            </w:tcMar>
            <w:vAlign w:val="center"/>
          </w:tcPr>
          <w:p>
            <w:pPr>
              <w:pStyle w:val="Normal"/>
              <w:rPr/>
            </w:pPr>
            <w:r>
              <w:rPr/>
            </w:r>
          </w:p>
        </w:tc>
        <w:tc>
          <w:tcPr>
            <w:tcW w:w="2217" w:type="dxa"/>
            <w:gridSpan w:val="3"/>
            <w:vMerge w:val="continue"/>
            <w:tcBorders/>
            <w:shd w:fill="DBDBDB" w:val="clear"/>
            <w:tcMar>
              <w:top w:w="0" w:type="dxa"/>
              <w:left w:w="0" w:type="dxa"/>
              <w:bottom w:w="0" w:type="dxa"/>
              <w:right w:w="0" w:type="dxa"/>
            </w:tcMar>
            <w:vAlign w:val="center"/>
          </w:tcPr>
          <w:p>
            <w:pPr>
              <w:pStyle w:val="Normal"/>
              <w:rPr/>
            </w:pPr>
            <w:r>
              <w:rPr/>
            </w:r>
          </w:p>
        </w:tc>
      </w:tr>
    </w:tbl>
    <w:p>
      <w:pPr>
        <w:pStyle w:val="TextBody"/>
        <w:spacing w:before="240" w:after="24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5"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64" w:before="0" w:after="0"/>
        <w:jc w:val="right"/>
        <w:rPr>
          <w:rFonts w:ascii="Times New Roman;sans-serif" w:hAnsi="Times New Roman;sans-serif"/>
          <w:b/>
          <w:color w:val="FF0000"/>
          <w:sz w:val="20"/>
        </w:rPr>
      </w:pPr>
      <w:r>
        <w:rPr>
          <w:rFonts w:ascii="Times New Roman;sans-serif" w:hAnsi="Times New Roman;sans-serif"/>
          <w:b/>
          <w:color w:val="FF0000"/>
          <w:sz w:val="20"/>
        </w:rPr>
        <w:t>PRELIMINARY PROXY STATEMENT DATED APRIL 17, 2023</w:t>
      </w:r>
    </w:p>
    <w:p>
      <w:pPr>
        <w:pStyle w:val="TextBody"/>
        <w:spacing w:before="0" w:after="0"/>
        <w:jc w:val="right"/>
        <w:rPr/>
      </w:pPr>
      <w:r>
        <w:rPr/>
      </w:r>
    </w:p>
    <w:p>
      <w:pPr>
        <w:pStyle w:val="TextBody"/>
        <w:spacing w:lineRule="auto" w:line="264" w:before="0" w:after="0"/>
        <w:jc w:val="right"/>
        <w:rPr>
          <w:rFonts w:ascii="Times New Roman;sans-serif" w:hAnsi="Times New Roman;sans-serif"/>
          <w:b/>
          <w:color w:val="FF0000"/>
          <w:sz w:val="20"/>
        </w:rPr>
      </w:pPr>
      <w:r>
        <w:rPr>
          <w:rFonts w:ascii="Times New Roman;sans-serif" w:hAnsi="Times New Roman;sans-serif"/>
          <w:b/>
          <w:color w:val="FF0000"/>
          <w:sz w:val="20"/>
        </w:rPr>
        <w:t>SUBJECT TO COMPLETION</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6000 Shoreline Court, Suite 300</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South San Francisco, CA 94080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 2023 Annual Meeting of Stockholders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INFORMATION</w:t>
      </w:r>
    </w:p>
    <w:p>
      <w:pPr>
        <w:pStyle w:val="TextBody"/>
        <w:spacing w:before="0" w:after="0"/>
        <w:jc w:val="center"/>
        <w:rPr/>
      </w:pPr>
      <w:r>
        <w:rPr/>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Information about Solicitation and Voting</w:t>
      </w:r>
    </w:p>
    <w:p>
      <w:pPr>
        <w:pStyle w:val="TextBody"/>
        <w:spacing w:before="0" w:after="0"/>
        <w:jc w:val="center"/>
        <w:rPr/>
      </w:pPr>
      <w:r>
        <w:rPr/>
      </w:r>
    </w:p>
    <w:p>
      <w:pPr>
        <w:pStyle w:val="TextBody"/>
        <w:spacing w:before="0" w:after="0"/>
        <w:jc w:val="center"/>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proxy statement (“Proxy Statement”) is furnished in connection with the solicitation by the board of directors (“Board of Directors”) of Veracyte, Inc., a Delaware corporation (“we,” “us,” “our” or “Veracyte”), of proxies in the accompanying form to be used at our Annual Meeting of Stockholders on Thursday, June 8, 2023, at 10:00 a.m., Pacific Time, and any postponement or adjournment thereof (the “Annual Meeting”). To provide greater access to those who may want to attend, the Annual Meeting will be held virtually via the Internet at www.virtualshareholdermeeting.com/VCYT2023.</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Notice of Internet Availability of Proxy Materials and this Proxy Statement for the Annual Meeting and the accompanying form of proxy were first distributed and made available on the Internet to stockholders on or about April [__], 2023. Our annual report on Form 10-K for the year ended December 31, 2022 (the “Annual Report”) is available with this Proxy Statement by following the instructions in the Notice of Internet Availability of Proxy Materials. Our Annual Report is also available on the SEC’s website at www.sec.gov.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Questions and Answers about the Proxy Materials and the Annual Meeting</w:t>
      </w:r>
    </w:p>
    <w:p>
      <w:pPr>
        <w:pStyle w:val="TextBody"/>
        <w:spacing w:before="0" w:after="0"/>
        <w:rPr/>
      </w:pPr>
      <w:r>
        <w:rPr/>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What proposals will be voted on at the Annual Meeting?</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Six proposals will be voted on at the Annual Meeting:</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election of two Class I directors to serve until the 2026 Annual Meeting or until their successors are duly elected and qualified;</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ratification of the appointment of Ernst &amp; Young LLP as our independent registered public accounting firm for 2023;</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approval, on a non-binding advisory basis, of the compensation of our named executive officers, as disclosed in this Proxy Statement;</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approval of the Plan;</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adoption of the Declassification Amendment; and</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adoption of the Officer Exculpation Amendment.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What are the Board of Directors’ recommendations?</w:t>
      </w:r>
    </w:p>
    <w:p>
      <w:pPr>
        <w:pStyle w:val="TextBody"/>
        <w:spacing w:before="0" w:after="0"/>
        <w:jc w:val="both"/>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recommends that you vote:</w:t>
      </w:r>
    </w:p>
    <w:p>
      <w:pPr>
        <w:pStyle w:val="TextBody"/>
        <w:spacing w:lineRule="auto" w:line="288" w:before="0" w:after="240"/>
        <w:ind w:left="0" w:right="0" w:hanging="360"/>
        <w:jc w:val="both"/>
        <w:rPr>
          <w:color w:val="000000"/>
        </w:rPr>
      </w:pPr>
      <w:r>
        <w:rPr>
          <w:color w:val="000000"/>
        </w:rPr>
        <w:t>“</w:t>
      </w:r>
      <w:r>
        <w:rPr>
          <w:rFonts w:ascii="Times New Roman;sans-serif" w:hAnsi="Times New Roman;sans-serif"/>
          <w:b w:val="false"/>
          <w:color w:val="000000"/>
          <w:sz w:val="20"/>
        </w:rPr>
        <w:t>FOR” election of each of the nominated Class I directors;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6"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240"/>
        <w:ind w:left="0" w:right="0" w:hanging="360"/>
        <w:jc w:val="both"/>
        <w:rPr>
          <w:color w:val="000000"/>
        </w:rPr>
      </w:pPr>
      <w:r>
        <w:rPr>
          <w:color w:val="000000"/>
        </w:rPr>
        <w:t>“</w:t>
      </w:r>
      <w:r>
        <w:rPr>
          <w:rFonts w:ascii="Times New Roman;sans-serif" w:hAnsi="Times New Roman;sans-serif"/>
          <w:b w:val="false"/>
          <w:color w:val="000000"/>
          <w:sz w:val="20"/>
        </w:rPr>
        <w:t>FOR” ratification of the appointment of Ernst &amp; Young LLP as our independent registered public accounting firm for 2023;</w:t>
      </w:r>
    </w:p>
    <w:p>
      <w:pPr>
        <w:pStyle w:val="TextBody"/>
        <w:spacing w:lineRule="auto" w:line="288" w:before="0" w:after="240"/>
        <w:ind w:left="0" w:right="0" w:hanging="360"/>
        <w:jc w:val="both"/>
        <w:rPr>
          <w:color w:val="000000"/>
        </w:rPr>
      </w:pPr>
      <w:r>
        <w:rPr>
          <w:color w:val="000000"/>
        </w:rPr>
        <w:t>“</w:t>
      </w:r>
      <w:r>
        <w:rPr>
          <w:rFonts w:ascii="Times New Roman;sans-serif" w:hAnsi="Times New Roman;sans-serif"/>
          <w:b w:val="false"/>
          <w:color w:val="000000"/>
          <w:sz w:val="20"/>
        </w:rPr>
        <w:t>FOR” the approval, on a non-binding advisory basis, of the compensation of our named executive officers, as disclosed in this Proxy Statement;</w:t>
      </w:r>
    </w:p>
    <w:p>
      <w:pPr>
        <w:pStyle w:val="TextBody"/>
        <w:spacing w:lineRule="auto" w:line="288" w:before="0" w:after="240"/>
        <w:ind w:left="0" w:right="0" w:hanging="360"/>
        <w:jc w:val="both"/>
        <w:rPr>
          <w:color w:val="000000"/>
        </w:rPr>
      </w:pPr>
      <w:r>
        <w:rPr>
          <w:color w:val="000000"/>
        </w:rPr>
        <w:t>“</w:t>
      </w:r>
      <w:r>
        <w:rPr>
          <w:rFonts w:ascii="Times New Roman;sans-serif" w:hAnsi="Times New Roman;sans-serif"/>
          <w:b w:val="false"/>
          <w:color w:val="000000"/>
          <w:sz w:val="20"/>
        </w:rPr>
        <w:t>FOR” the approval of the Plan;</w:t>
      </w:r>
    </w:p>
    <w:p>
      <w:pPr>
        <w:pStyle w:val="TextBody"/>
        <w:spacing w:lineRule="auto" w:line="288" w:before="0" w:after="240"/>
        <w:ind w:left="0" w:right="0" w:hanging="360"/>
        <w:jc w:val="both"/>
        <w:rPr>
          <w:color w:val="000000"/>
        </w:rPr>
      </w:pPr>
      <w:r>
        <w:rPr>
          <w:color w:val="000000"/>
        </w:rPr>
        <w:t>“</w:t>
      </w:r>
      <w:r>
        <w:rPr>
          <w:rFonts w:ascii="Times New Roman;sans-serif" w:hAnsi="Times New Roman;sans-serif"/>
          <w:b w:val="false"/>
          <w:color w:val="000000"/>
          <w:sz w:val="20"/>
        </w:rPr>
        <w:t>FOR” the adoption of the Declassification Amendment; and</w:t>
      </w:r>
    </w:p>
    <w:p>
      <w:pPr>
        <w:pStyle w:val="TextBody"/>
        <w:spacing w:lineRule="auto" w:line="288" w:before="0" w:after="240"/>
        <w:ind w:left="0" w:right="0" w:hanging="360"/>
        <w:jc w:val="both"/>
        <w:rPr>
          <w:color w:val="000000"/>
        </w:rPr>
      </w:pPr>
      <w:r>
        <w:rPr>
          <w:color w:val="000000"/>
        </w:rPr>
        <w:t>“</w:t>
      </w:r>
      <w:r>
        <w:rPr>
          <w:rFonts w:ascii="Times New Roman;sans-serif" w:hAnsi="Times New Roman;sans-serif"/>
          <w:b w:val="false"/>
          <w:color w:val="000000"/>
          <w:sz w:val="20"/>
        </w:rPr>
        <w:t>FOR” the adoption of the Officer Exculpation Amendment.</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Will there be any other items of business on the agenda?</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expect any other items of business because the deadline for stockholder proposals and nominations has already passed. Nonetheless, in case there is an unforeseen need, the accompanying proxy gives discretionary authority to the persons named on the proxy with respect to any other matters that might be brought before the meeting. Those persons intend to vote that proxy in accordance with their best judgment.</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Who is entitled to vote?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year’s Annual Meeting will take place virtually through the Internet. We have designed the format of this year’s Annual Meeting to ensure that our stockholders who attend the Annual Meeting will be afforded the same rights and opportunities to participate as they would at an in-person meeting. You are entitled to attend and participate in the Annual Meeting only if you were a stockholder of record as of the close of business on April 10, 2023 (the “Record Date”), or if you hold a valid proxy for the meeting, as described below. Each stockholder is entitled to one vote for each share of our common stock held as of the Record Date. To be admitted to the Annual Meeting at www.virtualshareholdermeeting.com/VCYT2023, you must enter the 16-digit control number found on your proxy card or other proxy materials. If you do not have a control number, please contact the brokerage firm, bank, dealer, or other similar organization that holds your account as soon as possible so that you can be provided with a control number. </w:t>
      </w:r>
    </w:p>
    <w:p>
      <w:pPr>
        <w:pStyle w:val="TextBody"/>
        <w:spacing w:before="0" w:after="0"/>
        <w:jc w:val="both"/>
        <w:rPr/>
      </w:pPr>
      <w:r>
        <w:rPr/>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What is the difference between holding shares as a stockholder of record and as a beneficial owner?</w:t>
      </w:r>
    </w:p>
    <w:p>
      <w:pPr>
        <w:pStyle w:val="TextBody"/>
        <w:spacing w:lineRule="auto" w:line="288" w:before="0" w:after="240"/>
        <w:ind w:left="0" w:right="0" w:firstLine="720"/>
        <w:jc w:val="both"/>
        <w:rPr/>
      </w:pPr>
      <w:r>
        <w:rPr>
          <w:rFonts w:ascii="Times New Roman;sans-serif" w:hAnsi="Times New Roman;sans-serif"/>
          <w:b w:val="false"/>
          <w:i/>
          <w:color w:val="000000"/>
          <w:sz w:val="20"/>
        </w:rPr>
        <w:t>Stockholder of Record.</w:t>
      </w:r>
      <w:r>
        <w:rPr>
          <w:color w:val="000000"/>
        </w:rPr>
        <w:t xml:space="preserve"> </w:t>
      </w:r>
      <w:r>
        <w:rPr>
          <w:rFonts w:ascii="Times New Roman;sans-serif" w:hAnsi="Times New Roman;sans-serif"/>
          <w:b w:val="false"/>
          <w:color w:val="000000"/>
          <w:sz w:val="20"/>
        </w:rPr>
        <w:t>If your shares are registered directly in your name with our transfer agent, Broadridge Corporate Issuer Solutions, Inc., you are considered, with respect to those shares, the “stockholder of record.” As a stockholder of record, you may vote at the Annual Meeting or vote by telephone, by Internet, or by filling out and returning the proxy card.</w:t>
      </w:r>
    </w:p>
    <w:p>
      <w:pPr>
        <w:pStyle w:val="TextBody"/>
        <w:spacing w:lineRule="auto" w:line="288" w:before="0" w:after="240"/>
        <w:ind w:left="0" w:right="0" w:firstLine="720"/>
        <w:jc w:val="both"/>
        <w:rPr/>
      </w:pPr>
      <w:r>
        <w:rPr>
          <w:rFonts w:ascii="Times New Roman;sans-serif" w:hAnsi="Times New Roman;sans-serif"/>
          <w:b w:val="false"/>
          <w:i/>
          <w:color w:val="000000"/>
          <w:sz w:val="20"/>
        </w:rPr>
        <w:t>Beneficial Owner.</w:t>
      </w:r>
      <w:r>
        <w:rPr>
          <w:color w:val="000000"/>
        </w:rPr>
        <w:t xml:space="preserve"> </w:t>
      </w:r>
      <w:r>
        <w:rPr>
          <w:rFonts w:ascii="Times New Roman;sans-serif" w:hAnsi="Times New Roman;sans-serif"/>
          <w:b w:val="false"/>
          <w:color w:val="000000"/>
          <w:sz w:val="20"/>
        </w:rPr>
        <w:t>If your shares are held in a brokerage account or by a bank or other nominee, you are considered the “beneficial owner” of shares held in street name. As the beneficial owner, you have the right to direct your broker, bank or nominee how to vote your shares by using the voting instruction form included in the mailing. However, the organization that holds your shares is considered the stockholder of record for purposes of voting at the Annual Meeting. Because you are not the stockholder of record, you may not vote your shares at the Annual Meeting unless you request and obtain a valid proxy from the organization that holds your shares giving you the right to vote the shares at the Annual Meeting.</w:t>
      </w:r>
    </w:p>
    <w:p>
      <w:pPr>
        <w:pStyle w:val="TextBody"/>
        <w:spacing w:lineRule="auto" w:line="288" w:before="0" w:after="240"/>
        <w:jc w:val="both"/>
        <w:rPr>
          <w:rFonts w:ascii="Times New Roman;sans-serif" w:hAnsi="Times New Roman;sans-serif"/>
          <w:b/>
          <w:i/>
          <w:color w:val="000000"/>
          <w:sz w:val="20"/>
        </w:rPr>
      </w:pPr>
      <w:bookmarkStart w:id="0" w:name="if37a8ba3dd364fe2aeea4b517fe95c9c_29960"/>
      <w:bookmarkEnd w:id="0"/>
      <w:r>
        <w:rPr>
          <w:rFonts w:ascii="Times New Roman;sans-serif" w:hAnsi="Times New Roman;sans-serif"/>
          <w:b/>
          <w:i/>
          <w:color w:val="000000"/>
          <w:sz w:val="20"/>
        </w:rPr>
        <w:t>How do I vote?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may vote using any of the following methods:</w:t>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By Mail</w:t>
      </w:r>
      <w:r>
        <w:rPr>
          <w:color w:val="000000"/>
        </w:rPr>
        <w:t> </w:t>
      </w:r>
      <w:r>
        <w:rPr>
          <w:rFonts w:ascii="Times New Roman;sans-serif" w:hAnsi="Times New Roman;sans-serif"/>
          <w:b w:val="false"/>
          <w:color w:val="000000"/>
          <w:sz w:val="20"/>
        </w:rPr>
        <w:t>- Stockholders of record may submit proxies by completing, signing and dating each proxy card received and returning it in the prepaid envelope. Sign your name exactly as it appears on the proxy. If you return your signed proxy but do not indicate your voting preferences, your shares will be voted on your behalf “FOR” the election of the nominees for Class I director, “FOR” the ratification of the independent registered public accounting firm for 2023, “FOR” the compensation of our named executive officers; “FOR” the approval of the Plan; “FOR” the adoption of the Declassification Amendment; and “FOR” the adoption of the Officer Exculpation Amendment. Stockholders who hold shares beneficially in street name may provide voting instructions by mail by completing, signing and dating the voting instruction forms provided by their brokers, banks or other nominees. Voting by mail will close based on mail received the day before the meeting date.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7"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By Telephone</w:t>
      </w:r>
      <w:r>
        <w:rPr>
          <w:color w:val="000000"/>
        </w:rPr>
        <w:t> </w:t>
      </w:r>
      <w:r>
        <w:rPr>
          <w:rFonts w:ascii="Times New Roman;sans-serif" w:hAnsi="Times New Roman;sans-serif"/>
          <w:b w:val="false"/>
          <w:color w:val="000000"/>
          <w:sz w:val="20"/>
        </w:rPr>
        <w:t>- Stockholders of record may submit proxies by following the telephone voting instructions on their proxy cards. Most stockholders 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Time, the day before the meeting date.</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By Internet</w:t>
      </w:r>
      <w:r>
        <w:rPr>
          <w:color w:val="000000"/>
        </w:rPr>
        <w:t> </w:t>
      </w:r>
      <w:r>
        <w:rPr>
          <w:rFonts w:ascii="Times New Roman;sans-serif" w:hAnsi="Times New Roman;sans-serif"/>
          <w:b w:val="false"/>
          <w:color w:val="000000"/>
          <w:sz w:val="20"/>
        </w:rPr>
        <w:t xml:space="preserve">-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Before the Annual Meeting</w:t>
      </w:r>
      <w:r>
        <w:rPr>
          <w:color w:val="000000"/>
        </w:rPr>
        <w:t xml:space="preserve"> </w:t>
      </w:r>
      <w:r>
        <w:rPr>
          <w:rFonts w:ascii="Times New Roman;sans-serif" w:hAnsi="Times New Roman;sans-serif"/>
          <w:b w:val="false"/>
          <w:color w:val="000000"/>
          <w:sz w:val="20"/>
        </w:rPr>
        <w:t>- Stockholders of record may submit proxies by following the internet voting instructions on their proxy cards. Most stockholders who hold shares beneficially in street name may provide voting instructions by accessing the website specified on the voting instruction form provided by their brokers, banks or nominees. Please check the voting instruction form for internet voting availability. Please be aware that if you vote over the internet, you may incur costs such as internet access charges for which you will be responsible. The internet voting facilities will close at 11:59 p.m., Eastern Time, the day before the meeting date.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During the Annual Meeting </w:t>
      </w:r>
      <w:r>
        <w:rPr>
          <w:rFonts w:ascii="Times New Roman;sans-serif" w:hAnsi="Times New Roman;sans-serif"/>
          <w:b w:val="false"/>
          <w:color w:val="000000"/>
          <w:sz w:val="20"/>
        </w:rPr>
        <w:t xml:space="preserve">- Stockholders of record may attend the Annual Meeting by visiting www.virtualshareholdermeeting.com/VCYT2023 where stockholders may vote and submit questions during the Annual Meeting. The Annual Meeting starts at 10:00 a.m. Pacific Time. Please have your 16-digit control number found on your proxy card or other proxy materials. Instructions on how to attend and participate via the internet are posted at www.virtualshareholdermeeting.com/VCYT2023. If you are not the stockholder of record, please refer to the voting instructions provided by your nominee to direct your nominee on how to vote your shares. </w:t>
      </w:r>
      <w:r>
        <w:rPr>
          <w:rFonts w:ascii="Times New Roman;sans-serif" w:hAnsi="Times New Roman;sans-serif"/>
          <w:b/>
          <w:i/>
          <w:color w:val="000000"/>
          <w:sz w:val="20"/>
        </w:rPr>
        <w:t>Even if you plan to attend the Annual Meeting, we recommend that you also submit your proxy or voting instructions or vote by telephone or the internet so that your vote will be counted if you later decide not to attend the meeting.</w: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What if I need technical assistance during the Annual Meeting?</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encourage you to access the Annual Meeting before it begins. Online check-in will start shortly before the meeting on June 8, 2023. If you encounter any difficulties accessing the virtual meeting during the check-in or meeting time, please call the technical support number that will be posted on the virtual Annual Meeting log-in page.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Can I change my vote or revoke my proxy?</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may change your vote or revoke your proxy at any time prior to the vote at the Annual Meeting. If you are a stockholder of record and submitted your proxy by mail, you must file with our Secretary a written notice of revocation or deliver, prior to the vote at the Annual Meeting, a valid, later-dated proxy. If you submitted your proxy by telephone or the internet, you may change your vote or revoke your proxy with a later telephone or internet proxy, as the case may be. Attendance at the Annual Meeting will not have the effect of revoking a proxy unless you give written notice of revocation to the Secretary before the proxy is exercised or you vote by written ballot at the Annual Meeting.</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beneficial owner of shares held in street name and you wish to change or revoke your vote, please consult the voting instructions provided with this Proxy Statement or contact your broker, bank or nominee.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How are votes counted?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Proposal No. 1, you may vote “FOR” or “AGAINST” each of the Class I nominees. You may also “ABSTAIN” from voting.</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Proposal No. 2, the appointment of Ernst &amp; Young LLP as our independent registered public accounting firm for 2023, you may vote “FOR,” vote “AGAINST” or “ABSTAIN.” Abstentions have the same effect as votes “AGAINST” this proposal.</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Proposal No. 3, the approval, on a non-binding advisory basis, of the compensation of our named executive officers, you may vote “FOR,” vote “AGAINST” or “ABSTAIN.” Abstentions have the same effect as votes “AGAINST” this proposal.</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8"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Proposal No. 4, the approval of the Plan, you may vote “FOR,” vote “AGAINST” or “ABSTAIN.” Abstentions have the same effect as votes “AGAINST” this proposal.</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Proposal No. 5, the adoption of the Declassification Amendment, you may vote “FOR,” vote “AGAINST” or “ABSTAIN.” Abstentions have the same effect as votes “AGAINST” this proposal.</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Proposal No. 6, the adoption of the Officer Exculpation Amendment, you may vote “FOR,” vote “AGAINST” or “ABSTAIN.” Abstentions have the same effect as votes “AGAINST” this proposal.</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 provide specific instructions, your shares will be voted as you instruct. If you sign your proxy card or voting instruction form with no further instructions, your shares will be voted in accordance with the recommendations of the Board of Directors (“FOR” each of the Class I nominees to the Board of Directors, “FOR” the ratification of Ernst &amp; Young LLP as our independent registered public accounting firm for 2023, “FOR” approving, on a non-binding advisory basis, the compensation of our named executive officers, “FOR” the approval of the Plan; “FOR” the adoption of the Declassification Amendment; “FOR” the adoption of the Officer Exculpation Amendment; and in the discretion of the proxy holders on any other matters that may properly come before the meeting).</w:t>
      </w:r>
    </w:p>
    <w:p>
      <w:pPr>
        <w:pStyle w:val="TextBody"/>
        <w:spacing w:before="0" w:after="0"/>
        <w:ind w:left="0" w:right="0" w:firstLine="720"/>
        <w:jc w:val="both"/>
        <w:rPr/>
      </w:pPr>
      <w:r>
        <w:rPr/>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What vote is required to approve each item?</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 majority voting standard for uncontested elections of directors (Proposal No. 1), which means that to be elected, a director nominee must receive a majority of the votes cast, i.e. the number of shares voted “FOR” a director nominee must exceed the votes cast “AGAINST” that nominee.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vote of a majority of the shares of our common stock that are present in person or represented by proxy at the 2023 Annual Meeting and entitled to vote is required to ratify the appointment of Ernst &amp; Young LLP as our independent registered public accounting firm (Proposal No. 2), to approve the advisory resolution on named executive officer compensation (Proposal No. 3), and to approve the Plan (Proposal No. 4).</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affirmative vote of at least 66 2/3% of the voting power of all of the shares of our common stock outstanding as of the Record Date is required for the adoption of the Declassification Amendment (Proposal No. 5) and the adoption the Officer Exculpation Amendment (Proposal No. 6).</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Abstentions are deemed to be shares present or represented by proxy and entitled to vote. Abstentions have no effect on Proposal No. 1 and the same effect as a vote against Proposals No. 2, 3, 4, 5, and 6.</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 hold shares beneficially in street name and do not provide your broker or nominee with voting instructions, your shares may constitute “broker non-votes.” Broker non-votes occur when shares held by a broker for a beneficial owner are not voted because the broker did not receive voting instructions from the beneficial owner and lacked discretionary authority to vote the shares. A broker is entitled to vote shares held for a beneficial owner on “routine” matters without instructions from the beneficial owner of those shares. Absent instructions from the beneficial owner of such shares, a broker is not entitled to vote shares held for a beneficial owner on “non-routine” matters. At our Annual Meeting, only the ratification of Ernst &amp; Young LLP as our independent registered public accounting firm for 2023 is considered a routine matter. The election of directors, the advisory vote on compensation of our named executive officers, the approval of the Plan, the adoption of the Declassification Amendment and the adoption of the Officer Exculpation Amendment are non-routine matters. Broker non-votes are counted for purposes of determining whether a quorum is present. Broker non-votes will have no effect on Proposals No. 1, 2, 3 and 4. Broker non-votes will have the same effect as an against with respect to Proposals No. 5 and 6. Accordingly, we encourage you to provide voting instructions to your broker, whether or not you plan to attend the Annual Meeting.</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Is cumulative voting permitted for the election of directors?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may not cumulate votes in the election of directors, which means that each stockholder may vote no more than the number of shares he or she owns for a single director candidate.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What constitutes a quorum?</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presence at the Annual Meeting of the holders of a majority of the shares of common stock outstanding on the Record Date will constitute a quorum. Your shares are counted as present at the Annual Meeting if you are present and vote at the Annual Meeting or if you have properly submitted a proxy. As of the close of business on the Record Date, there were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9"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72,383,031 shares of our common stock outstanding. Both abstentions and broker non-votes are counted for the purpose of determining the presence of a quorum.</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How are proxies solicited?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employees, officers and directors may solicit proxies. We will pay the cost of printing and mailing proxy materials, and will reimburse brokerage houses and other custodians, nominees and fiduciaries for their reasonable out-of-pocket expenses for forwarding proxy material to the owners of our common stock. At this time, we have not engaged a proxy solicitor. If we do engage a proxy solicitor, we will pay the customary costs associated with such engagement.</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What happens if only one of the Declassification Amendment (Proposal No. 5) or the Officer Exculpation Amendment (Proposal No. 6) is adopted, or if both are adopted?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Proposals No. 5 and 6 are independent from one another. If our stockholders approve one proposal and not the other (and if the Board of Directors does not abandon the approved proposal after it is adopted by the stockholders), we will file a certificate of amendment reflecting an amendment to the current restated certificate of incorporation that reflects the adopted proposal as soon as practicable after approval by the stockholders.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our stockholders approve both proposals (and if the Board of Directors does not abandon the approved proposals after they are adopted by the stockholders), we will file a certificate of amendment to the current restated certificate of incorporation that reflects the adopted proposals as soon as practicable after approval by the stockholders.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intend to file a restated certificate of incorporation that will integrate the approved amendment(s) (unless abandoned) into a single document, without further amending our certificate of incorporation. Under the Delaware General Corporation Law, this restatement would not require further stockholder approval.</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Proposal No. 5, we approved amended and restated bylaws, which shall become effective contingent upon and subject to stockholder approval of the amendment in Proposal No. 5 to declassify our Board of Directors.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Participating in the Annual Meeting</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participate in the virtual meeting, visit www.virtualshareholdermeeting.com/VCYT2023 and enter the 16-digit control number included on your proxy card or on the instructions that accompanied your proxy materials.</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 wish to submit a question during the Annual Meeting, log into the virtual meeting platform at www.virtualshareholdermeeting.com/VCYT2023, type your question into the “Ask a Question” field, and click “Submit.” If your question is properly submitted during the relevant portion of the meeting agenda, we will seek to respond to your question during the live webcast. We reserve the right to exclude questions that are irrelevant to meeting matters, irrelevant to our business, or derogatory or in bad taste; that relate to pending or threatened litigation; that are personal grievances; or that are otherwise inappropriate (as determined by the chair of the Annual Meeting). A webcast replay of the Annual Meeting, including the Q&amp;A session, will also be archived on the “Investor Relations” section of our website, which is located at https://investor.veracyte.com/investor-relations.</w:t>
      </w:r>
    </w:p>
    <w:p>
      <w:pPr>
        <w:pStyle w:val="TextBody"/>
        <w:spacing w:before="0" w:after="0"/>
        <w:ind w:left="0" w:right="0" w:firstLine="72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www.virtualshareholdermeeting.com/VCYT2023</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If you encounter technical difficulties accessing our meeting or asking questions during the meeting, a support line will be available on the login page of the virtual meeting website.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0"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PROPOSAL NO. 1</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ELECTION OF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Directors and Nominees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directors is currently set at nine and our Board of Directors is divided into three classes, each serving staggered, three-year terms:</w:t>
      </w:r>
    </w:p>
    <w:p>
      <w:pPr>
        <w:pStyle w:val="TextBody"/>
        <w:spacing w:lineRule="auto" w:line="288" w:before="0" w:after="240"/>
        <w:ind w:left="0" w:right="0" w:hanging="360"/>
        <w:jc w:val="both"/>
        <w:rPr/>
      </w:pPr>
      <w:r>
        <w:rPr>
          <w:color w:val="000000"/>
        </w:rPr>
        <w:t>•</w:t>
      </w:r>
      <w:r>
        <w:rPr>
          <w:rFonts w:ascii="Times New Roman;sans-serif" w:hAnsi="Times New Roman;sans-serif"/>
          <w:b w:val="false"/>
          <w:color w:val="000000"/>
          <w:sz w:val="20"/>
        </w:rPr>
        <w:t>Our Class I directors are Bonnie H. Anderson, Robert S. Epstein, M.D., M.S., and Evan Jones and their terms will expire at the Annual Meeting;</w:t>
      </w:r>
    </w:p>
    <w:p>
      <w:pPr>
        <w:pStyle w:val="TextBody"/>
        <w:spacing w:lineRule="auto" w:line="288" w:before="0" w:after="240"/>
        <w:ind w:left="0" w:right="0" w:hanging="360"/>
        <w:jc w:val="both"/>
        <w:rPr/>
      </w:pPr>
      <w:r>
        <w:rPr>
          <w:color w:val="000000"/>
        </w:rPr>
        <w:t>•</w:t>
      </w:r>
      <w:r>
        <w:rPr>
          <w:rFonts w:ascii="Times New Roman;sans-serif" w:hAnsi="Times New Roman;sans-serif"/>
          <w:b w:val="false"/>
          <w:color w:val="000000"/>
          <w:sz w:val="20"/>
        </w:rPr>
        <w:t>Our Class II directors are Muna Bhanji, John L. Bishop and Marc Stapley, and their terms will expire at the annual meeting of stockholders to be held in 2024 (the “2024 Annual Meeting”); and</w:t>
      </w:r>
    </w:p>
    <w:p>
      <w:pPr>
        <w:pStyle w:val="TextBody"/>
        <w:spacing w:lineRule="auto" w:line="288" w:before="0" w:after="240"/>
        <w:ind w:left="0" w:right="0" w:hanging="360"/>
        <w:jc w:val="both"/>
        <w:rPr/>
      </w:pPr>
      <w:r>
        <w:rPr>
          <w:color w:val="000000"/>
        </w:rPr>
        <w:t>•</w:t>
      </w:r>
      <w:r>
        <w:rPr>
          <w:rFonts w:ascii="Times New Roman;sans-serif" w:hAnsi="Times New Roman;sans-serif"/>
          <w:b w:val="false"/>
          <w:color w:val="000000"/>
          <w:sz w:val="20"/>
        </w:rPr>
        <w:t>Our Class III directors are Eliav Barr, Karin Eastham, and Jens Holstein and their terms will expire at the annual meeting of stockholders to be held in 2025 (the “2025 Annual Meeting”).</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Ms. Anderson, a current Class I director, requested that the nominating and governance committee not consider her to serve an additional term as a Class I director. Accordingly, Ms. Anderson’s term as a director will end at the Annual Meeting. The Board of Directors has approved to set the number of directors at eight effective upon the conclusion of the Annual Meeting. The remaining two Class I directors will be elected at the Annual Meeting to serve until the annual meeting of stockholders to be held in 2026 (the “2026 Annual Meeting”) or until their successors are duly elected and qualified, with the other classes of directors continuing to serve for the remainder of their respective terms. If the two nominees receive more votes “FOR” reelection than “AGAINST,” they will be reelected to the Board of Directors. The nominating and corporate governance committee of the Board of Directors has recommended, and the Board of Directors has designated Robert S. Epstein, M.D., M.S., and Evan Jones as the nominees for Class I directors to serve until the 2026 Annual Meeting. If any nominee is unable or declines to serve as a director at the time of the Annual Meeting, an event that we do not currently anticipate, proxies will be voted for any nominees designated by the Board of Directors, taking into account any recommendations of the nominating and corporate governance committee, to fill the vacancies.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our stockholders approve Proposal No. 5 (and if the Board of Directors does not abandon the proposed amendment after it is adopted by the stockholders), the declassification of the Board of Directors will occur as follows:</w:t>
      </w:r>
    </w:p>
    <w:p>
      <w:pPr>
        <w:pStyle w:val="TextBody"/>
        <w:spacing w:lineRule="auto" w:line="288" w:before="0" w:after="240"/>
        <w:ind w:left="0" w:right="0" w:hanging="360"/>
        <w:jc w:val="both"/>
        <w:rPr/>
      </w:pPr>
      <w:r>
        <w:rPr>
          <w:color w:val="000000"/>
        </w:rPr>
        <w:t>•</w:t>
      </w:r>
      <w:r>
        <w:rPr>
          <w:rFonts w:ascii="Times New Roman;sans-serif" w:hAnsi="Times New Roman;sans-serif"/>
          <w:b w:val="false"/>
          <w:color w:val="000000"/>
          <w:sz w:val="20"/>
        </w:rPr>
        <w:t>the terms of office of those directors elected at the Annual Meeting will expire at the 2026 Annual Meeting;</w:t>
      </w:r>
    </w:p>
    <w:p>
      <w:pPr>
        <w:pStyle w:val="TextBody"/>
        <w:spacing w:lineRule="auto" w:line="288" w:before="0" w:after="240"/>
        <w:ind w:left="0" w:right="0" w:hanging="360"/>
        <w:jc w:val="both"/>
        <w:rPr/>
      </w:pPr>
      <w:r>
        <w:rPr>
          <w:color w:val="000000"/>
        </w:rPr>
        <w:t>•</w:t>
      </w:r>
      <w:r>
        <w:rPr>
          <w:rFonts w:ascii="Times New Roman;sans-serif" w:hAnsi="Times New Roman;sans-serif"/>
          <w:b w:val="false"/>
          <w:color w:val="000000"/>
          <w:sz w:val="20"/>
        </w:rPr>
        <w:t>the continuing directors whose current terms will expire at the 2024 Annual Meeting and the 2025 Annual Meeting (the Class II directors and the Class III directors, respectively) will serve the remainder of their terms;</w:t>
      </w:r>
    </w:p>
    <w:p>
      <w:pPr>
        <w:pStyle w:val="TextBody"/>
        <w:spacing w:lineRule="auto" w:line="288" w:before="0" w:after="240"/>
        <w:ind w:left="0" w:right="0" w:hanging="360"/>
        <w:jc w:val="both"/>
        <w:rPr/>
      </w:pPr>
      <w:r>
        <w:rPr>
          <w:color w:val="000000"/>
        </w:rPr>
        <w:t>•</w:t>
      </w:r>
      <w:r>
        <w:rPr>
          <w:rFonts w:ascii="Times New Roman;sans-serif" w:hAnsi="Times New Roman;sans-serif"/>
          <w:b w:val="false"/>
          <w:color w:val="000000"/>
          <w:sz w:val="20"/>
        </w:rPr>
        <w:t xml:space="preserve">at the 2024 Annual Meeting, the current Class II directors will stand for election for a one-year term expiring at the 2025 Annual Meeting; </w:t>
      </w:r>
    </w:p>
    <w:p>
      <w:pPr>
        <w:pStyle w:val="TextBody"/>
        <w:spacing w:lineRule="auto" w:line="288" w:before="0" w:after="240"/>
        <w:ind w:left="0" w:right="0" w:hanging="360"/>
        <w:jc w:val="both"/>
        <w:rPr/>
      </w:pPr>
      <w:r>
        <w:rPr>
          <w:color w:val="000000"/>
        </w:rPr>
        <w:t>•</w:t>
      </w:r>
      <w:r>
        <w:rPr>
          <w:rFonts w:ascii="Times New Roman;sans-serif" w:hAnsi="Times New Roman;sans-serif"/>
          <w:b w:val="false"/>
          <w:color w:val="000000"/>
          <w:sz w:val="20"/>
        </w:rPr>
        <w:t>at the 2025 Annual Meeting, the current Class II directors and Class III directors will stand for election for a one-year term expiring at the 2026 Annual Meeting; and</w:t>
      </w:r>
    </w:p>
    <w:p>
      <w:pPr>
        <w:pStyle w:val="TextBody"/>
        <w:spacing w:lineRule="auto" w:line="288" w:before="0" w:after="240"/>
        <w:ind w:left="0" w:right="0" w:hanging="360"/>
        <w:jc w:val="both"/>
        <w:rPr/>
      </w:pPr>
      <w:r>
        <w:rPr>
          <w:color w:val="000000"/>
        </w:rPr>
        <w:t>•</w:t>
      </w:r>
      <w:r>
        <w:rPr>
          <w:rFonts w:ascii="Times New Roman;sans-serif" w:hAnsi="Times New Roman;sans-serif"/>
          <w:b w:val="false"/>
          <w:color w:val="000000"/>
          <w:sz w:val="20"/>
        </w:rPr>
        <w:t xml:space="preserve">beginning with the 2026 Annual Meeting, all the nominees for director will stand for election for one-year terms expiring at the next annual meeting of stockholders. </w:t>
      </w:r>
    </w:p>
    <w:p>
      <w:pPr>
        <w:pStyle w:val="TextBody"/>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Names of the Class I nominees and the other members of the Board of Directors and certain biographical information as of April 10, 2023 are set forth below:</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1"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tbl>
      <w:tblPr>
        <w:tblW w:w="7841" w:type="dxa"/>
        <w:jc w:val="center"/>
        <w:tblInd w:w="0" w:type="dxa"/>
        <w:tblCellMar>
          <w:top w:w="28" w:type="dxa"/>
          <w:left w:w="28" w:type="dxa"/>
          <w:bottom w:w="28" w:type="dxa"/>
          <w:right w:w="28" w:type="dxa"/>
        </w:tblCellMar>
      </w:tblPr>
      <w:tblGrid>
        <w:gridCol w:w="901"/>
        <w:gridCol w:w="788"/>
        <w:gridCol w:w="801"/>
        <w:gridCol w:w="180"/>
        <w:gridCol w:w="181"/>
        <w:gridCol w:w="131"/>
        <w:gridCol w:w="1224"/>
        <w:gridCol w:w="1224"/>
        <w:gridCol w:w="1227"/>
        <w:gridCol w:w="346"/>
        <w:gridCol w:w="346"/>
        <w:gridCol w:w="492"/>
      </w:tblGrid>
      <w:tr>
        <w:trPr/>
        <w:tc>
          <w:tcPr>
            <w:tcW w:w="901"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4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6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 with Veracyte</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Director Since</w:t>
            </w:r>
          </w:p>
        </w:tc>
      </w:tr>
      <w:tr>
        <w:trPr/>
        <w:tc>
          <w:tcPr>
            <w:tcW w:w="24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w:t>
            </w:r>
          </w:p>
        </w:tc>
        <w:tc>
          <w:tcPr>
            <w:tcW w:w="36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3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11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Bonnie H. Anderson (1)</w:t>
            </w:r>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Co-Founder and Director</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Eliav Barr</w:t>
            </w:r>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Muna Bhanji</w:t>
            </w:r>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 </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L. Bishop</w:t>
            </w:r>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Karin Eastham</w:t>
            </w:r>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S. Epstein, M.D., M.S.</w:t>
            </w:r>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Chairperson, Director and Director Nominee</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Jens Holstein</w:t>
            </w:r>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Evan Jones</w:t>
            </w:r>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Director Nominee</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r>
      <w:tr>
        <w:trPr/>
        <w:tc>
          <w:tcPr>
            <w:tcW w:w="24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Ms. Anderson’s term as a director will end at the Annual Meeting.</w:t>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Marc Stapley</w:t>
      </w:r>
      <w:r>
        <w:rPr>
          <w:color w:val="000000"/>
        </w:rPr>
        <w:t xml:space="preserve"> </w:t>
      </w:r>
      <w:r>
        <w:rPr>
          <w:rFonts w:ascii="Times New Roman;sans-serif" w:hAnsi="Times New Roman;sans-serif"/>
          <w:b w:val="false"/>
          <w:color w:val="000000"/>
          <w:sz w:val="20"/>
        </w:rPr>
        <w:t>has served as our Chief Executive Officer since June 1, 2021 and as a member of our Board of Directors since June 8, 2021. He served as the Chief Executive Officer of Helix OpCo, LLC, a genomics company, from April 2019 to May 2021. Prior to that, Mr. Stapley served in key managerial positions at Illumina, Inc., a genetic sequencing company, including as Chief Financial Officer from January 2012 to January 2017, as Chief Administrative Officer from December 2015 to October 2017, and as Executive Vice President from October 2017 to January 2019. From 2009 to 2012, Mr. Stapley served as Senior Vice President, Finance at Pfizer Inc., a pharmaceutical company. Mr. Stapley has served as a member of the board of directors of Glaukos Corporation, an ophthalmic medical technology company, since 2014, and has served as a member of the board of directors of Helix since 2015. Mr. Stapley holds a B.Sc. (Honors) in Mathematics from The University of Reading (England). We believe that Mr. Stapley is qualified to serve on our Board of Directors due to his significant leadership experience in the diagnostics and genetic sequencing fields, as well as his experience as our Chief Executive Officer and his service on the boards of directors of other life sciences and healthcare companies.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 xml:space="preserve">Bonnie H. Anderson </w:t>
      </w:r>
      <w:r>
        <w:rPr>
          <w:rFonts w:ascii="Times New Roman;sans-serif" w:hAnsi="Times New Roman;sans-serif"/>
          <w:b w:val="false"/>
          <w:color w:val="000000"/>
          <w:sz w:val="20"/>
        </w:rPr>
        <w:t>is our co-founder and has served as a member of our Board of Directors since February 2008, including service as our Chair of the Board of Directors from 2016 to 2023. From February 2008 to May 2021, she served as our Chief Executive Officer. From August 2013 to February 2017, she also served as our President. Prior to joining, Ms. Anderson was an independent strategic consultant from April 2006 to January 2008, including as a strategic consultant in the formation of Veracyte from July 2007 to January 2008. Ms. Anderson was a Vice President at Beckman Coulter, Inc., a manufacturer of biomedical testing instrument systems, tests and supplies, from September 2000 to March 2006 after serving in several leadership roles during her 1989 to 2006 employment with the company. Ms. Anderson currently serves as a member of the board of directors of Bruker Corporation, DNA Script and as a trustee of the Keck Graduate Institute of Applied Life Sciences. Ms. Anderson previously served as a member of the board of directors of Biotechnology Innovation Organization and Castle Biosciences, Inc. from June 2015 to August 2020. Ms. Anderson holds a B.S. in Medical Technology from Indiana University of Pennsylvania. We believe that Ms. Anderson is qualified to serve on our Board of Directors due to her extensive industry experience, strategic perspective of our development, historic knowledge of our company as a co-founder and key leadership position as our former Chief Executive Officer.</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Eliav Barr, M.D.,</w:t>
      </w:r>
      <w:r>
        <w:rPr>
          <w:color w:val="000000"/>
        </w:rPr>
        <w:t xml:space="preserve"> </w:t>
      </w:r>
      <w:r>
        <w:rPr>
          <w:rFonts w:ascii="Times New Roman;sans-serif" w:hAnsi="Times New Roman;sans-serif"/>
          <w:b w:val="false"/>
          <w:color w:val="000000"/>
          <w:sz w:val="20"/>
        </w:rPr>
        <w:t>has served on our Board of Directors since</w:t>
      </w:r>
      <w:r>
        <w:rPr>
          <w:color w:val="000000"/>
        </w:rPr>
        <w:t xml:space="preserve"> </w:t>
      </w:r>
      <w:r>
        <w:rPr>
          <w:rFonts w:ascii="Times New Roman;sans-serif" w:hAnsi="Times New Roman;sans-serif"/>
          <w:b w:val="false"/>
          <w:color w:val="000000"/>
          <w:sz w:val="20"/>
        </w:rPr>
        <w:t xml:space="preserve">August 2022. Dr. Barr has served as Head of Global Clinical Development and Chief Medical Officer at Merck Research Laboratories (“MRL”), a division of Merck &amp; Co., Inc. (“Merck”), since April 2022. He is also the Chairperson of the Late Development Review Committee at MRL, the governance committee that oversees the development programs for pipeline and in-line products in the Cardiovascular, Diabetes/Endocrine/ Metabolism, Immunology, Neurology, Oncology, Psychiatry, Respiratory, and Vaccines/Infectious Diseases therapeutic areas. Dr. Barr has held numerous leadership positions within MRL since joining the company in 1995, including serving as Senior Vice President, Global Medical and Scientific Affairs from 2018 to 2022. Prior to joining Merck, Dr. Barr pursued post-doctoral training at the University of Michigan and was on faculty at the University of Chicago. He holds a B.S. from Pennsylvania State University and an M.D. from Jefferson Medical College of Thomas Jefferson University and completed an Internal Medicine residency and Cardiology Fellowship at Johns Hopkins. We believe that Dr. Barr is qualified to serve on our Board of Directors due to his knowledge of the life sciences industry, his medical experience and his extensive executive and senior management experience in the biopharmaceutical industry.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Muna Bhanji</w:t>
      </w:r>
      <w:r>
        <w:rPr>
          <w:color w:val="000000"/>
        </w:rPr>
        <w:t xml:space="preserve"> </w:t>
      </w:r>
      <w:r>
        <w:rPr>
          <w:rFonts w:ascii="Times New Roman;sans-serif" w:hAnsi="Times New Roman;sans-serif"/>
          <w:b w:val="false"/>
          <w:color w:val="000000"/>
          <w:sz w:val="20"/>
        </w:rPr>
        <w:t xml:space="preserve">has served on our Board of Directors since March 2021. Ms. Bhanji is the Founder and President, TIBA Global Access LLC, an independent senior advisory/consultancy focused on commercialization and market access strategy development, serving the biopharmaceutical industry. Her prior experience includes an over 34 year tenure at Merck, during which she held a number of senior leadership roles within the U.S. and Global commercial organizations including Senior Vice President, Oncology and Senior Vice President, Hospital &amp; Specialty Franchises. Most recently, through December 2020, she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2"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served as the Senior Vice President, Global Market Access &amp; Policy. In addition to serving as a director on a private company board, she currently serves on the board of directors of Intellia Therapeutics, Inc., Cytokinetics, Inc., Ardelyx, Inc. and Corus International, an international NGO. Prior to that, she had served on the boards of Possible Health, a Nepal based NGO, the Foundation of Managed Care Pharmacy and had also chaired Merck’s Supervisory Board in the Netherlands. Ms. Bhanji earned her Bachelor of Pharmacy degree from Rutgers School of Pharmacy and an M.B.A. from St. Joseph’s University. We believe that Ms. Bhanji is qualified to serve on our Board of Directors due to her extensive experience in strategic roles in the biopharmaceutical industry.</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John L. Bishop</w:t>
      </w:r>
      <w:r>
        <w:rPr>
          <w:color w:val="000000"/>
        </w:rPr>
        <w:t xml:space="preserve"> </w:t>
      </w:r>
      <w:r>
        <w:rPr>
          <w:rFonts w:ascii="Times New Roman;sans-serif" w:hAnsi="Times New Roman;sans-serif"/>
          <w:b w:val="false"/>
          <w:color w:val="000000"/>
          <w:sz w:val="20"/>
        </w:rPr>
        <w:t>has served on our Board of Directors since December 2014. Mr. Bishop served as the Chief Executive Officer and as a member of the board of directors of Cepheid Inc., a molecular diagnostics company, from April 2002 to November 2016, and became the chairman of its board of directors in February 2013. Mr. Bishop retired from Cepheid and resigned from the board of directors following the acquisition of Cepheid by Danaher Corporation. Mr. Bishop served as President and a member of the board of directors of Vysis, Inc., a genomic disease management company that was acquired by Abbott Laboratories, a health care company, from 1993 to 2002, and as Chief Executive Officer from 1996 to 2002. From 1991 until 1993, Mr. Bishop was Chairman and Chief Executive Officer of MicroProbe Corporation, a biotechnology company, and, from 1987 until 1991, of Source Scientific Systems Inc., a biomedical instrument manufacturing company. He previously served on the board of directors of Sense Biodetection Ltd, a private molecular diagnostics company focused on infectious disease from February 2020 until its sale in January 2023 and as a member of the board of directors and compensation committee of Conceptus, Inc. from February 2009 until June 2013 upon its acquisition by Bayer HealthCare LLC. Mr. Bishop also served as the chairman of the board of directors of AdvaMedDx, a division of the Advanced Medical Technology Association, a private medical diagnostics industry advocacy group, from December 2013 until April 2017. Mr. Bishop holds a B.S. from the University of Miami. We believe that Mr. Bishop is qualified to serve on our Board of Directors due to his significant experience as the chief executive officer of a publicly traded molecular diagnostics company, among his other executive and board experience in the life sciences industry.</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Karin Eastham</w:t>
      </w:r>
      <w:r>
        <w:rPr>
          <w:color w:val="000000"/>
        </w:rPr>
        <w:t xml:space="preserve"> </w:t>
      </w:r>
      <w:r>
        <w:rPr>
          <w:rFonts w:ascii="Times New Roman;sans-serif" w:hAnsi="Times New Roman;sans-serif"/>
          <w:b w:val="false"/>
          <w:color w:val="000000"/>
          <w:sz w:val="20"/>
        </w:rPr>
        <w:t>has served on our Board of Directors since December 2012. Ms. Eastham has served on the board of directors of Personalis, Inc., a biotechnology company, since September 2019, and has served as chair of the board of directors of Personalis, Inc. since May 2022. She also has served on the boards of directors of Nektar Therapeutics, a biopharmaceutical company, since September 2018, and Geron Corporation, a biotechnology company, since March 2009. From May 2004 to September 2008, Ms. Eastham served as 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Ms. Eastham previously held similar positions with several life sciences companies. Ms. Eastham also previously served as a member of the board of directors of Illumina, Inc. from August 2004 to May 2019, MorphoSys AG from May 2012 to May 2017, Amylin Pharmaceuticals, Inc. from September 2005 until its acquisition in August 2012, Genoptix, Inc. from July 2008 until its acquisition in March 2011, Tercica, Inc. from December 2003 until its acquisition in October 2008, and Trius Therapeutics, Inc. from February 2007 until its acquisition in September 2013. Ms. Eastham received a B.S. in Accounting and an M.B.A. from Indiana University and is a Certified Public Accountant (inactive). We believe that Ms. Eastham is qualified to serve on our Board of Directors due to her experience as a director of numerous life sciences companies, as well as her extensive senior management experience in the biopharmaceutical industry.</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Robert S. Epstein, M.D., M.S.</w:t>
      </w:r>
      <w:r>
        <w:rPr>
          <w:color w:val="000000"/>
        </w:rPr>
        <w:t xml:space="preserve"> </w:t>
      </w:r>
      <w:r>
        <w:rPr>
          <w:rFonts w:ascii="Times New Roman;sans-serif" w:hAnsi="Times New Roman;sans-serif"/>
          <w:b w:val="false"/>
          <w:color w:val="000000"/>
          <w:sz w:val="20"/>
        </w:rPr>
        <w:t>has served on our Board of Directors since January 2015 and is Chair of the Board of Directors. Dr. Epstein has served as a strategic consultant to life sciences companies since 2013. From 2010 to 2012, Dr. Epstein served as President of the Medco-UBC Division and as Chief Research and Development Officer of Medco Health Solutions, Inc., a managed healthcare company. Prior to that, Dr. Epstein served as Medco’s Chief Medical Officer from 1997 to 2010. Dr. Epstein has served as a member of the board of directors of Fate Therapeutics, Inc. since March 2014 and Illumina, Inc. since November 2012. Dr. Epstein previously served as a member of the board of directors of Aveo Pharmaceuticals, Inc. from December 2012 to June 2014 and was Chairman of the Board of Decipher Biosciences, Inc. (“Decipher”) from December 2019 until March 2021. Dr. Epstein is the former president of the International Society of Pharmacoeconomics and Outcomes Research, and served on the board of directors of the Drug Information Association and the International Society of Quality of Life. He has also served on the Centers for Disease Control and Prevention Evaluation of Genomic Applications in Practice &amp; Prevention Stakeholder Committee and the Agency for Healthcare Research and Quality Centers for Education and Research on Therapeutics Committee. Dr. Epstein holds a B.S. in Biomedical Science and an M.D. from the University of Michigan, and an M.S. in Preventive Medicine from the University of Maryland. We believe that Dr. Epstein is qualified to serve on our Board of Directors due to his extensive experience in strategic roles in healthcare companies, his expertise in reimbursement and FDA regulation, and his experience as a director of publicly traded companies in the life sciences industry.</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Jens Holstein</w:t>
      </w:r>
      <w:r>
        <w:rPr>
          <w:color w:val="000000"/>
        </w:rPr>
        <w:t xml:space="preserve"> </w:t>
      </w:r>
      <w:r>
        <w:rPr>
          <w:rFonts w:ascii="Times New Roman;sans-serif" w:hAnsi="Times New Roman;sans-serif"/>
          <w:b w:val="false"/>
          <w:color w:val="000000"/>
          <w:sz w:val="20"/>
        </w:rPr>
        <w:t xml:space="preserve">has served on our Board of Directors since August 2020. Mr. Holstein has served as Chief Financial Officer of BioNTech SE, a biotechnology company, since July 2021. Previously, Mr. Holstein served as chief financial officer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3"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MorphoSys AG, a biopharmaceutical company, from May 2011 to December 2020. From July 1999 to April 2011, Mr. Holstein held various positions at Fresenius SE &amp; Co. KGaA, a health care company, including regional Chief Financial Officer of Fresenius Kabi AG for the EME (Europe/Middle East) region and managing director of Fresenius Kabi Deutschland GmbH. Prior to joining Fresenius, Mr. Holstein spent several years in the consulting industry, with positions in Frankfurt and London. Mr. Holstein served as a director of InflaRx N.V., a biopharmaceutical company, from September 2018 to July 2020. Mr. Holstein holds a diploma in Business Administration from the University of Münster, Germany. We believe that Mr. Holstein is qualified to serve on our Board of Directors due to his significant experience as the chief financial officer of a publicly-traded biopharmaceutical company, as well as his extensive experience in management positions in life science and healthcare companies.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Evan Jones</w:t>
      </w:r>
      <w:r>
        <w:rPr>
          <w:color w:val="000000"/>
        </w:rPr>
        <w:t xml:space="preserve"> </w:t>
      </w:r>
      <w:r>
        <w:rPr>
          <w:rFonts w:ascii="Times New Roman;sans-serif" w:hAnsi="Times New Roman;sans-serif"/>
          <w:b w:val="false"/>
          <w:color w:val="000000"/>
          <w:sz w:val="20"/>
        </w:rPr>
        <w:t>has served on our Board of Directors since February 2008. Mr. Jones has also served as Managing Member of jVen Capital, LLC, a life sciences investment company, since 2007. He served as Chief Executive Officer of OpGen, Inc., a genetic analysis company, from 2013 to March 2020, and also served as a director from 2009 to June 2021. He was a co-founder of Digene Corporation, a biotechnology company focused on women’s health and molecular diagnostic testing, serving as chairman of its board of directors from 1995 until its acquisition in 2007 and served as Chief Executive Officer from 1990 to 2006 and as President from 1990 to 1999. Mr. Jones served as a member of the board of directors of Foundation Medicine, Inc. until its merger with Roche Holdings, Inc. in July 2018. Mr. Jones served as a director of Fluidigm Corporation from March 2011 to August 2017. Mr. Jones received a B.A. in biochemistry from the University of Colorado and an M.B.A. from The Wharton School at the University of Pennsylvania. We believe that Mr. Jones is qualified to serve on our Board of Directors due to his knowledge of the life sciences industry and his experience as a chief executive officer and as a board member of other publicly-traded and privately-held life sciences companies.</w:t>
      </w:r>
    </w:p>
    <w:p>
      <w:pPr>
        <w:pStyle w:val="TextBody"/>
        <w:spacing w:before="0" w:after="240"/>
        <w:ind w:left="0" w:right="0" w:firstLine="720"/>
        <w:jc w:val="both"/>
        <w:rPr/>
      </w:pPr>
      <w:r>
        <w:rPr/>
      </w:r>
    </w:p>
    <w:p>
      <w:pPr>
        <w:pStyle w:val="TextBody"/>
        <w:spacing w:lineRule="auto" w:line="288" w:before="0" w:after="24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The Board of Directors Recommends a Vote “FOR” Election as Director for Each of the Class I Nominees Set Forth Above.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Director Nominations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generally nominates directors whose term is scheduled to expire at the next annual meeting of stockholders and appoints new directors to fill vacancies when they arise. The Board of Directors has as an objective that its membership be composed of experienced and dedicated individuals with diversity of backgrounds, perspectives and skills. The nominating and corporate governance committee has the responsibility to identify, evaluate, recruit and recommend qualified candidates to the board for nomination or election.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 evaluates and selects candidates for director based on their character, judgment, diversity of experience, business acumen, and ability to act on behalf of all stockholders. The nominating and corporate governance committee believes that nominees for director should have experience, such as experience in management, accounting, finance, or marketing, or industry and technology knowledge, that may be useful to our company and the Board of Directors, high personal and professional ethics, and the willingness and ability to devote sufficient time to effectively carry out his or her duties as a director. The nominating and corporate governance committee also believes that service as a director of other public companies provides experience and perspective that may be useful to our company and the Board of Directors. Although our company has no formal diversity policy for board members, the board and the nominating and corporate governance committee consider diversity of backgrounds and experiences and other forms of diversity when selecting nominees.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 believes it appropriate for at least one, and, preferably, multiple, members of the Board of Directors to meet the criteria for an “audit committee financial expert” as defined by Securities and Exchange Commission (the “SEC”) rules, and that a majority of the members of the board meet the definition of “independent director” under the rules of The Nasdaq Stock Market. The nominating and corporate governance committee believes it appropriate for certain key members of our management - currently, our Chief Executive Officer - to participate as members of the Board of Directors.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each annual meeting of stockholders, the nominating and corporate governance committee identifies nominees by evaluating the current directors whose term will expire at the annual meeting and who are willing to continue in service. These candidates are evaluated based on the criteria described above, including as demonstrated by the candidate’s prior service as a director, and the needs of the Board of Directors with respect to the particular talents and experience of its directors. In the event that a director does not wish to continue in service, the nominating and corporate governance committee determines not to re-nominate the director, or if a vacancy is created on the board as a result of a resignation, an increase in the size of the board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4"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or other event, then the nominating and corporate governance committee will consider various candidates for board membership, including those suggested by the committee members, by other board members, by any search firm engaged by the nominating and corporate governance committee and by stockholders. Each of the nominees is a member of the Board of Directors standing for re-election as a director.</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stockholder who wishes to suggest a prospective nominee for the Board of Directors should notify our Secretary or any member of the nominating and corporate governance committee in writing with any supporting material the stockholder considers appropriate. In addition, our amended and restated bylaws contain provisions that address the process by which a stockholder may nominate an individual to stand for election to the Board of Directors at our annual meeting of stockholders. In order to nominate a candidate for director, including in accordance with the SEC’s universal proxy rules, a stockholder must give timely notice in writing to our Secretary and otherwise comply with the provisions of our amended and restated bylaws. To be timely for our 2024 annual meeting, our amended and restated bylaws provide that we must have received the stockholder’s notice not earlier than 5:00 p.m. Eastern Time on February 9, 2024 and not later than 5:00 p.m. Eastern Time on March 10, 2024. Information required by the amended and restated bylaws to be in the notice include the name and contact information for the candidate and the person making the nomination and other information about the nominee that must be disclosed in proxy solicitations under Section 14 of the Securities Exchange Act of 1934, as amended (“Exchange Act”) and the related rules and regulations under that Section.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 nominations must be made in accordance with the procedures outlined in, and include the information required by, our amended and restated bylaws and must be addressed to: Secretary, Veracyte, Inc., 6000 Shoreline Court, Suite 300, South San Francisco, California 94080. You may obtain a copy of the full text of this provision of the amended and restated bylaws by writing to our Secretary at the above address.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Director Expertise, Experience and Attributes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comprised of a diverse mix of directors with complementary expertise, experience and attributes, as summarized in the table below. Our directors may also have limited experience or attributes in addition to what is reflected in the “Number of Directors” column below. The “Number of Directors” column includes Ms. Anderson who is not standing for re-election at the Annual Meeting and whose term as a director will end at the Annual Meeting.</w:t>
      </w:r>
    </w:p>
    <w:tbl>
      <w:tblPr>
        <w:tblW w:w="10205" w:type="dxa"/>
        <w:jc w:val="center"/>
        <w:tblInd w:w="0" w:type="dxa"/>
        <w:tblCellMar>
          <w:top w:w="28" w:type="dxa"/>
          <w:left w:w="28" w:type="dxa"/>
          <w:bottom w:w="28" w:type="dxa"/>
          <w:right w:w="28" w:type="dxa"/>
        </w:tblCellMar>
      </w:tblPr>
      <w:tblGrid>
        <w:gridCol w:w="901"/>
        <w:gridCol w:w="563"/>
        <w:gridCol w:w="565"/>
        <w:gridCol w:w="109"/>
        <w:gridCol w:w="109"/>
        <w:gridCol w:w="109"/>
        <w:gridCol w:w="2103"/>
        <w:gridCol w:w="2082"/>
        <w:gridCol w:w="2101"/>
        <w:gridCol w:w="109"/>
        <w:gridCol w:w="109"/>
        <w:gridCol w:w="109"/>
        <w:gridCol w:w="360"/>
        <w:gridCol w:w="360"/>
        <w:gridCol w:w="516"/>
      </w:tblGrid>
      <w:tr>
        <w:trPr/>
        <w:tc>
          <w:tcPr>
            <w:tcW w:w="901"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3" w:type="dxa"/>
            <w:tcBorders/>
            <w:shd w:fill="auto" w:val="clear"/>
            <w:vAlign w:val="center"/>
          </w:tcPr>
          <w:p>
            <w:pPr>
              <w:pStyle w:val="TableContents"/>
              <w:spacing w:before="0" w:after="283"/>
              <w:rPr>
                <w:sz w:val="4"/>
                <w:szCs w:val="4"/>
              </w:rPr>
            </w:pPr>
            <w:r>
              <w:rPr>
                <w:sz w:val="4"/>
                <w:szCs w:val="4"/>
              </w:rPr>
            </w:r>
          </w:p>
        </w:tc>
        <w:tc>
          <w:tcPr>
            <w:tcW w:w="2082"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2029"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Expertise, Experience or Attribute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Number of Directors</w:t>
            </w:r>
          </w:p>
        </w:tc>
      </w:tr>
      <w:tr>
        <w:trPr/>
        <w:tc>
          <w:tcPr>
            <w:tcW w:w="20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Biotechnology and Product Development</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background working in the biotechnology industry and in management of life sciences companies; experience in product development.</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9 of 9</w:t>
            </w:r>
          </w:p>
        </w:tc>
      </w:tr>
      <w:tr>
        <w:trPr/>
        <w:tc>
          <w:tcPr>
            <w:tcW w:w="202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Leadership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Extensive executive, director or management experience from leadership and governance roles in corporations, government or public organizations.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9 of 9</w:t>
            </w:r>
          </w:p>
        </w:tc>
      </w:tr>
      <w:tr>
        <w:trPr/>
        <w:tc>
          <w:tcPr>
            <w:tcW w:w="202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Diversity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Representation of gender, ethnic, geographic, cultural or other perspectives that expand the Board of Directors’ understanding of the needs and viewpoints of our customers, partners, employees and other stakeholders.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4 of 9</w:t>
            </w:r>
          </w:p>
        </w:tc>
      </w:tr>
      <w:tr>
        <w:trPr/>
        <w:tc>
          <w:tcPr>
            <w:tcW w:w="202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Finance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Leadership or management experience resulting in financial proficiency and expertise.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7 of 9</w:t>
            </w:r>
          </w:p>
        </w:tc>
      </w:tr>
    </w:tbl>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Director Tenure and Age Distribution</w:t>
      </w:r>
    </w:p>
    <w:p>
      <w:pPr>
        <w:pStyle w:val="TextBody"/>
        <w:spacing w:before="0" w:after="0"/>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believe that our current Board of Directors composition represents an effective balance with respect to director tenure and age. Recent director additions provide the Board of Directors with fresh perspectives and diverse experiences, while directors with longer tenure provide continuity and valuable insight into our business and strategy. The following tables provide information regarding the tenure and age distribution of our Board of Directors as of April 10, 2023.</w:t>
      </w:r>
    </w:p>
    <w:tbl>
      <w:tblPr>
        <w:tblW w:w="7098" w:type="dxa"/>
        <w:jc w:val="center"/>
        <w:tblInd w:w="0" w:type="dxa"/>
        <w:tblCellMar>
          <w:top w:w="28" w:type="dxa"/>
          <w:left w:w="28" w:type="dxa"/>
          <w:bottom w:w="28" w:type="dxa"/>
          <w:right w:w="28" w:type="dxa"/>
        </w:tblCellMar>
      </w:tblPr>
      <w:tblGrid>
        <w:gridCol w:w="607"/>
        <w:gridCol w:w="535"/>
        <w:gridCol w:w="538"/>
        <w:gridCol w:w="109"/>
        <w:gridCol w:w="109"/>
        <w:gridCol w:w="109"/>
        <w:gridCol w:w="534"/>
        <w:gridCol w:w="534"/>
        <w:gridCol w:w="536"/>
        <w:gridCol w:w="109"/>
        <w:gridCol w:w="109"/>
        <w:gridCol w:w="109"/>
        <w:gridCol w:w="391"/>
        <w:gridCol w:w="391"/>
        <w:gridCol w:w="402"/>
        <w:gridCol w:w="109"/>
        <w:gridCol w:w="109"/>
        <w:gridCol w:w="109"/>
        <w:gridCol w:w="483"/>
        <w:gridCol w:w="483"/>
        <w:gridCol w:w="683"/>
      </w:tblGrid>
      <w:tr>
        <w:trPr/>
        <w:tc>
          <w:tcPr>
            <w:tcW w:w="607"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Tenure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Number of Directors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Number of Directors</w:t>
            </w:r>
          </w:p>
        </w:tc>
      </w:tr>
      <w:tr>
        <w:trPr/>
        <w:tc>
          <w:tcPr>
            <w:tcW w:w="1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More than 10 years</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 years</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 – 10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 – 70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 – 5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 – 60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5"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before="0" w:after="240"/>
        <w:ind w:left="0" w:right="0" w:firstLine="720"/>
        <w:rPr/>
      </w:pPr>
      <w:r>
        <w:rPr/>
      </w:r>
    </w:p>
    <w:tbl>
      <w:tblPr>
        <w:tblW w:w="7211" w:type="dxa"/>
        <w:jc w:val="center"/>
        <w:tblInd w:w="0" w:type="dxa"/>
        <w:tblCellMar>
          <w:top w:w="28" w:type="dxa"/>
          <w:left w:w="28" w:type="dxa"/>
          <w:bottom w:w="28" w:type="dxa"/>
          <w:right w:w="28" w:type="dxa"/>
        </w:tblCellMar>
      </w:tblPr>
      <w:tblGrid>
        <w:gridCol w:w="1203"/>
        <w:gridCol w:w="1056"/>
        <w:gridCol w:w="1060"/>
        <w:gridCol w:w="241"/>
        <w:gridCol w:w="241"/>
        <w:gridCol w:w="241"/>
        <w:gridCol w:w="241"/>
        <w:gridCol w:w="241"/>
        <w:gridCol w:w="241"/>
        <w:gridCol w:w="340"/>
        <w:gridCol w:w="340"/>
        <w:gridCol w:w="341"/>
        <w:gridCol w:w="418"/>
        <w:gridCol w:w="418"/>
        <w:gridCol w:w="589"/>
      </w:tblGrid>
      <w:tr>
        <w:trPr/>
        <w:tc>
          <w:tcPr>
            <w:tcW w:w="1203"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r>
      <w:tr>
        <w:trPr/>
        <w:tc>
          <w:tcPr>
            <w:tcW w:w="7211" w:type="dxa"/>
            <w:gridSpan w:val="15"/>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Board Diversity Matrix (As of March 31, 2023)</w:t>
            </w:r>
          </w:p>
        </w:tc>
      </w:tr>
      <w:tr>
        <w:trPr/>
        <w:tc>
          <w:tcPr>
            <w:tcW w:w="33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35"/>
              <w:jc w:val="left"/>
              <w:rPr>
                <w:rFonts w:ascii="Times New Roman;sans-serif" w:hAnsi="Times New Roman;sans-serif"/>
                <w:b/>
                <w:color w:val="000000"/>
                <w:sz w:val="18"/>
              </w:rPr>
            </w:pPr>
            <w:r>
              <w:rPr>
                <w:rFonts w:ascii="Times New Roman;sans-serif" w:hAnsi="Times New Roman;sans-serif"/>
                <w:b/>
                <w:color w:val="000000"/>
                <w:sz w:val="18"/>
              </w:rPr>
              <w:t>Total Number of Directors</w:t>
            </w:r>
          </w:p>
        </w:tc>
        <w:tc>
          <w:tcPr>
            <w:tcW w:w="3892" w:type="dxa"/>
            <w:gridSpan w:val="12"/>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9</w:t>
            </w:r>
          </w:p>
        </w:tc>
      </w:tr>
      <w:tr>
        <w:trPr/>
        <w:tc>
          <w:tcPr>
            <w:tcW w:w="3319"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2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Female</w:t>
            </w:r>
          </w:p>
        </w:tc>
        <w:tc>
          <w:tcPr>
            <w:tcW w:w="72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Male</w:t>
            </w:r>
          </w:p>
        </w:tc>
        <w:tc>
          <w:tcPr>
            <w:tcW w:w="102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Non-Binary</w:t>
            </w:r>
          </w:p>
        </w:tc>
        <w:tc>
          <w:tcPr>
            <w:tcW w:w="142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Did Not Disclose</w:t>
            </w:r>
          </w:p>
          <w:p>
            <w:pPr>
              <w:pStyle w:val="TableContents"/>
              <w:spacing w:lineRule="auto" w:line="268" w:before="0" w:after="0"/>
              <w:ind w:left="0" w:right="0" w:hanging="15"/>
              <w:jc w:val="center"/>
              <w:rPr>
                <w:rFonts w:ascii="Times New Roman;sans-serif" w:hAnsi="Times New Roman;sans-serif"/>
                <w:b/>
                <w:color w:val="000000"/>
                <w:sz w:val="18"/>
              </w:rPr>
            </w:pPr>
            <w:r>
              <w:rPr>
                <w:rFonts w:ascii="Times New Roman;sans-serif" w:hAnsi="Times New Roman;sans-serif"/>
                <w:b/>
                <w:color w:val="000000"/>
                <w:sz w:val="18"/>
              </w:rPr>
              <w:t>Gender</w:t>
            </w:r>
          </w:p>
        </w:tc>
      </w:tr>
      <w:tr>
        <w:trPr/>
        <w:tc>
          <w:tcPr>
            <w:tcW w:w="7211" w:type="dxa"/>
            <w:gridSpan w:val="15"/>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ind w:left="0" w:right="0" w:firstLine="35"/>
              <w:jc w:val="left"/>
              <w:rPr>
                <w:rFonts w:ascii="Times New Roman;sans-serif" w:hAnsi="Times New Roman;sans-serif"/>
                <w:b/>
                <w:color w:val="000000"/>
                <w:sz w:val="18"/>
              </w:rPr>
            </w:pPr>
            <w:r>
              <w:rPr>
                <w:rFonts w:ascii="Times New Roman;sans-serif" w:hAnsi="Times New Roman;sans-serif"/>
                <w:b/>
                <w:color w:val="000000"/>
                <w:sz w:val="18"/>
              </w:rPr>
              <w:t>Part I: Gender Identity</w:t>
            </w:r>
          </w:p>
        </w:tc>
      </w:tr>
      <w:tr>
        <w:trPr/>
        <w:tc>
          <w:tcPr>
            <w:tcW w:w="33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Directors</w:t>
            </w:r>
          </w:p>
        </w:tc>
        <w:tc>
          <w:tcPr>
            <w:tcW w:w="72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2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2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42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color w:val="000000"/>
              </w:rPr>
            </w:pPr>
            <w:r>
              <w:rPr>
                <w:color w:val="000000"/>
              </w:rPr>
              <w:t>—</w:t>
            </w:r>
          </w:p>
        </w:tc>
      </w:tr>
      <w:tr>
        <w:trPr/>
        <w:tc>
          <w:tcPr>
            <w:tcW w:w="7211" w:type="dxa"/>
            <w:gridSpan w:val="15"/>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ind w:left="0" w:right="0" w:firstLine="35"/>
              <w:jc w:val="left"/>
              <w:rPr>
                <w:rFonts w:ascii="Times New Roman;sans-serif" w:hAnsi="Times New Roman;sans-serif"/>
                <w:b/>
                <w:color w:val="000000"/>
                <w:sz w:val="18"/>
              </w:rPr>
            </w:pPr>
            <w:r>
              <w:rPr>
                <w:rFonts w:ascii="Times New Roman;sans-serif" w:hAnsi="Times New Roman;sans-serif"/>
                <w:b/>
                <w:color w:val="000000"/>
                <w:sz w:val="18"/>
              </w:rPr>
              <w:t>Part II: Demographic Background</w:t>
            </w:r>
          </w:p>
        </w:tc>
      </w:tr>
      <w:tr>
        <w:trPr/>
        <w:tc>
          <w:tcPr>
            <w:tcW w:w="33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African American or Black</w:t>
            </w:r>
          </w:p>
        </w:tc>
        <w:tc>
          <w:tcPr>
            <w:tcW w:w="7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02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4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color w:val="000000"/>
              </w:rPr>
            </w:pPr>
            <w:r>
              <w:rPr>
                <w:color w:val="000000"/>
              </w:rPr>
              <w:t>—</w:t>
            </w:r>
          </w:p>
        </w:tc>
      </w:tr>
      <w:tr>
        <w:trPr/>
        <w:tc>
          <w:tcPr>
            <w:tcW w:w="33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Alaskan Native or Native American</w:t>
            </w:r>
          </w:p>
        </w:tc>
        <w:tc>
          <w:tcPr>
            <w:tcW w:w="7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02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4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color w:val="000000"/>
              </w:rPr>
            </w:pPr>
            <w:r>
              <w:rPr>
                <w:color w:val="000000"/>
              </w:rPr>
              <w:t>—</w:t>
            </w:r>
          </w:p>
        </w:tc>
      </w:tr>
      <w:tr>
        <w:trPr/>
        <w:tc>
          <w:tcPr>
            <w:tcW w:w="33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Asian or South Asian</w:t>
            </w:r>
          </w:p>
        </w:tc>
        <w:tc>
          <w:tcPr>
            <w:tcW w:w="7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02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4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color w:val="000000"/>
              </w:rPr>
            </w:pPr>
            <w:r>
              <w:rPr>
                <w:color w:val="000000"/>
              </w:rPr>
              <w:t>—</w:t>
            </w:r>
          </w:p>
        </w:tc>
      </w:tr>
      <w:tr>
        <w:trPr/>
        <w:tc>
          <w:tcPr>
            <w:tcW w:w="33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Hispanic or Latinx</w:t>
            </w:r>
          </w:p>
        </w:tc>
        <w:tc>
          <w:tcPr>
            <w:tcW w:w="7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02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4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color w:val="000000"/>
              </w:rPr>
            </w:pPr>
            <w:r>
              <w:rPr>
                <w:color w:val="000000"/>
              </w:rPr>
              <w:t>—</w:t>
            </w:r>
          </w:p>
        </w:tc>
      </w:tr>
      <w:tr>
        <w:trPr/>
        <w:tc>
          <w:tcPr>
            <w:tcW w:w="33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Native Hawaiian or Pacific Islander</w:t>
            </w:r>
          </w:p>
        </w:tc>
        <w:tc>
          <w:tcPr>
            <w:tcW w:w="7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02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4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color w:val="000000"/>
              </w:rPr>
            </w:pPr>
            <w:r>
              <w:rPr>
                <w:color w:val="000000"/>
              </w:rPr>
              <w:t>—</w:t>
            </w:r>
          </w:p>
        </w:tc>
      </w:tr>
      <w:tr>
        <w:trPr/>
        <w:tc>
          <w:tcPr>
            <w:tcW w:w="33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White</w:t>
            </w:r>
          </w:p>
        </w:tc>
        <w:tc>
          <w:tcPr>
            <w:tcW w:w="7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2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4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color w:val="000000"/>
              </w:rPr>
            </w:pPr>
            <w:r>
              <w:rPr>
                <w:color w:val="000000"/>
              </w:rPr>
              <w:t>—</w:t>
            </w:r>
          </w:p>
        </w:tc>
      </w:tr>
      <w:tr>
        <w:trPr/>
        <w:tc>
          <w:tcPr>
            <w:tcW w:w="33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Two or More Races or Ethnicities</w:t>
            </w:r>
          </w:p>
        </w:tc>
        <w:tc>
          <w:tcPr>
            <w:tcW w:w="7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2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02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42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color w:val="000000"/>
              </w:rPr>
            </w:pPr>
            <w:r>
              <w:rPr>
                <w:color w:val="000000"/>
              </w:rPr>
              <w:t>—</w:t>
            </w:r>
          </w:p>
        </w:tc>
      </w:tr>
      <w:tr>
        <w:trPr/>
        <w:tc>
          <w:tcPr>
            <w:tcW w:w="33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LGBTQ+</w:t>
            </w:r>
          </w:p>
        </w:tc>
        <w:tc>
          <w:tcPr>
            <w:tcW w:w="3892" w:type="dxa"/>
            <w:gridSpan w:val="12"/>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331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ind w:left="0" w:right="0" w:firstLine="35"/>
              <w:jc w:val="left"/>
              <w:rPr>
                <w:rFonts w:ascii="Times New Roman;sans-serif" w:hAnsi="Times New Roman;sans-serif"/>
                <w:b w:val="false"/>
                <w:color w:val="000000"/>
                <w:sz w:val="18"/>
              </w:rPr>
            </w:pPr>
            <w:r>
              <w:rPr>
                <w:rFonts w:ascii="Times New Roman;sans-serif" w:hAnsi="Times New Roman;sans-serif"/>
                <w:b w:val="false"/>
                <w:color w:val="000000"/>
                <w:sz w:val="18"/>
              </w:rPr>
              <w:t>Did Not Disclose Demographic Background</w:t>
            </w:r>
          </w:p>
        </w:tc>
        <w:tc>
          <w:tcPr>
            <w:tcW w:w="3892" w:type="dxa"/>
            <w:gridSpan w:val="12"/>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color w:val="000000"/>
              </w:rPr>
            </w:pPr>
            <w:r>
              <w:rPr>
                <w:color w:val="000000"/>
              </w:rPr>
              <w:t>—</w:t>
            </w:r>
          </w:p>
        </w:tc>
      </w:tr>
    </w:tbl>
    <w:p>
      <w:pPr>
        <w:pStyle w:val="TextBody"/>
        <w:spacing w:before="0" w:after="0"/>
        <w:ind w:left="0" w:right="0" w:firstLine="400"/>
        <w:jc w:val="both"/>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Majority Voting Standard for Director Elections and Director Resignation Policy</w:t>
      </w:r>
    </w:p>
    <w:p>
      <w:pPr>
        <w:pStyle w:val="TextBody"/>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provide for a majority voting standard for uncontested elections of directors and require that stockholder director nominations include a written statement as to whether the nominee intends to tender an irrevocable resignation upon such nominee’s election or re-election. The majority voting standard provides that, in uncontested director elections, a director nominee will be elected only if the number of votes cast FOR the nominee exceeds the number of votes cast AGAINST the nominee. In addition, our Director Resignation Policy requires each incumbent nominee to submit an irrevocable contingent resignation letter prior to the annual meeting of stockholders in which such election is to take place. This addresses the “holdover” director situation under the Delaware General Corporation Law (“DGCL”) pursuant to which a director remains on the board of directors until such director’s successor is elected and qualified. Such resignation becomes effective only upon (i) such nominee’s failure to receive the requisite number of votes for re-election at any future meeting at which such person would face re-election and (ii) our Board of Directors’ acceptance of such resignation. If the nominee does not receive the requisite number of votes for re-election, our nominating and corporate governance committee will make a recommendation to our Board of Directors as to whether to accept or reject the resignation, or whether other action should be taken. Our Board of Directors will act on the nominating and corporate governance committee’s recommendation and publicly disclose its decision and the rationale behind it within 90 days from the date of the certification of the election results.</w:t>
      </w:r>
    </w:p>
    <w:p>
      <w:pPr>
        <w:pStyle w:val="TextBody"/>
        <w:spacing w:before="0" w:after="0"/>
        <w:ind w:left="0" w:right="0" w:firstLine="4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has determined that, except for Mr. Stapley and Ms. Anderson, each individual who currently serves as a member of our Board of Directors is, and each individual who served as a member of our Board of Directors in 2022 was, an “independent director” within the meaning of Rule 5605 of The Nasdaq Stock Market. Mr. Stapley is not considered independent as he serves as our Chief Executive Officer and Ms. Anderson is not considered independent because she was employed as our Chief Executive Officer during the past three years. For Ms. Bhanji, Mr. Bishop, Ms. Eastham, Dr. Epstein, Dr. Barr, Mr. Holstein and Mr. Jones, the Board of Directors considered their relationship and transactions with us and our security holders.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members of our Compensation Committee during 2022 included Karin Eastham, Jens Holstein and Robert S. Epstein. No member of our Compensation Committee in 2022 was at any time during 2022 or at any other time an officer or employee of ours, and none had or have any relationships with us that are required to be disclosed under Item 404 of Regulation S-K. None of our executive officers has served as a member of the Board of Directors, or as a member of the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6"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or similar committee, of any entity that has one or more executive officers who served on our Board of Directors or Compensation Committee during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Board Meetings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held eight meetings and acted by written consent two times during 2022. Each director, with the exception of Eliav Barr, M.D., attended at least 75% of the aggregate number of meetings held by the Board of Directors and of the committees on which such director served. Dr. Barr joined the Board of Directors in August 2022 and, due to pre-existing scheduling conflicts when he joined the Board of Directors, was unable to attend two Board meetings, therefore attending 60% of the meetings for 2022. The independent directors meet in executive sessions at regularly scheduled meetings of the Board of Directors without the participation of the Chief Executive Officer or other members of management. We do not have a policy that requires the attendance of directors at the Annual Meeting.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Board Committees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description of each committee of the Board of Directors. The Board of Directors has determined that each director who serves on the audit, compensation, nominating and corporate governance, and regulatory and compliance committees is “independent,” as that term is defined for such committee by applicable listing standards of The Nasdaq Stock Market, rules of the SEC, and the applicable written charter for each of these committees. The charters of the audit, compensation, nominating and corporate governance, and regulatory and compliance committees are available on the investor section of our website under the corporate governance tab (https://investor.veracyte.com/corporate-governance).</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Audit Committee and Financial Expert</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members of the audit committee are Jens Holstein, its Chair, Karin Eastham, and Evan Jones. The audit committee held five meetings during 2022. Our audit committee oversees our corporate accounting and financial reporting process and assists our Board of Directors in oversight of the integrity of our financial statements, our compliance with certain legal and regulatory requirements, our independent auditor’s qualifications, independence and performance, and our internal accounting and financial controls. Our audit committee is responsible for the appointment, compensation, retention and oversight of our independent auditor. The Board of Directors has determined that Mr. Holstein, Ms. Eastham and Mr. Jones each are qualified as an “audit committee financial expert” under the definition outlined by the SEC. </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members of the compensation committee are Karin Eastham, its Chair, Robert S. Epstein and Jens Holstein. The compensation committee held seven meetings and acted by written consent eight times during 2022. Our compensation committee oversees our compensation policies, plans and benefits programs and determines and approves or, in the case of our chief executive officer, makes recommendations to our Board of Directors regarding the compensation of our executive officers. In addition, our compensation committee reviews and approves or makes recommendations to our Board of Directors with respect to our major compensation plans, policies and programs and assesses whether our compensation structure establishes appropriate incentives for officers and employees. The compensation committee also reviews and recommends non-employee directors’ compensation to the full Board of Directors. The compensation committee has the sole authority to select, retain, terminate, and approve the fees and other retention terms of consultants as it deems appropriate to perform its duties.</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Nominating and Corporate Governance Committee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members of the nominating and corporate governance committee are Robert S. Epstein, its Chair, Muna Bhanji and Evan Jones. The nominating and corporate governance committee held four meetings during 2022.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 as well as recommendations and monitoring of the Company’s Environmental, Social, and Corporate Governance (ESG) efforts. </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Regulatory and Compliance Committee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members of the regulatory and compliance committee are Evan Jones, its Chair, Muna Bhanji and Eliav Barr. The regulatory and compliance committee held four meetings during 2022. Our regulatory and compliance committee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7"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assists our board in meeting its responsibilities with regard to oversight of our compliance with healthcare legal and regulatory requirements applicable to our business.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Corporate Governance</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Structure of the Board of Directors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regular engagement with our stockholders and our commitment to environmental, social and corporate governance, including our regular review of our corporate governance structure and evaluation of recent trends in corporate governance, we are submitting and recommending approval of a proposal to our stockholders at the Annual Meeting to declassify our Board of Directors, which, if approved by our stockholders, would provide for our Board of Directors to declassify over a three-year period beginning with the directors to be nominated for election at our 2024 annual meeting of stockholders as discussed further under “Proposal No. 6 Adoption of an Amendment to the Current Certificate in Order to Permit the Exculpation of Officers from Personal Liability for Certain Breaches of the Duty of Care.”</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Board Leadership Structure and Role in Risk Oversight</w:t>
      </w:r>
    </w:p>
    <w:p>
      <w:pPr>
        <w:pStyle w:val="TextBody"/>
        <w:spacing w:lineRule="auto" w:line="288" w:before="0" w:after="240"/>
        <w:ind w:left="0" w:right="0" w:firstLine="720"/>
        <w:jc w:val="both"/>
        <w:rPr/>
      </w:pPr>
      <w:r>
        <w:rPr>
          <w:rFonts w:ascii="Times New Roman;sans-serif" w:hAnsi="Times New Roman;sans-serif"/>
          <w:b w:val="false"/>
          <w:color w:val="000000"/>
          <w:sz w:val="20"/>
        </w:rPr>
        <w:t xml:space="preserve">Our nominating and corporate governance committee periodically considers the leadership structure of our Board of Directors and makes such recommendations to our Board of Directors as our nominating and corporate governance committee deems appropriate. Our Board of Directors believes it is important to have flexibility in selecting the Chair of the Board of Directors and our board leadership structure. The Board of Directors believes that is currently in the best interests of Veracyte and its stockholder for Dr. Epstein, an independent director, to serve as our Chair. Dr. Epstein has served on our Board of Directors since January 2015 and has deep familiarity with our business and our industry, including </w:t>
      </w:r>
      <w:r>
        <w:rPr>
          <w:rFonts w:ascii="Times New Roman;sans-serif" w:hAnsi="Times New Roman;sans-serif"/>
          <w:b w:val="false"/>
          <w:color w:val="000000"/>
          <w:sz w:val="20"/>
          <w:highlight w:val="white"/>
        </w:rPr>
        <w:t xml:space="preserve">in-depth knowledge of the issues, opportunities and challenges facing our company and its business and </w:t>
      </w:r>
      <w:r>
        <w:rPr>
          <w:rFonts w:ascii="Times New Roman;sans-serif" w:hAnsi="Times New Roman;sans-serif"/>
          <w:b w:val="false"/>
          <w:color w:val="000000"/>
          <w:sz w:val="20"/>
        </w:rPr>
        <w:t xml:space="preserve">make him well qualified to serve as our Chair. The Board of Directors believes that this leadership structure provides our Board of Directors with significant strengths and an independent leadership perspective. In his capacity as Chair, Dr. Epstein also serves </w:t>
      </w:r>
      <w:r>
        <w:rPr>
          <w:rFonts w:ascii="Times New Roman;sans-serif" w:hAnsi="Times New Roman;sans-serif"/>
          <w:b w:val="false"/>
          <w:i/>
          <w:color w:val="000000"/>
          <w:sz w:val="20"/>
        </w:rPr>
        <w:t>ex officio</w:t>
      </w:r>
      <w:r>
        <w:rPr>
          <w:color w:val="000000"/>
        </w:rPr>
        <w:t xml:space="preserve"> </w:t>
      </w:r>
      <w:r>
        <w:rPr>
          <w:rFonts w:ascii="Times New Roman;sans-serif" w:hAnsi="Times New Roman;sans-serif"/>
          <w:b w:val="false"/>
          <w:color w:val="000000"/>
          <w:sz w:val="20"/>
        </w:rPr>
        <w:t>on all committees of the board and chairs executive sessions of the independent directors. The Board of Directors retains the authority to modify this structure as it deems appropriate. In making board leadership structure determinations, the Board of Directors considers many factors, including the specific needs of the business and what is in the best interests of our stockholders. Any changes to the leadership structure of our Board of Directors, if made, will be disclosed on the Investor Relations portion of our website, and in our proxy materials. Our Board of Directors, in its sole discretion, may seek input from our stockholders on the leadership structure of the Board of Directors.</w:t>
      </w:r>
      <w:r>
        <w:rPr>
          <w:color w:val="000000"/>
          <w:highlight w:val="white"/>
        </w:rPr>
        <w:t xml:space="preserve">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responsible for overseeing the overall risk management process at Veracyte. The responsibility for managing risk rests with executive management, while the committees of the Board of Directors and the Board of Directors as a whole participate in the oversight process. The risk oversight process of the Board of Directors builds upon management’s risk assessment and mitigation processes, which include reviews of long-term strategic and operational planning, strategic biopharmaceutical partnerships and material opportunities, executive talent acquisition, retention, and development, compensation and evaluation, reputational, regulatory and legal compliance including those laws and regulations relating to product and service promotional activities, Medicare billing and reimbursement and provision of laboratory services, cybersecurity, privacy and financial reporting and internal controls. The Board of Directors considers strategic risks and opportunities and regularly receives reports from executive management regarding specific aspects of risk management, including but not limited to, our ability to expand our platform, products, and services globally, our ability to achieve the expected benefits from our acquisition of the diagnostic rights to the nCounter Analysis System, and our ability to potentially inform diagnosis and treatment decisions in new oncology indications. Our Board of Directors reviews strategic and operational risk in the context of discussions, question-and-answer sessions, and reports from the management team at each regular Board of Directors meeting, receives reports on all significant committee activities at each regular Board of Directors meeting, and evaluates the risks inherent in significant transactions. Management, under oversight of the Audit Committee, is in the process of conducting its annual enterprise risk management assessment to assess key enterprise risks over different time horizons (short-term (current to six months), mid-term (six to twelve months) and long-term (more than twelve months). Following such assessment, key risk areas will be shared with the Audit Committee and management will assign owners to each risk who are tasked with reviewing and assessing the contributing factors, evaluating management’s existing risk mitigation capabilities, identifying risk mitigation enhancement considerations and potential future state activities and assessing resources needed to implement desired mitigation enhancements.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committee of the Board of Directors meets with key management personnel and representatives of outside advisors to oversee risks associated with their respective principal areas of focus both with management present and in separate executive sessions, as described below. We believe this division of responsibilities is an effective approach for addressing the risks we face and that our Board of Directors leadership structure supports this approach. The audit committee reviews (i) our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8"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major financial risks and enterprise exposures and the steps management has taken to monitor or mitigate such risks and exposures, including our risk assessment and risk management policies, as well as cybersecurity and data privacy risks and risk exposures in other areas, as the audit committee deems appropriate from time to time; (ii) our programs for promoting and monitoring compliance with applicable legal and regulatory requirements, as well as major legal regulatory compliance risk exposures and the steps management has taken to monitor or mitigate such exposures; and (iii) the status of any significant legal and regulatory matters and any material reports or inquiries received from regulators or government agencies that reasonably could be expected to have a significant impact on our financial statements. The compensation committee reviews major compensation- and human capital-related risk exposures and the steps management has taken to monitor or mitigate such exposures. The nominating and corporate governance committee reviews and assesses risks relating to our corporate governance practices, reviews and assesses our performance, risks, controls, and procedures relating to corporate responsibility and sustainability, including environmental, social and governance (“ESG”) matters, reviews the independence of our Board of Directors, and reviews and discusses our Board of Directors’ leadership structure and role in risk oversight. The regulatory and compliance committee assists the Board of Directors with oversight of the Company’s compliance with legal and regulatory requirements. </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Oversight of Corporate Strategy</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One of our Board of Directors’ key responsibilities is overseeing management’s formulation and execution of corporate strategy. Our Board of Directors actively oversees management’s establishment and execution of corporate strategy, including major business and organizational initiatives, annual budget and long-term strategic plans, capital allocation priorities, potential corporate development opportunities, and risk management. At its regularly scheduled meetings and throughout the year, our Board of Directors receives information and formal updates from our management and actively engages with the senior leadership team with respect to our corporate strategy. Our Board of Directors’ diverse skill set and experience enhances its ability to support management in the execution and evaluation of our corporate strategy. The independent members of our Board of Directors also hold regularly scheduled executive sessions at which strategy is discussed.</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Cybersecurity Risk Oversight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Securing the information of our patients, users, team members, vendors, and other third parties is important to us. We continue to adopt appropriate physical, technological, and administrative controls. While everyone at our company plays a part in managing these risks, oversight responsibility is shared by our Board of Directors, our audit committee, and management, including our Chief Information Officer.</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regular cybersecurity updates in the form of written reports and presentations to our audit committee at our quarterly meetings. Our audit committee regularly reviews results from our cybersecurity testing and remediation plans, our cybersecurity roadmap, and the threat landscape. Additionally, we leverage the National Institute of Standards and Technology Cyber Security Framework to address standards, guidelines and best practices to manage cybersecurity risk, and we engage third-party partners for risk assessments, penetration tests and program enhancements. We continue to raise cybersecurity awareness with our employees through training and reinforcement, including simulated phishing campaigns. We also maintain information security risk insurance coverage.</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Veracyte’s Approach to Human Capital Management</w:t>
      </w:r>
    </w:p>
    <w:p>
      <w:pPr>
        <w:pStyle w:val="TextBody"/>
        <w:spacing w:lineRule="auto" w:line="288" w:before="0" w:after="240"/>
        <w:ind w:left="0" w:right="0" w:firstLine="720"/>
        <w:jc w:val="both"/>
        <w:rPr/>
      </w:pPr>
      <w:r>
        <w:rPr>
          <w:rFonts w:ascii="Times New Roman;sans-serif" w:hAnsi="Times New Roman;sans-serif"/>
          <w:b w:val="false"/>
          <w:i/>
          <w:color w:val="000000"/>
          <w:sz w:val="20"/>
          <w:u w:val="single"/>
        </w:rPr>
        <w:t>Our People.</w:t>
      </w:r>
      <w:r>
        <w:rPr>
          <w:color w:val="000000"/>
        </w:rPr>
        <w:t xml:space="preserve"> </w:t>
      </w:r>
      <w:r>
        <w:rPr>
          <w:rFonts w:ascii="Times New Roman;sans-serif" w:hAnsi="Times New Roman;sans-serif"/>
          <w:b w:val="false"/>
          <w:color w:val="000000"/>
          <w:sz w:val="20"/>
        </w:rPr>
        <w:t>At December 31, 2022, we had 787 employees, of which 246 work in laboratory operations, 126 in research and development and clinical development, 194 in selling and marketing, and 221 in general and administrative, including 86 in billing and client services, 35 in information technology and 32 in finance. None of our employees in the U.S are the subject of collective bargaining arrangements. Our employees in France belong to local works councils, subject to customary collective bargaining arrangements under local law. Our management considers its relationships with employees to be good.</w:t>
      </w:r>
    </w:p>
    <w:p>
      <w:pPr>
        <w:pStyle w:val="TextBody"/>
        <w:spacing w:lineRule="auto" w:line="288" w:before="0" w:after="240"/>
        <w:ind w:left="0" w:right="0" w:firstLine="720"/>
        <w:jc w:val="both"/>
        <w:rPr/>
      </w:pPr>
      <w:r>
        <w:rPr>
          <w:rFonts w:ascii="Times New Roman;sans-serif" w:hAnsi="Times New Roman;sans-serif"/>
          <w:b w:val="false"/>
          <w:i/>
          <w:color w:val="000000"/>
          <w:sz w:val="20"/>
          <w:u w:val="single"/>
        </w:rPr>
        <w:t>Diversity, Inclusion, and Belonging.</w:t>
      </w:r>
      <w:r>
        <w:rPr>
          <w:color w:val="000000"/>
        </w:rPr>
        <w:t xml:space="preserve"> </w:t>
      </w:r>
      <w:r>
        <w:rPr>
          <w:rFonts w:ascii="Times New Roman;sans-serif" w:hAnsi="Times New Roman;sans-serif"/>
          <w:b w:val="false"/>
          <w:color w:val="000000"/>
          <w:sz w:val="20"/>
        </w:rPr>
        <w:t xml:space="preserve">We believe in an inclusive workforce, where people of diverse backgrounds are represented, engaged and empowered to inspire innovative ideas and decisions. In the United States, women comprise 59% of our employees, including more than half of our executive leadership team and 41% at the Vice President level and above, as of December 31, 2022. Three of our nine directors were women, as of December 31, 2022. Additionally, as of December 31, 2022, 50% of our U.S. employees were non-White. We strive to further advance diversity among our employees, executives, and our Board of Directors and believe that the resulting range of employee ideas, experiences and perspectives strengthens our company. In 2022, we sponsored employees in the launch of our first Employee Resource Group, Veracyte Women’s Leadership (VWL). We will continue to promote diversity, inclusion, equity, and belonging through our culture work and individual initiatives to support and empower all employees.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9"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before="0" w:after="240"/>
        <w:jc w:val="center"/>
        <w:rPr/>
      </w:pPr>
      <w:r>
        <w:rPr/>
        <w:drawing>
          <wp:inline distT="0" distB="63500" distL="0" distR="0">
            <wp:extent cx="6515100" cy="3286125"/>
            <wp:effectExtent l="0" t="0" r="0" b="0"/>
            <wp:docPr id="3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7" descr=""/>
                    <pic:cNvPicPr>
                      <a:picLocks noChangeAspect="1" noChangeArrowheads="1"/>
                    </pic:cNvPicPr>
                  </pic:nvPicPr>
                  <pic:blipFill>
                    <a:blip r:embed="rId8"/>
                    <a:stretch>
                      <a:fillRect/>
                    </a:stretch>
                  </pic:blipFill>
                  <pic:spPr bwMode="auto">
                    <a:xfrm>
                      <a:off x="0" y="0"/>
                      <a:ext cx="6515100" cy="3286125"/>
                    </a:xfrm>
                    <a:prstGeom prst="rect">
                      <a:avLst/>
                    </a:prstGeom>
                  </pic:spPr>
                </pic:pic>
              </a:graphicData>
            </a:graphic>
          </wp:inline>
        </w:drawing>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pride ourselves on our strong culture, which encourages innovation, collaboration, and mutual respect. We were named a Bay Area “Top Workplace” by the Bay Area News Group in 2022, marking the ninth consecutive year we received this distinction. This award is based solely on employee feedback gathered through an anonymous, third-party survey. At the beginning of 2022, we sent a culture survey to all employees globally as part of a company-wide initiative to activate our culture in support of our overall corporate strategy. The survey had a response rate of 79% and provided valuable insights into ways to bolster our talent programs and identify areas for improvement. Importantly, the results also informed and helped us define a new set of core values across the company: Patients; Innovation; Results; Collaboration; and Compassion. Individual members of our leadership team have volunteered to sponsor each aspirational value to ensure the values are embedded into our culture.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supporting our employees’ long-term success by investing in training programs and educational opportunities to help foster personal and professional growth. We have implemented general and job-specific training programs so that employees can gain the necessary qualifications for their position and can continue to develop and grow within the company. In France, we work closely with the democratically elected employee works council to support effective communication and collaboration.</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Board of Directors Evaluations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an annual self-evaluation process for our Board of Directors and its committees. As part of this process, each member of our Board of Directors individually completes a detailed survey prepared by outside counsel to discuss their assessment of the performance of the Board of Directors and its committees, their own performance, and the performance of fellow members of the Board of Directors. The feedback received is then shared with the nominating and corporate governance committee, and then presented to and discussed with the full Board of Directors. </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evaluation process is used:</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highlight w:val="white"/>
        </w:rPr>
        <w:t>by our Board of Directors and nominating and corporate governance committee to assess the current composition of our Board of Directors and its committees and make recommendations for the qualifications, expertise, and characteristics we should seek in identifying potential new directors;</w:t>
      </w:r>
    </w:p>
    <w:p>
      <w:pPr>
        <w:pStyle w:val="TextBody"/>
        <w:spacing w:lineRule="auto" w:line="288" w:before="60" w:after="60"/>
        <w:ind w:left="0" w:right="0" w:hanging="360"/>
        <w:jc w:val="both"/>
        <w:rPr/>
      </w:pPr>
      <w:r>
        <w:rPr>
          <w:color w:val="000000"/>
          <w:highlight w:val="white"/>
        </w:rPr>
        <w:t>•</w:t>
      </w:r>
      <w:r>
        <w:rPr>
          <w:rFonts w:ascii="Times New Roman;sans-serif" w:hAnsi="Times New Roman;sans-serif"/>
          <w:b w:val="false"/>
          <w:color w:val="000000"/>
          <w:sz w:val="20"/>
          <w:highlight w:val="white"/>
        </w:rPr>
        <w:t>by our Board of Directors and nominating and corporate governance committee to identify the strengths and areas of opportunity of each member of our Board of Directors and to provide insight into how the contributions of each member of our Board of Directors can be most valuable;</w:t>
      </w:r>
    </w:p>
    <w:p>
      <w:pPr>
        <w:pStyle w:val="TextBody"/>
        <w:spacing w:lineRule="auto" w:line="288" w:before="60" w:after="60"/>
        <w:ind w:left="0" w:right="0" w:hanging="360"/>
        <w:jc w:val="both"/>
        <w:rPr/>
      </w:pPr>
      <w:r>
        <w:rPr>
          <w:color w:val="000000"/>
          <w:highlight w:val="white"/>
        </w:rPr>
        <w:t>•</w:t>
      </w:r>
      <w:r>
        <w:rPr>
          <w:rFonts w:ascii="Times New Roman;sans-serif" w:hAnsi="Times New Roman;sans-serif"/>
          <w:b w:val="false"/>
          <w:color w:val="000000"/>
          <w:sz w:val="20"/>
          <w:highlight w:val="white"/>
        </w:rPr>
        <w:t>to improve the quality of discussion and materials presented to the Board of Directors and its committees so that information they receive enables them to function most effectively and to address the issues they consider most critical; and</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1"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60" w:after="60"/>
        <w:ind w:left="0" w:right="0" w:hanging="360"/>
        <w:jc w:val="both"/>
        <w:rPr/>
      </w:pPr>
      <w:r>
        <w:rPr>
          <w:color w:val="000000"/>
          <w:highlight w:val="white"/>
        </w:rPr>
        <w:t>•</w:t>
      </w:r>
      <w:r>
        <w:rPr>
          <w:rFonts w:ascii="Times New Roman;sans-serif" w:hAnsi="Times New Roman;sans-serif"/>
          <w:b w:val="false"/>
          <w:color w:val="000000"/>
          <w:sz w:val="20"/>
          <w:highlight w:val="white"/>
        </w:rPr>
        <w:t>by our nominating and corporate governance committee as part of its annual review of each director’s performance when considering whether to nominate the director for re-election to the Board of Directors.</w:t>
      </w:r>
    </w:p>
    <w:p>
      <w:pPr>
        <w:pStyle w:val="TextBody"/>
        <w:spacing w:before="0" w:after="240"/>
        <w:ind w:left="0" w:right="0" w:firstLine="720"/>
        <w:jc w:val="both"/>
        <w:rPr/>
      </w:pPr>
      <w:r>
        <w:rPr/>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Communications with the Board of Directors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 wish to communicate with the Board of Directors, you may send your communication in writing to: Secretary, Veracyte, Inc., 6000 Shoreline Court, Suite 300, South San Francisco, California 94080. You must include your name and address in the written communication and indicate whether you are our stockholder. The Secretary will review any communications received from a stockholder and all material communications from stockholders will be forwarded to the appropriate director or directors or committee of the board based on the subject matter.</w:t>
      </w:r>
    </w:p>
    <w:p>
      <w:pPr>
        <w:pStyle w:val="TextBody"/>
        <w:spacing w:lineRule="auto" w:line="417" w:before="0" w:after="240"/>
        <w:jc w:val="both"/>
        <w:rPr>
          <w:rFonts w:ascii="Times New Roman;sans-serif" w:hAnsi="Times New Roman;sans-serif"/>
          <w:b/>
          <w:i/>
          <w:color w:val="000000"/>
          <w:sz w:val="20"/>
        </w:rPr>
      </w:pPr>
      <w:r>
        <w:rPr>
          <w:rFonts w:ascii="Times New Roman;sans-serif" w:hAnsi="Times New Roman;sans-serif"/>
          <w:b/>
          <w:i/>
          <w:color w:val="000000"/>
          <w:sz w:val="20"/>
        </w:rPr>
        <w:t>Code of Business Conduct and Ethics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that applies to all of our officers and employees. The Code of Business Conduct and Ethics sets forth the basic principles that guide the business conduct of our employees. We have also adopted a Senior Financial Officers’ Code of Ethics that specifically applies to our Chief Executive Officer, our Chief Financial Officer and key management employees. Stockholders may request a free copy of our Code of Business Conduct and Ethics and our Senior Financial Officers’ Code of Ethics by contacting Veracyte, Inc., Attention: Chief Financial Officer, 6000 Shoreline Court, Suite 300, South San Francisco, California 94080.</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maintain a whistleblower and compliance hotline where employees or partners may confidentially and anonymously report any concerns about potential misconduct. We launched a Compliance and Business Ethics page on our veracyte.com website in 2022 to allow for ease of reporting through our hotline.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date, there have been no waivers under our Code of Business Conduct and Ethics or Senior Financial Officers’ Code of Ethics. We intend to disclose future amendments to certain provisions of our Code of Business Conduct and Ethics or Senior Financial Officers’ Code of Ethics or waivers of such Codes granted to executive officers and directors on our website at http://www.veracyte.com within four business days following the date of such amendment or waiver.</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global expansion, beginning in 2021 we required all employees to complete Foreign Corrupt Practices Act training through an online platform and relaunched our Anti-Corruption Policy in 2022.</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2"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2022 Director Compensation</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2022, our Compensation Committee engaged Aon’s Human Capital Solutions practice, a division of Aon plc (“Aon”) (formerly known as Radford), an independent compensation consultant, to provide an analysis of non-employee director compensation, including an analysis of compensation paid to non-employee directors by companies in our peer group (as described in “Compensation Discussion and Analysis - 2022 Peer Group”), and an assessment of both the equity compensation and an evaluation of the type of equity instruments being awarded. The following table sets forth cash amounts and the value of equity compensation awarded to, earned by, or paid to our non-employee directors for their service in 2022. Mr. Stapley and Ms. Anderson are not included in the table below as neither received compensation for service as a director in 2022. The compensation received by Mr. Stapley as employees is shown in the “Executive Compensation—Summary Compensation Table” below.</w:t>
      </w:r>
    </w:p>
    <w:p>
      <w:pPr>
        <w:pStyle w:val="TextBody"/>
        <w:spacing w:before="0" w:after="0"/>
        <w:ind w:left="0" w:right="0" w:firstLine="720"/>
        <w:rPr/>
      </w:pPr>
      <w:r>
        <w:rPr/>
      </w:r>
    </w:p>
    <w:tbl>
      <w:tblPr>
        <w:tblW w:w="10205" w:type="dxa"/>
        <w:jc w:val="center"/>
        <w:tblInd w:w="0" w:type="dxa"/>
        <w:tblCellMar>
          <w:top w:w="28" w:type="dxa"/>
          <w:left w:w="28" w:type="dxa"/>
          <w:bottom w:w="28" w:type="dxa"/>
          <w:right w:w="28" w:type="dxa"/>
        </w:tblCellMar>
      </w:tblPr>
      <w:tblGrid>
        <w:gridCol w:w="296"/>
        <w:gridCol w:w="208"/>
        <w:gridCol w:w="132"/>
        <w:gridCol w:w="895"/>
        <w:gridCol w:w="474"/>
        <w:gridCol w:w="474"/>
        <w:gridCol w:w="1142"/>
        <w:gridCol w:w="840"/>
        <w:gridCol w:w="843"/>
        <w:gridCol w:w="982"/>
        <w:gridCol w:w="845"/>
        <w:gridCol w:w="770"/>
        <w:gridCol w:w="829"/>
        <w:gridCol w:w="829"/>
        <w:gridCol w:w="646"/>
      </w:tblGrid>
      <w:tr>
        <w:trPr/>
        <w:tc>
          <w:tcPr>
            <w:tcW w:w="29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r>
      <w:tr>
        <w:trPr/>
        <w:tc>
          <w:tcPr>
            <w:tcW w:w="2479"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282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Fees Earned</w:t>
            </w:r>
          </w:p>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or Paid in Cash ($)</w:t>
            </w:r>
          </w:p>
        </w:tc>
        <w:tc>
          <w:tcPr>
            <w:tcW w:w="2597"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Stock</w:t>
            </w:r>
          </w:p>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Awards ($)(1)(2)</w:t>
            </w:r>
          </w:p>
        </w:tc>
        <w:tc>
          <w:tcPr>
            <w:tcW w:w="2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2479"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Eliav Barr (3)</w:t>
            </w:r>
          </w:p>
        </w:tc>
        <w:tc>
          <w:tcPr>
            <w:tcW w:w="198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18,748 </w:t>
            </w:r>
          </w:p>
        </w:tc>
        <w:tc>
          <w:tcPr>
            <w:tcW w:w="8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499,998 </w:t>
            </w:r>
          </w:p>
        </w:tc>
        <w:tc>
          <w:tcPr>
            <w:tcW w:w="77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518,746 </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Muna Bhanji</w:t>
            </w:r>
          </w:p>
        </w:tc>
        <w:tc>
          <w:tcPr>
            <w:tcW w:w="1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8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249,985 </w:t>
            </w:r>
          </w:p>
        </w:tc>
        <w:tc>
          <w:tcPr>
            <w:tcW w:w="7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299,985 </w:t>
            </w:r>
          </w:p>
        </w:tc>
        <w:tc>
          <w:tcPr>
            <w:tcW w:w="6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John L. Bishop</w:t>
            </w:r>
          </w:p>
        </w:tc>
        <w:tc>
          <w:tcPr>
            <w:tcW w:w="1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8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249,985 </w:t>
            </w:r>
          </w:p>
        </w:tc>
        <w:tc>
          <w:tcPr>
            <w:tcW w:w="7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314,985 </w:t>
            </w:r>
          </w:p>
        </w:tc>
        <w:tc>
          <w:tcPr>
            <w:tcW w:w="6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Karin Eastham</w:t>
            </w:r>
          </w:p>
        </w:tc>
        <w:tc>
          <w:tcPr>
            <w:tcW w:w="1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8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249,985 </w:t>
            </w:r>
          </w:p>
        </w:tc>
        <w:tc>
          <w:tcPr>
            <w:tcW w:w="7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314,985 </w:t>
            </w:r>
          </w:p>
        </w:tc>
        <w:tc>
          <w:tcPr>
            <w:tcW w:w="6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Robert S. Epstein</w:t>
            </w:r>
          </w:p>
        </w:tc>
        <w:tc>
          <w:tcPr>
            <w:tcW w:w="1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57,500 </w:t>
            </w:r>
          </w:p>
        </w:tc>
        <w:tc>
          <w:tcPr>
            <w:tcW w:w="8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249,985 </w:t>
            </w:r>
          </w:p>
        </w:tc>
        <w:tc>
          <w:tcPr>
            <w:tcW w:w="7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307,485 </w:t>
            </w:r>
          </w:p>
        </w:tc>
        <w:tc>
          <w:tcPr>
            <w:tcW w:w="6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Kevin K. Gordon (4)</w:t>
            </w:r>
          </w:p>
        </w:tc>
        <w:tc>
          <w:tcPr>
            <w:tcW w:w="1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29,792 </w:t>
            </w:r>
          </w:p>
        </w:tc>
        <w:tc>
          <w:tcPr>
            <w:tcW w:w="8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29,792 </w:t>
            </w:r>
          </w:p>
        </w:tc>
        <w:tc>
          <w:tcPr>
            <w:tcW w:w="6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Jens Holstein</w:t>
            </w:r>
          </w:p>
        </w:tc>
        <w:tc>
          <w:tcPr>
            <w:tcW w:w="1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68,385 </w:t>
            </w:r>
          </w:p>
        </w:tc>
        <w:tc>
          <w:tcPr>
            <w:tcW w:w="8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249,985 </w:t>
            </w:r>
          </w:p>
        </w:tc>
        <w:tc>
          <w:tcPr>
            <w:tcW w:w="7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318,370 </w:t>
            </w:r>
          </w:p>
        </w:tc>
        <w:tc>
          <w:tcPr>
            <w:tcW w:w="6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Evan Jones</w:t>
            </w:r>
          </w:p>
        </w:tc>
        <w:tc>
          <w:tcPr>
            <w:tcW w:w="1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8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249,985 </w:t>
            </w:r>
          </w:p>
        </w:tc>
        <w:tc>
          <w:tcPr>
            <w:tcW w:w="7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314,985 </w:t>
            </w:r>
          </w:p>
        </w:tc>
        <w:tc>
          <w:tcPr>
            <w:tcW w:w="6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69" w:type="dxa"/>
            <w:gridSpan w:val="12"/>
            <w:tcBorders/>
            <w:shd w:fill="auto" w:val="clear"/>
            <w:tcMar>
              <w:top w:w="0" w:type="dxa"/>
              <w:left w:w="0" w:type="dxa"/>
              <w:bottom w:w="0" w:type="dxa"/>
              <w:right w:w="0" w:type="dxa"/>
            </w:tcMar>
            <w:vAlign w:val="center"/>
          </w:tcPr>
          <w:p>
            <w:pPr>
              <w:pStyle w:val="TableContents"/>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Amounts represent the aggregate fair value of the awards computed as of the grant date of each award in accordance with Financial Accounting Standards Board Accounting Standards Codification Topic 718 (“ASC 718”) for financial reporting purposes, rather than amounts paid to or realized by the named individual. Our assumptions with respect to the calculation of these values are set forth in the Notes to Financial Statements in our Annual Report on Form 10-K for the year ended December 31, 2022. There can be no assurance that stock awards will settle (in which case no value will be realized by the individual) or that the value on settlement will approximate the fair value as computed in accordance with ASC 718.</w:t>
            </w:r>
          </w:p>
        </w:tc>
      </w:tr>
      <w:tr>
        <w:trPr/>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69" w:type="dxa"/>
            <w:gridSpan w:val="12"/>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the number of shares of common stock subject to outstanding options or stock awards held by non-employee directors at December 31, 2022:</w:t>
            </w:r>
          </w:p>
        </w:tc>
      </w:tr>
      <w:tr>
        <w:trPr/>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9"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2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2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Eliav Barr</w:t>
            </w:r>
          </w:p>
        </w:tc>
        <w:tc>
          <w:tcPr>
            <w:tcW w:w="198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20,721 </w:t>
            </w:r>
          </w:p>
        </w:tc>
        <w:tc>
          <w:tcPr>
            <w:tcW w:w="8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Muna Bhanji</w:t>
            </w:r>
          </w:p>
        </w:tc>
        <w:tc>
          <w:tcPr>
            <w:tcW w:w="1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22,425 </w:t>
            </w:r>
          </w:p>
        </w:tc>
        <w:tc>
          <w:tcPr>
            <w:tcW w:w="8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L. Bishop</w:t>
            </w:r>
          </w:p>
        </w:tc>
        <w:tc>
          <w:tcPr>
            <w:tcW w:w="1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99,731 </w:t>
            </w:r>
          </w:p>
        </w:tc>
        <w:tc>
          <w:tcPr>
            <w:tcW w:w="8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Karin Eastham</w:t>
            </w:r>
          </w:p>
        </w:tc>
        <w:tc>
          <w:tcPr>
            <w:tcW w:w="1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113,481 </w:t>
            </w:r>
          </w:p>
        </w:tc>
        <w:tc>
          <w:tcPr>
            <w:tcW w:w="8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S. Epstein</w:t>
            </w:r>
          </w:p>
        </w:tc>
        <w:tc>
          <w:tcPr>
            <w:tcW w:w="1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89,731 </w:t>
            </w:r>
          </w:p>
        </w:tc>
        <w:tc>
          <w:tcPr>
            <w:tcW w:w="8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K. Gordon</w:t>
            </w:r>
          </w:p>
        </w:tc>
        <w:tc>
          <w:tcPr>
            <w:tcW w:w="1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8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Jens Holstein</w:t>
            </w:r>
          </w:p>
        </w:tc>
        <w:tc>
          <w:tcPr>
            <w:tcW w:w="1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49,731 </w:t>
            </w:r>
          </w:p>
        </w:tc>
        <w:tc>
          <w:tcPr>
            <w:tcW w:w="8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Evan Jones</w:t>
            </w:r>
          </w:p>
        </w:tc>
        <w:tc>
          <w:tcPr>
            <w:tcW w:w="1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84,731 </w:t>
            </w:r>
          </w:p>
        </w:tc>
        <w:tc>
          <w:tcPr>
            <w:tcW w:w="8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569" w:type="dxa"/>
            <w:gridSpan w:val="12"/>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Dr. Barr was appointed to our Board of Directors on August 9, 2022. </w:t>
            </w:r>
          </w:p>
        </w:tc>
      </w:tr>
      <w:tr>
        <w:trPr/>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569" w:type="dxa"/>
            <w:gridSpan w:val="12"/>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Mr. Gordon’s term on our Board</w:t>
            </w:r>
            <w:r>
              <w:rPr>
                <w:color w:val="000000"/>
              </w:rPr>
              <w:t xml:space="preserve"> </w:t>
            </w:r>
            <w:r>
              <w:rPr>
                <w:rFonts w:ascii="Times New Roman;sans-serif" w:hAnsi="Times New Roman;sans-serif"/>
                <w:b w:val="false"/>
                <w:color w:val="000000"/>
                <w:sz w:val="20"/>
              </w:rPr>
              <w:t>of Directors expired at the 2022 Annual Meeting of Stockholders on June 15, 2022.</w:t>
            </w:r>
          </w:p>
        </w:tc>
      </w:tr>
      <w:tr>
        <w:trPr/>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9"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Directors who are employees do not receive any fees or equity awards for their service on the Board of Directors or any committee. In February 2022, our compensation committee and Board of Directors reviewed our then-current non-</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3"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 director compensation program and competitive market data on the same, determined to retain the cash retainer without change from 2021 and to decrease the equity awards from 2021, as detailed below. </w:t>
      </w:r>
    </w:p>
    <w:p>
      <w:pPr>
        <w:pStyle w:val="TextBody"/>
        <w:spacing w:lineRule="auto" w:line="264"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Cash Retainers</w:t>
      </w:r>
    </w:p>
    <w:p>
      <w:pPr>
        <w:pStyle w:val="TextBody"/>
        <w:spacing w:lineRule="auto" w:line="264" w:before="0" w:after="120"/>
        <w:ind w:left="0" w:right="0" w:hanging="360"/>
        <w:rPr/>
      </w:pPr>
      <w:r>
        <w:rPr>
          <w:color w:val="000000"/>
        </w:rPr>
        <w:t>•</w:t>
      </w:r>
      <w:r>
        <w:rPr>
          <w:rFonts w:ascii="Times New Roman;sans-serif" w:hAnsi="Times New Roman;sans-serif"/>
          <w:b w:val="false"/>
          <w:color w:val="000000"/>
          <w:sz w:val="20"/>
        </w:rPr>
        <w:t>$40,000 annual cash retainer for service on our Board of Directors;</w:t>
      </w:r>
    </w:p>
    <w:p>
      <w:pPr>
        <w:pStyle w:val="TextBody"/>
        <w:spacing w:lineRule="auto" w:line="264" w:before="0" w:after="120"/>
        <w:ind w:left="0" w:right="0" w:hanging="360"/>
        <w:rPr/>
      </w:pPr>
      <w:r>
        <w:rPr>
          <w:color w:val="000000"/>
        </w:rPr>
        <w:t>•</w:t>
      </w:r>
      <w:r>
        <w:rPr>
          <w:rFonts w:ascii="Times New Roman;sans-serif" w:hAnsi="Times New Roman;sans-serif"/>
          <w:b w:val="false"/>
          <w:color w:val="000000"/>
          <w:sz w:val="20"/>
        </w:rPr>
        <w:t>$20,000 annual cash retainer for the chair of our audit committee and $10,000 for each of its other members;</w:t>
      </w:r>
    </w:p>
    <w:p>
      <w:pPr>
        <w:pStyle w:val="TextBody"/>
        <w:spacing w:lineRule="auto" w:line="264" w:before="0" w:after="120"/>
        <w:ind w:left="0" w:right="0" w:hanging="360"/>
        <w:rPr/>
      </w:pPr>
      <w:r>
        <w:rPr>
          <w:color w:val="000000"/>
        </w:rPr>
        <w:t>•</w:t>
      </w:r>
      <w:r>
        <w:rPr>
          <w:rFonts w:ascii="Times New Roman;sans-serif" w:hAnsi="Times New Roman;sans-serif"/>
          <w:b w:val="false"/>
          <w:color w:val="000000"/>
          <w:sz w:val="20"/>
        </w:rPr>
        <w:t>$15,000 annual cash retainer for the chair of our compensation committee and $7,500 for each of its other members;</w:t>
      </w:r>
    </w:p>
    <w:p>
      <w:pPr>
        <w:pStyle w:val="TextBody"/>
        <w:spacing w:lineRule="auto" w:line="264" w:before="0" w:after="120"/>
        <w:ind w:left="0" w:right="0" w:hanging="360"/>
        <w:rPr/>
      </w:pPr>
      <w:r>
        <w:rPr>
          <w:color w:val="000000"/>
        </w:rPr>
        <w:t>•</w:t>
      </w:r>
      <w:r>
        <w:rPr>
          <w:rFonts w:ascii="Times New Roman;sans-serif" w:hAnsi="Times New Roman;sans-serif"/>
          <w:b w:val="false"/>
          <w:color w:val="000000"/>
          <w:sz w:val="20"/>
        </w:rPr>
        <w:t>$10,000 annual cash retainer for the chair of our nominating and corporate governance committee and $5,000 for each of its other members;</w:t>
      </w:r>
    </w:p>
    <w:p>
      <w:pPr>
        <w:pStyle w:val="TextBody"/>
        <w:spacing w:lineRule="auto" w:line="264" w:before="0" w:after="120"/>
        <w:ind w:left="0" w:right="0" w:hanging="360"/>
        <w:rPr/>
      </w:pPr>
      <w:r>
        <w:rPr>
          <w:color w:val="000000"/>
        </w:rPr>
        <w:t>•</w:t>
      </w:r>
      <w:r>
        <w:rPr>
          <w:rFonts w:ascii="Times New Roman;sans-serif" w:hAnsi="Times New Roman;sans-serif"/>
          <w:b w:val="false"/>
          <w:color w:val="000000"/>
          <w:sz w:val="20"/>
        </w:rPr>
        <w:t>$10,000 annual cash retainer for the chair of our regulatory and compliance committee and $5,000 for each of its other members; and</w:t>
      </w:r>
    </w:p>
    <w:p>
      <w:pPr>
        <w:pStyle w:val="TextBody"/>
        <w:spacing w:lineRule="auto" w:line="264" w:before="0" w:after="120"/>
        <w:ind w:left="0" w:right="0" w:hanging="360"/>
        <w:rPr/>
      </w:pPr>
      <w:r>
        <w:rPr>
          <w:color w:val="000000"/>
        </w:rPr>
        <w:t>•</w:t>
      </w:r>
      <w:r>
        <w:rPr>
          <w:rFonts w:ascii="Times New Roman;sans-serif" w:hAnsi="Times New Roman;sans-serif"/>
          <w:b w:val="false"/>
          <w:color w:val="000000"/>
          <w:sz w:val="20"/>
        </w:rPr>
        <w:t>$25,000 additional annual cash retainer for the lead independent director (as needed).</w:t>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annual cash retainers are payable quarterly in arrears and are pro-rated for partial service in any year. We also reimburse our non-employee directors for their reasonable out-of-pocket costs and travel expenses in connection with their attendance at Board of Directors and committee meetings in accordance with our travel policy. </w:t>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our compensation committee and Board of Directors reviewed our then-current non-employee director compensation program and competitive market data on the same, determined to retain the cash retainer without change from 2022 (as detailed above) other than to provide that the chair of the Board of Directors will receive an annual cash retainer of $80,000 in lieu of the $40,000 annual cash retainer for general service on the Board of Directors and also determined to retain the equity awards without change from 2022 (as detailed below).</w:t>
      </w:r>
    </w:p>
    <w:p>
      <w:pPr>
        <w:pStyle w:val="TextBody"/>
        <w:spacing w:lineRule="auto" w:line="264"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Equity Awards</w:t>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program for non-employee directors provides for the grant of restricted stock units (“RSUs”) to our non-employee directors, as described below. Our compensation policy for non-employee directors currently provides that any non-employee director who first joins our Board of Directors is automatically granted RSUs valued on the grant date at $500,000 (decreased from $600,000 in 2021) (the “Initial RSUs”). The Initial RSUs will vest as to one-third of those shares on each of the first, second and third annual anniversaries of the date of grant. In addition, on the first business day after each annual meeting of stockholders, each non-employee director who continues to serve on our Board of Directors and who has served as a director for at least six months will be automatically granted RSUs valued on the grant date at $250,000 (decreased from $300,000 in 2021) (the “Annual RSUs”). The Annual RSUs will vest in full on the first anniversary of the date of grant or, if earlier, the date of the next annual meeting of stockholders. These grants and their terms are set forth in our 2013 Stock Incentive Plan. The vesting of the options and RSUs described above will accelerate in full upon a “change in control” as defined in our 2013 Stock Incentive Plan. Pursuant to the terms of the 2013 Stock Incentive Plan, no non-employee director may receive equity awards under our 2013 Stock Incentive Plan that, when combined with cash compensation received for service as a non-employee director, exceeds $750,000 in value in any calendar year, which amount shall instead be $1,500,000 in value in the calendar year in which such director first joins our Board of Directors.</w:t>
      </w:r>
    </w:p>
    <w:p>
      <w:pPr>
        <w:pStyle w:val="TextBody"/>
        <w:spacing w:before="0" w:after="20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PROPOSAL NO. 2</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RATIFICATION OF APPOINTMENT OF INDEPENDENT REGISTERED PUBLIC ACCOUNTING FIRM</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has appointed Ernst &amp; Young LLP as our independent registered public accounting firm for 2023. Ernst &amp; Young LLP has audited our financial statements since 2014. Representatives of Ernst &amp; Young LLP are expected to be present at the Annual Meeting. They will have an opportunity to make a statement, if they desire to do so, and will be available to respond to appropriate questions.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4"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Independent Registered Public Accounting Firm Fees and Services</w:t>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fees billed for professional audit services and other services rendered to us by Ernst &amp; Young LLP for 2022 and 2021.</w:t>
      </w:r>
    </w:p>
    <w:tbl>
      <w:tblPr>
        <w:tblW w:w="4466" w:type="dxa"/>
        <w:jc w:val="center"/>
        <w:tblInd w:w="0" w:type="dxa"/>
        <w:tblCellMar>
          <w:top w:w="28" w:type="dxa"/>
          <w:left w:w="28" w:type="dxa"/>
          <w:bottom w:w="28" w:type="dxa"/>
          <w:right w:w="28" w:type="dxa"/>
        </w:tblCellMar>
      </w:tblPr>
      <w:tblGrid>
        <w:gridCol w:w="339"/>
        <w:gridCol w:w="298"/>
        <w:gridCol w:w="298"/>
        <w:gridCol w:w="298"/>
        <w:gridCol w:w="298"/>
        <w:gridCol w:w="298"/>
        <w:gridCol w:w="211"/>
        <w:gridCol w:w="976"/>
        <w:gridCol w:w="109"/>
        <w:gridCol w:w="211"/>
        <w:gridCol w:w="976"/>
        <w:gridCol w:w="154"/>
      </w:tblGrid>
      <w:tr>
        <w:trPr/>
        <w:tc>
          <w:tcPr>
            <w:tcW w:w="33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7" w:type="dxa"/>
            <w:gridSpan w:val="6"/>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Year Ended</w:t>
            </w:r>
          </w:p>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82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Fees(1)</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2,206,118 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2,437,913 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Audit-related Fees(2)</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Fees(3)</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Fees(4)</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2,207,763 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2,654,498 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Audit fees include fees and out-of-pocket expenses, whether or not yet invoiced, for professional services provided in connection with the audit of our annual financial statements and review of our quarterly financial statements.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Audit-related fees include fees for consultations on accounting and reporting matters for acquisitions.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Tax fees consist of tax consulting services.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Other fees consist of consultations not related to audit or tax fess and access to an online accounting literature database.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Pre-approval Policies and Procedures</w:t>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committee's policy is to pre-approve all audit and permissible non-audit services provided by our independent registered public accounting firm. All of the services provided were pre-approved to the extent required. During the approval process, the audit committee considers the impact of the types of services and the related fees on the independence of the independent registered public accounting firm. The services and fees must be deemed compatible with the maintenance of that firm’s independence, including compliance with rules and regulations of the SEC. Throughout the year, the audit committee will review any revisions to the estimates of audit and non-audit fees initially approved.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Required Vote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Ratification will require the vote of a majority of the shares present and entitled to vote at the Annual Meeting. Stockholder ratification of the selection of Ernst &amp; Young LLP as our independent registered public accounting firm is not required by our amended and restated bylaws or otherwise. However, the Board of Directors is submitting the selection of Ernst &amp; Young LLP to the stockholders for ratification as a matter of corporate practice. If the stockholders fail to ratify the selection, the audit committee will reconsider whether or not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interests of our company and our stockholders.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The Board of Directors Recommends a Vote “FOR” Ratification of Ernst &amp; Young LLP as our Independent Registered Public Accounting Firm.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NO. 3</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ADVISORY VOTE ON THE COMPENSATION OF OUR NAMED EXECUTIVE OFFICERS</w:t>
      </w:r>
    </w:p>
    <w:p>
      <w:pPr>
        <w:pStyle w:val="TextBody"/>
        <w:spacing w:before="0" w:after="0"/>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rules of the SEC, we are providing stockholders with an opportunity to make a non-binding, advisory vote on the compensation of our named executive officers. This non-binding advisory vote is commonly referred to as a “say on pay” vote. The non-binding advisory vote on the compensation of our named executive officers, as disclosed in this Proxy Statement, will be determined by the vote of a majority of the shares present at the Annual Meeting or voting by proxy and entitled to vote. Abstentions have the same effect as votes “AGAINST” this proposal.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5"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are urged to read the “Executive Compensation” section of this Proxy Statement, which discusses how our executive compensation policies and procedures implement our compensation philosophy and contains tabular information and narrative discussion about the compensation of our named executive officers. The compensation committee and the Board of Directors believe that these policies and procedures are effective in implementing our compensation philosophy and in achieving our goals. Accordingly, we ask our stockholders to vote “FOR” the following resolution at the Annual Meeting:</w:t>
      </w:r>
    </w:p>
    <w:p>
      <w:pPr>
        <w:pStyle w:val="TextBody"/>
        <w:spacing w:lineRule="auto" w:line="288" w:before="0" w:after="180"/>
        <w:ind w:left="0" w:right="0" w:firstLine="720"/>
        <w:jc w:val="both"/>
        <w:rPr>
          <w:color w:val="000000"/>
        </w:rPr>
      </w:pPr>
      <w:r>
        <w:rPr>
          <w:color w:val="000000"/>
        </w:rPr>
        <w:t>“</w:t>
      </w:r>
      <w:r>
        <w:rPr>
          <w:rFonts w:ascii="Times New Roman;sans-serif" w:hAnsi="Times New Roman;sans-serif"/>
          <w:b w:val="false"/>
          <w:color w:val="000000"/>
          <w:sz w:val="20"/>
        </w:rPr>
        <w:t>RESOLVED, that our stockholders approve, on a non-binding advisory basis, the compensation of the named executive officers, as disclosed in the Proxy Statement pursuant to Item 402 of Regulation S-K, including the compensation tables and narrative discussion and the other related disclosures.”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an advisory vote, this proposal is not binding. However, our Board of Directors and compensation committee, which is responsible for designing and administering our executive compensation program, value the opinions expressed by stockholders in their vote on this proposal and will consider the outcome of the vote when making future compensation decisions for our named executive officers.</w:t>
      </w:r>
    </w:p>
    <w:p>
      <w:pPr>
        <w:pStyle w:val="TextBody"/>
        <w:spacing w:before="0" w:after="0"/>
        <w:ind w:left="0" w:right="0" w:firstLine="360"/>
        <w:rPr/>
      </w:pPr>
      <w:r>
        <w:rPr/>
      </w: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The Board of Directors Recommends a Vote “FOR” Approval, on a Non-Binding Advisory Basis, of the Compensation of our Named Executive Officers.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NO. 4</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APPROVAL OF THE VERACYTE, INC. 2023 EQUITY INCENTIVE PLAN</w:t>
      </w:r>
    </w:p>
    <w:p>
      <w:pPr>
        <w:pStyle w:val="TextBody"/>
        <w:spacing w:before="240" w:after="283"/>
        <w:jc w:val="center"/>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asking our stockholders to approve our new Veracyte, Inc. 2023 Equity Incentive Plan (the “Plan”). If approved by our stockholders, the Plan will replace our 2013 Stock Incentive Plan (the “Prior Plan”), which was adopted in connection with our initial public offering and expires on October 2, 2023. If the Plan is approved by our stockholders, the Plan will become effective on June 8, 2023, the date of our Annual Meeting.</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stockholders do not approve the Plan, the Prior Plan will continue in its current form and expire on October 2, 2023, after which we will not be able to provide equity incentives to attract and retain talent. </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not requesting an increase to the number of reserved shares available for grant under the Prior Plan as of the date of our Annual Meeting (the “Remaining Prior Plan Pool”). Rather, if this Plan is approved, the Remaining Prior Plan Pool would roll over into the Plan and become available for grant under the Plan. As of March 31, 2023, there were 5,315,328 shares in the Remaining Prior Plan Pool. </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shares subject to awards, including shares subject to awards granted under the Prior Plan that are outstanding on the date of our Annual Meeting, that are cancelled, forfeited, repurchased, expire by their terms without shares being issued or are used to pay the exercise price of an option or stock appreciation right or withheld to satisfy the tax withholding obligations related to any award, will be returned to the pool of shares available for grant and issuance under the Plan.</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Once the Plan becomes effective, no additional shares will be issued under the Prior Plan. Outstanding awards under the Prior Plan will remain outstanding, unchanged and subject to the terms of the Prior Plan and the respective award agreements, until the expiration of such awards in accordance with their terms.</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Equity Compensation Is a Critical Element of Our Compensation Program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 impending expiration of our Prior Plan, approval of the Plan will allow us to continue to provide equity incentives to attract, retain and motivate talented individuals who will help expand our business and achieve our strategic objectives, to the benefit of all of our stockholders and in the best interest of the Company.</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future success and our ability to remain competitive are dependent on our ability to attract, retain and motivate highly qualified talent. Competition for talent in our industry is intense. The use of equity compensation, including the grant of options, restricted stock units and certain performance-based restricted stock units, has historically been a significant part of our overall compensation philosophy and a cornerstone of our method for attracting and retaining top caliber employees. Allowing employees to acquire or increase their ownership stake in us aligns their interests with those of our stockholders, creating strong incentives for our employees to work hard for our future growth and success.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6"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broad-based equity incentive program focuses our employees who receive grants on achieving strong corporate performance, and we have embedded in our culture the necessity for employees to think and act as stockholders. We currently grant RSUs to the majority of our newly hired employees, RSUs and stock options to our executives and RSUs to our non-employee directors. We also grant performance-based restricted stock units (“PSUs”) to certain of our executives and anticipate continuing to do so in the future. This is an important component of our long-term employee incentive and retention plan and has been very effective in enabling us to attract and retain the talent critical for an innovative and growth-focused company.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Plan is not approved by our stockholders, our Prior Plan will remain in effect only through October 2, 2023. If the Plan is not approved, we will not be able to grant stock options, RSUs or other forms of equity incentives and we would be forced to consider cash replacement alternatives to provide a market-competitive total compensation package necessary to attract, retain and motivate the employee talent critical to our future successes. These cash replacement alternatives could, among other things, reduce the cash available for investment in growth and development and cause a loss of motivation by employees to achieve superior performance over a longer period of time. Accordingly, if the Plan is not approved, we would likely be required to again seek approval from our stockholders for a share increase under the Prior Plan or a new equity incentive plan at a special meeting prior to our 2024 annual meeting of stockholders, which would increase costs and would be a distraction from our management team’s execution of our business goals.</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We Carefully Consider and Forecast Our Need for Shares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requesting approval of the roll-over of the Remaining Prior Plan Pool, which totaled 5,315,328 shares as of March 31, 2023. In addition, any shares subject to awards, including shares subject to awards granted under the Prior Plan that are outstanding on the effective date of the Plan, that are cancelled, forfeited, repurchased, expire by their terms without shares being issued or are used to pay the exercise price of an option or stock appreciation right or withheld to satisfy the tax withholding obligations related to any award will be returned to the pool of shares available for grant and issuance under the Plan.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carefully forecasting our anticipated growth rate for the next few years and considering our historical usage and forfeiture rates, we currently believe that the proposed share reserve under the Plan will be sufficient for us to make anticipated grants of equity incentive awards under our current compensation program for approximately one to two years. However, a change in business conditions, company strategy or equity market performance could alter this projection.</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In evaluating the number of shares initially reserved for grant under the Plan, our Compensation Committee considered a number of factors, including the costs of the share request as well as an analysis of certain burn rate and dilution metrics as summarized below.</w:t>
      </w:r>
      <w:r>
        <w:rPr>
          <w:color w:val="000000"/>
        </w:rPr>
        <w:t xml:space="preserve"> </w:t>
      </w:r>
    </w:p>
    <w:p>
      <w:pPr>
        <w:pStyle w:val="TextBody"/>
        <w:spacing w:before="0" w:after="0"/>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Grant Practices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past three fiscal years, we granted equity awards under our Prior Plan as summarized in the chart below. Our three-year average burn rate was approximately 3.15% for fiscal years 2020 through 2022 (see chart below for a calculation of our three-year burn rate).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“burn rate” as the number of time-based equity awards granted during the year plus performance-based equity awards earned during the year, divided by the weighted average total number of shares of common stock outstanding.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burn rate figures included below are based on equity awards granted under our Prior Plan, and exclude potential dilution resulting from shares issued pursuant to our Amended and Restated Employee Stock Purchase Plan (the “ESPP”). As we continue to mature our compensation practices, we strive to achieve a burn rate and overhang at approximately the average rates of our peer group, and that are within the limits recommended by certain independent stockholder advisory groups.</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7"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03"/>
        <w:gridCol w:w="267"/>
        <w:gridCol w:w="268"/>
        <w:gridCol w:w="907"/>
        <w:gridCol w:w="907"/>
        <w:gridCol w:w="908"/>
        <w:gridCol w:w="677"/>
        <w:gridCol w:w="677"/>
        <w:gridCol w:w="678"/>
        <w:gridCol w:w="1275"/>
        <w:gridCol w:w="1275"/>
        <w:gridCol w:w="1277"/>
        <w:gridCol w:w="227"/>
        <w:gridCol w:w="227"/>
        <w:gridCol w:w="332"/>
      </w:tblGrid>
      <w:tr>
        <w:trPr/>
        <w:tc>
          <w:tcPr>
            <w:tcW w:w="303"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r>
      <w:tr>
        <w:trPr/>
        <w:tc>
          <w:tcPr>
            <w:tcW w:w="838"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4"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w:t>
            </w:r>
          </w:p>
        </w:tc>
        <w:tc>
          <w:tcPr>
            <w:tcW w:w="2722"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4" w:before="0" w:after="283"/>
              <w:jc w:val="center"/>
              <w:rPr>
                <w:rFonts w:ascii="Times New Roman;sans-serif" w:hAnsi="Times New Roman;sans-serif"/>
                <w:b/>
                <w:color w:val="000000"/>
                <w:sz w:val="20"/>
              </w:rPr>
            </w:pPr>
            <w:r>
              <w:rPr>
                <w:rFonts w:ascii="Times New Roman;sans-serif" w:hAnsi="Times New Roman;sans-serif"/>
                <w:b/>
                <w:color w:val="000000"/>
                <w:sz w:val="20"/>
              </w:rPr>
              <w:t>Granted Appreciation Awards (Options and SARs)(1)</w:t>
            </w:r>
          </w:p>
        </w:tc>
        <w:tc>
          <w:tcPr>
            <w:tcW w:w="2032"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4" w:before="0" w:after="283"/>
              <w:jc w:val="center"/>
              <w:rPr>
                <w:rFonts w:ascii="Times New Roman;sans-serif" w:hAnsi="Times New Roman;sans-serif"/>
                <w:b/>
                <w:color w:val="000000"/>
                <w:sz w:val="20"/>
              </w:rPr>
            </w:pPr>
            <w:r>
              <w:rPr>
                <w:rFonts w:ascii="Times New Roman;sans-serif" w:hAnsi="Times New Roman;sans-serif"/>
                <w:b/>
                <w:color w:val="000000"/>
                <w:sz w:val="20"/>
              </w:rPr>
              <w:t>Granted Full-Value Awards (RSUs)(2)</w:t>
            </w:r>
          </w:p>
        </w:tc>
        <w:tc>
          <w:tcPr>
            <w:tcW w:w="3827"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4" w:before="0" w:after="0"/>
              <w:jc w:val="center"/>
              <w:rPr/>
            </w:pPr>
            <w:r>
              <w:rPr>
                <w:rFonts w:ascii="Times New Roman;sans-serif" w:hAnsi="Times New Roman;sans-serif"/>
                <w:b/>
                <w:color w:val="000000"/>
                <w:sz w:val="20"/>
              </w:rPr>
              <w:t>Weighted Common Stock Outstanding as of December 31</w:t>
            </w:r>
            <w:r>
              <w:rPr>
                <w:rFonts w:ascii="Times New Roman;sans-serif" w:hAnsi="Times New Roman;sans-serif"/>
                <w:b/>
                <w:color w:val="000000"/>
                <w:sz w:val="13"/>
              </w:rPr>
              <w:t xml:space="preserve">st </w:t>
            </w:r>
            <w:r>
              <w:rPr>
                <w:rFonts w:ascii="Times New Roman;sans-serif" w:hAnsi="Times New Roman;sans-serif"/>
                <w:b/>
                <w:color w:val="000000"/>
                <w:sz w:val="20"/>
              </w:rPr>
              <w:t>of the applicable year</w:t>
            </w:r>
          </w:p>
        </w:tc>
        <w:tc>
          <w:tcPr>
            <w:tcW w:w="786"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spacing w:lineRule="auto" w:line="264" w:before="0" w:after="283"/>
              <w:jc w:val="center"/>
              <w:rPr>
                <w:rFonts w:ascii="Times New Roman;sans-serif" w:hAnsi="Times New Roman;sans-serif"/>
                <w:b/>
                <w:color w:val="000000"/>
                <w:sz w:val="20"/>
              </w:rPr>
            </w:pPr>
            <w:r>
              <w:rPr>
                <w:rFonts w:ascii="Times New Roman;sans-serif" w:hAnsi="Times New Roman;sans-serif"/>
                <w:b/>
                <w:color w:val="000000"/>
                <w:sz w:val="20"/>
              </w:rPr>
              <w:t>Burn Rate</w:t>
            </w:r>
          </w:p>
        </w:tc>
      </w:tr>
      <w:tr>
        <w:trPr/>
        <w:tc>
          <w:tcPr>
            <w:tcW w:w="83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272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983,900</w:t>
            </w:r>
          </w:p>
        </w:tc>
        <w:tc>
          <w:tcPr>
            <w:tcW w:w="203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451,709</w:t>
            </w:r>
          </w:p>
        </w:tc>
        <w:tc>
          <w:tcPr>
            <w:tcW w:w="382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53,239,231</w:t>
            </w:r>
          </w:p>
        </w:tc>
        <w:tc>
          <w:tcPr>
            <w:tcW w:w="78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w:t>
            </w:r>
          </w:p>
        </w:tc>
      </w:tr>
      <w:tr>
        <w:trPr/>
        <w:tc>
          <w:tcPr>
            <w:tcW w:w="83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272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677,851</w:t>
            </w:r>
          </w:p>
        </w:tc>
        <w:tc>
          <w:tcPr>
            <w:tcW w:w="203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1,168,896</w:t>
            </w:r>
          </w:p>
        </w:tc>
        <w:tc>
          <w:tcPr>
            <w:tcW w:w="382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4"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67,890,328</w:t>
            </w:r>
          </w:p>
        </w:tc>
        <w:tc>
          <w:tcPr>
            <w:tcW w:w="78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w:t>
            </w:r>
          </w:p>
        </w:tc>
      </w:tr>
      <w:tr>
        <w:trPr/>
        <w:tc>
          <w:tcPr>
            <w:tcW w:w="838"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4"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72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4"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1,132,620</w:t>
            </w:r>
          </w:p>
        </w:tc>
        <w:tc>
          <w:tcPr>
            <w:tcW w:w="203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4"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1,746,249</w:t>
            </w:r>
          </w:p>
        </w:tc>
        <w:tc>
          <w:tcPr>
            <w:tcW w:w="3827"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4"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71,549,204</w:t>
            </w:r>
          </w:p>
        </w:tc>
        <w:tc>
          <w:tcPr>
            <w:tcW w:w="786"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4.02%</w:t>
            </w:r>
          </w:p>
        </w:tc>
      </w:tr>
    </w:tbl>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    All Options granted during 2020, 2021 and 2022 included a time-based vesting schedule.</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(2)    Includes both time-based RSUs and PSUs (assuming target-level achievement) granted during 2020, 2021 and 2022.</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Potential Dilution</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w:t>
      </w:r>
    </w:p>
    <w:p>
      <w:pPr>
        <w:pStyle w:val="TextBody"/>
        <w:spacing w:before="0" w:after="0"/>
        <w:rPr/>
      </w:pPr>
      <w:r>
        <w:rPr/>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 xml:space="preserve">There were 72,383,016 total shares of our common stock outstanding. </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The closing market price of our common stock on March 31, 2023 was $22.30.</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The Company’s outstanding stock options have a weighted average per share exercise price of $21.41 and a weighted average remaining contractual term of 6.3 years.</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The following table shows outstanding equity awards granted and outstanding under the Prior Plan and our 2008 Stock Plan, and the number of shares remaining for grant under our Prior Plan, in each case as of March 31, 2023.</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371"/>
        <w:gridCol w:w="324"/>
        <w:gridCol w:w="331"/>
        <w:gridCol w:w="1114"/>
        <w:gridCol w:w="1020"/>
        <w:gridCol w:w="1023"/>
        <w:gridCol w:w="1319"/>
        <w:gridCol w:w="1193"/>
        <w:gridCol w:w="1197"/>
        <w:gridCol w:w="828"/>
        <w:gridCol w:w="613"/>
        <w:gridCol w:w="872"/>
      </w:tblGrid>
      <w:tr>
        <w:trPr/>
        <w:tc>
          <w:tcPr>
            <w:tcW w:w="371"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r>
      <w:tr>
        <w:trPr/>
        <w:tc>
          <w:tcPr>
            <w:tcW w:w="1026" w:type="dxa"/>
            <w:gridSpan w:val="3"/>
            <w:tcBorders>
              <w:top w:val="single" w:sz="8" w:space="0" w:color="C9C9C9"/>
              <w:left w:val="single" w:sz="8" w:space="0" w:color="C9C9C9"/>
            </w:tcBorders>
            <w:shd w:fill="D9D9D9" w:val="clear"/>
            <w:tcMar>
              <w:top w:w="30" w:type="dxa"/>
              <w:bottom w:w="0" w:type="dxa"/>
              <w:right w:w="0" w:type="dxa"/>
            </w:tcMar>
            <w:vAlign w:val="center"/>
          </w:tcPr>
          <w:p>
            <w:pPr>
              <w:pStyle w:val="TableContents"/>
              <w:spacing w:lineRule="auto" w:line="264" w:before="0" w:after="283"/>
              <w:jc w:val="center"/>
              <w:rPr>
                <w:rFonts w:ascii="Times New Roman;sans-serif" w:hAnsi="Times New Roman;sans-serif"/>
                <w:b/>
                <w:color w:val="000000"/>
                <w:sz w:val="20"/>
              </w:rPr>
            </w:pPr>
            <w:r>
              <w:rPr>
                <w:rFonts w:ascii="Times New Roman;sans-serif" w:hAnsi="Times New Roman;sans-serif"/>
                <w:b/>
                <w:color w:val="000000"/>
                <w:sz w:val="20"/>
              </w:rPr>
              <w:t>Plan</w:t>
            </w:r>
          </w:p>
        </w:tc>
        <w:tc>
          <w:tcPr>
            <w:tcW w:w="3157" w:type="dxa"/>
            <w:gridSpan w:val="3"/>
            <w:tcBorders>
              <w:top w:val="single" w:sz="8" w:space="0" w:color="C9C9C9"/>
              <w:left w:val="single" w:sz="8" w:space="0" w:color="C9C9C9"/>
            </w:tcBorders>
            <w:shd w:fill="D9D9D9" w:val="clear"/>
            <w:tcMar>
              <w:top w:w="30" w:type="dxa"/>
              <w:bottom w:w="0" w:type="dxa"/>
              <w:right w:w="0" w:type="dxa"/>
            </w:tcMar>
            <w:vAlign w:val="center"/>
          </w:tcPr>
          <w:p>
            <w:pPr>
              <w:pStyle w:val="TableContents"/>
              <w:spacing w:lineRule="auto" w:line="264"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appreciation awards (options) under all plans</w:t>
            </w:r>
          </w:p>
        </w:tc>
        <w:tc>
          <w:tcPr>
            <w:tcW w:w="3709" w:type="dxa"/>
            <w:gridSpan w:val="3"/>
            <w:tcBorders>
              <w:top w:val="single" w:sz="8" w:space="0" w:color="C9C9C9"/>
              <w:left w:val="single" w:sz="8" w:space="0" w:color="C9C9C9"/>
            </w:tcBorders>
            <w:shd w:fill="D9D9D9" w:val="clear"/>
            <w:tcMar>
              <w:top w:w="30" w:type="dxa"/>
              <w:bottom w:w="0" w:type="dxa"/>
              <w:right w:w="0" w:type="dxa"/>
            </w:tcMar>
            <w:vAlign w:val="center"/>
          </w:tcPr>
          <w:p>
            <w:pPr>
              <w:pStyle w:val="TableContents"/>
              <w:spacing w:lineRule="auto" w:line="264" w:before="0" w:after="283"/>
              <w:jc w:val="center"/>
              <w:rPr>
                <w:rFonts w:ascii="Times New Roman;sans-serif" w:hAnsi="Times New Roman;sans-serif"/>
                <w:b/>
                <w:color w:val="000000"/>
                <w:sz w:val="20"/>
              </w:rPr>
            </w:pPr>
            <w:r>
              <w:rPr>
                <w:rFonts w:ascii="Times New Roman;sans-serif" w:hAnsi="Times New Roman;sans-serif"/>
                <w:b/>
                <w:color w:val="000000"/>
                <w:sz w:val="20"/>
              </w:rPr>
              <w:t>Full value awards outstanding under all plans (including PSUs at target)</w:t>
            </w:r>
          </w:p>
        </w:tc>
        <w:tc>
          <w:tcPr>
            <w:tcW w:w="2313" w:type="dxa"/>
            <w:gridSpan w:val="3"/>
            <w:tcBorders>
              <w:top w:val="single" w:sz="8" w:space="0" w:color="C9C9C9"/>
              <w:left w:val="single" w:sz="8" w:space="0" w:color="C9C9C9"/>
              <w:right w:val="single" w:sz="8" w:space="0" w:color="C9C9C9"/>
            </w:tcBorders>
            <w:shd w:fill="D9D9D9" w:val="clear"/>
            <w:tcMar>
              <w:top w:w="30" w:type="dxa"/>
              <w:bottom w:w="0" w:type="dxa"/>
            </w:tcMar>
            <w:vAlign w:val="center"/>
          </w:tcPr>
          <w:p>
            <w:pPr>
              <w:pStyle w:val="TableContents"/>
              <w:spacing w:lineRule="auto" w:line="264"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 available for grant</w:t>
            </w:r>
          </w:p>
        </w:tc>
      </w:tr>
      <w:tr>
        <w:trPr/>
        <w:tc>
          <w:tcPr>
            <w:tcW w:w="1026" w:type="dxa"/>
            <w:gridSpan w:val="3"/>
            <w:tcBorders>
              <w:top w:val="single" w:sz="8" w:space="0" w:color="C9C9C9"/>
              <w:left w:val="single" w:sz="8" w:space="0" w:color="C9C9C9"/>
            </w:tcBorders>
            <w:shd w:fill="FFFFFF" w:val="clear"/>
            <w:tcMar>
              <w:top w:w="3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Prior Plan</w:t>
            </w:r>
          </w:p>
        </w:tc>
        <w:tc>
          <w:tcPr>
            <w:tcW w:w="2134" w:type="dxa"/>
            <w:gridSpan w:val="2"/>
            <w:tcBorders>
              <w:top w:val="single" w:sz="8" w:space="0" w:color="C9C9C9"/>
              <w:left w:val="single" w:sz="8" w:space="0" w:color="C9C9C9"/>
            </w:tcBorders>
            <w:shd w:fill="FFFFFF" w:val="clear"/>
            <w:tcMar>
              <w:top w:w="3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4,011,755 </w:t>
            </w:r>
          </w:p>
        </w:tc>
        <w:tc>
          <w:tcPr>
            <w:tcW w:w="1023" w:type="dxa"/>
            <w:tcBorders>
              <w:top w:val="single" w:sz="8" w:space="0" w:color="C9C9C9"/>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12" w:type="dxa"/>
            <w:gridSpan w:val="2"/>
            <w:tcBorders>
              <w:top w:val="single" w:sz="8" w:space="0" w:color="C9C9C9"/>
              <w:left w:val="single" w:sz="8" w:space="0" w:color="C9C9C9"/>
            </w:tcBorders>
            <w:shd w:fill="FFFFFF" w:val="clear"/>
            <w:tcMar>
              <w:top w:w="30" w:type="dxa"/>
              <w:bottom w:w="0" w:type="dxa"/>
              <w:right w:w="0" w:type="dxa"/>
            </w:tcMar>
            <w:vAlign w:val="center"/>
          </w:tcPr>
          <w:p>
            <w:pPr>
              <w:pStyle w:val="TableContents"/>
              <w:spacing w:lineRule="auto" w:line="264"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3,049,269 </w:t>
            </w:r>
          </w:p>
        </w:tc>
        <w:tc>
          <w:tcPr>
            <w:tcW w:w="1197" w:type="dxa"/>
            <w:tcBorders>
              <w:top w:val="single" w:sz="8" w:space="0" w:color="C9C9C9"/>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top w:val="single" w:sz="8" w:space="0" w:color="C9C9C9"/>
              <w:left w:val="single" w:sz="8" w:space="0" w:color="C9C9C9"/>
            </w:tcBorders>
            <w:shd w:fill="FFFFFF" w:val="clear"/>
            <w:tcMar>
              <w:top w:w="30" w:type="dxa"/>
              <w:bottom w:w="0" w:type="dxa"/>
              <w:right w:w="0" w:type="dxa"/>
            </w:tcMar>
            <w:vAlign w:val="center"/>
          </w:tcPr>
          <w:p>
            <w:pPr>
              <w:pStyle w:val="TableContents"/>
              <w:spacing w:lineRule="auto" w:line="264"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5,315,328 </w:t>
            </w:r>
          </w:p>
        </w:tc>
        <w:tc>
          <w:tcPr>
            <w:tcW w:w="872" w:type="dxa"/>
            <w:tcBorders>
              <w:top w:val="single" w:sz="8" w:space="0" w:color="C9C9C9"/>
              <w:right w:val="single" w:sz="8" w:space="0" w:color="C9C9C9"/>
            </w:tcBorders>
            <w:shd w:fill="FFFFFF"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026" w:type="dxa"/>
            <w:gridSpan w:val="3"/>
            <w:tcBorders>
              <w:top w:val="single" w:sz="8" w:space="0" w:color="C9C9C9"/>
              <w:left w:val="single" w:sz="8" w:space="0" w:color="C9C9C9"/>
            </w:tcBorders>
            <w:shd w:fill="FFFFFF" w:val="clear"/>
            <w:tcMar>
              <w:top w:w="3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2008 Stock Plan</w:t>
            </w:r>
          </w:p>
        </w:tc>
        <w:tc>
          <w:tcPr>
            <w:tcW w:w="2134" w:type="dxa"/>
            <w:gridSpan w:val="2"/>
            <w:tcBorders>
              <w:top w:val="single" w:sz="8" w:space="0" w:color="C9C9C9"/>
              <w:left w:val="single" w:sz="8" w:space="0" w:color="C9C9C9"/>
            </w:tcBorders>
            <w:shd w:fill="FFFFFF" w:val="clear"/>
            <w:tcMar>
              <w:top w:w="3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23" w:type="dxa"/>
            <w:tcBorders>
              <w:top w:val="single" w:sz="8" w:space="0" w:color="C9C9C9"/>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12" w:type="dxa"/>
            <w:gridSpan w:val="2"/>
            <w:tcBorders>
              <w:top w:val="single" w:sz="8" w:space="0" w:color="C9C9C9"/>
              <w:left w:val="single" w:sz="8" w:space="0" w:color="C9C9C9"/>
            </w:tcBorders>
            <w:shd w:fill="FFFFFF" w:val="clear"/>
            <w:tcMar>
              <w:top w:w="30" w:type="dxa"/>
              <w:bottom w:w="0" w:type="dxa"/>
              <w:right w:w="0" w:type="dxa"/>
            </w:tcMar>
            <w:vAlign w:val="center"/>
          </w:tcPr>
          <w:p>
            <w:pPr>
              <w:pStyle w:val="TableContents"/>
              <w:spacing w:lineRule="auto" w:line="264" w:before="0" w:after="283"/>
              <w:jc w:val="right"/>
              <w:rPr>
                <w:color w:val="000000"/>
              </w:rPr>
            </w:pPr>
            <w:r>
              <w:rPr>
                <w:color w:val="000000"/>
              </w:rPr>
              <w:t>— </w:t>
            </w:r>
          </w:p>
        </w:tc>
        <w:tc>
          <w:tcPr>
            <w:tcW w:w="1197" w:type="dxa"/>
            <w:tcBorders>
              <w:top w:val="single" w:sz="8" w:space="0" w:color="C9C9C9"/>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top w:val="single" w:sz="8" w:space="0" w:color="C9C9C9"/>
              <w:left w:val="single" w:sz="8" w:space="0" w:color="C9C9C9"/>
            </w:tcBorders>
            <w:shd w:fill="FFFFFF" w:val="clear"/>
            <w:tcMar>
              <w:top w:w="30" w:type="dxa"/>
              <w:bottom w:w="0" w:type="dxa"/>
              <w:right w:w="0" w:type="dxa"/>
            </w:tcMar>
            <w:vAlign w:val="center"/>
          </w:tcPr>
          <w:p>
            <w:pPr>
              <w:pStyle w:val="TableContents"/>
              <w:spacing w:lineRule="auto" w:line="264" w:before="0" w:after="283"/>
              <w:jc w:val="right"/>
              <w:rPr>
                <w:color w:val="000000"/>
              </w:rPr>
            </w:pPr>
            <w:r>
              <w:rPr>
                <w:color w:val="000000"/>
              </w:rPr>
              <w:t>— </w:t>
            </w:r>
          </w:p>
        </w:tc>
        <w:tc>
          <w:tcPr>
            <w:tcW w:w="872" w:type="dxa"/>
            <w:tcBorders>
              <w:top w:val="single" w:sz="8" w:space="0" w:color="C9C9C9"/>
              <w:right w:val="single" w:sz="8" w:space="0" w:color="C9C9C9"/>
            </w:tcBorders>
            <w:shd w:fill="FFFFFF"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026" w:type="dxa"/>
            <w:gridSpan w:val="3"/>
            <w:tcBorders>
              <w:top w:val="single" w:sz="8" w:space="0" w:color="C9C9C9"/>
              <w:left w:val="single" w:sz="8" w:space="0" w:color="C9C9C9"/>
              <w:bottom w:val="single" w:sz="8" w:space="0" w:color="C9C9C9"/>
            </w:tcBorders>
            <w:shd w:fill="FFFFFF" w:val="clear"/>
            <w:tcMar>
              <w:top w:w="30" w:type="dxa"/>
              <w:bottom w:w="3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34" w:type="dxa"/>
            <w:gridSpan w:val="2"/>
            <w:tcBorders>
              <w:top w:val="single" w:sz="8" w:space="0" w:color="C9C9C9"/>
              <w:left w:val="single" w:sz="8" w:space="0" w:color="C9C9C9"/>
              <w:bottom w:val="single" w:sz="8" w:space="0" w:color="C9C9C9"/>
            </w:tcBorders>
            <w:shd w:fill="FFFFFF" w:val="clear"/>
            <w:tcMar>
              <w:top w:w="30" w:type="dxa"/>
              <w:bottom w:w="3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4,012,505 </w:t>
            </w:r>
          </w:p>
        </w:tc>
        <w:tc>
          <w:tcPr>
            <w:tcW w:w="1023" w:type="dxa"/>
            <w:tcBorders>
              <w:top w:val="single" w:sz="8" w:space="0" w:color="C9C9C9"/>
              <w:bottom w:val="single" w:sz="8" w:space="0" w:color="C9C9C9"/>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12" w:type="dxa"/>
            <w:gridSpan w:val="2"/>
            <w:tcBorders>
              <w:top w:val="single" w:sz="8" w:space="0" w:color="C9C9C9"/>
              <w:left w:val="single" w:sz="8" w:space="0" w:color="C9C9C9"/>
              <w:bottom w:val="single" w:sz="8" w:space="0" w:color="C9C9C9"/>
            </w:tcBorders>
            <w:shd w:fill="FFFFFF" w:val="clear"/>
            <w:tcMar>
              <w:top w:w="30" w:type="dxa"/>
              <w:bottom w:w="30" w:type="dxa"/>
              <w:right w:w="0" w:type="dxa"/>
            </w:tcMar>
            <w:vAlign w:val="center"/>
          </w:tcPr>
          <w:p>
            <w:pPr>
              <w:pStyle w:val="TableContents"/>
              <w:spacing w:lineRule="auto" w:line="264"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3,049,269 </w:t>
            </w:r>
          </w:p>
        </w:tc>
        <w:tc>
          <w:tcPr>
            <w:tcW w:w="1197" w:type="dxa"/>
            <w:tcBorders>
              <w:top w:val="single" w:sz="8" w:space="0" w:color="C9C9C9"/>
              <w:bottom w:val="single" w:sz="8" w:space="0" w:color="C9C9C9"/>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441" w:type="dxa"/>
            <w:gridSpan w:val="2"/>
            <w:tcBorders>
              <w:top w:val="single" w:sz="8" w:space="0" w:color="C9C9C9"/>
              <w:left w:val="single" w:sz="8" w:space="0" w:color="C9C9C9"/>
              <w:bottom w:val="single" w:sz="8" w:space="0" w:color="C9C9C9"/>
            </w:tcBorders>
            <w:shd w:fill="FFFFFF" w:val="clear"/>
            <w:tcMar>
              <w:top w:w="30" w:type="dxa"/>
              <w:bottom w:w="30" w:type="dxa"/>
              <w:right w:w="0" w:type="dxa"/>
            </w:tcMar>
            <w:vAlign w:val="center"/>
          </w:tcPr>
          <w:p>
            <w:pPr>
              <w:pStyle w:val="TableContents"/>
              <w:spacing w:lineRule="auto" w:line="264"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5,315,328 </w:t>
            </w:r>
          </w:p>
        </w:tc>
        <w:tc>
          <w:tcPr>
            <w:tcW w:w="872" w:type="dxa"/>
            <w:tcBorders>
              <w:top w:val="single" w:sz="8" w:space="0" w:color="C9C9C9"/>
              <w:bottom w:val="single" w:sz="8" w:space="0" w:color="C9C9C9"/>
              <w:right w:val="single" w:sz="8" w:space="0" w:color="C9C9C9"/>
            </w:tcBorders>
            <w:shd w:fill="FFFFFF" w:val="clear"/>
            <w:tcMar>
              <w:top w:w="30" w:type="dxa"/>
              <w:left w:w="0" w:type="dxa"/>
              <w:bottom w:w="3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this information, as of March 31, 2023, our outstanding equity awards (not including awards under our ESPP) plus shares available for future grant under our Prior Plan represented approximately 17% of our common stock outstanding, which we refer to as our “overhang.”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our Board of Directors believes that the request to roll-over the Remaining Prior Plan Pool is reasonable and prudent. This number of shares should allow us to continue to grant awards to our employees, consultants, officers and directors, which have been successful in attracting high-performing personnel and generating stockholder value, going forward and to be able to respond to growth, market competition and potential stock price fluctuations.</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Good Governance and Compensation Practices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Plan contains a number of provisions that we believe are consistent with the interests of our stockholders and good corporate governance and compensation practices, including:</w:t>
      </w:r>
    </w:p>
    <w:p>
      <w:pPr>
        <w:pStyle w:val="TextBody"/>
        <w:spacing w:before="0" w:after="0"/>
        <w:rPr/>
      </w:pPr>
      <w:r>
        <w:rPr/>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No evergreen;</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No option repricing without stockholder approval;</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No “liberal” change in control definition;</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No dividends on unvested awards;</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No excise tax gross ups;</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No automatic single trigger acceleration on a change in control;</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Minimum exercise price;</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Limits on non-employee director cash and equity compensation; and</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The ability to clawback awards under our clawback policies and/or any recoupment requirements imposed under applicable law or listing standards.</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8"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Purpose of the Plan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Approval of the Plan will enable us to continue to offer equity awards to attract and retain talented employees, directors, consultants, independent contractors and advisors and further align their interests and those of our stockholders by continuing to link a portion of their compensation with our performance.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Plan will also reflect the best current compensation practices that implement strong governance-related protections for our stockholders, as described in the “Summary of the 2023 Equity Incentive Plan” section.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approved by our stockholders, the Plan will be effective on the date of stockholder approval. We intend to register the additional shares authorized under the Plan under the Securities Act. If our stockholders do not approve the Plan, the Plan will not become effective and the Prior Plan will remain effective through its termination date of October 2, 2023.</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Summary of the 2023 Equity Incentive Plan</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The following is a summary of the principal features of the Plan. This summary, however, does not purport to be a complete description of all of the provisions of the Plan. It is qualified in its entirety by reference to the full text of the Plan, a copy of which is attached hereto as </w:t>
      </w:r>
      <w:r>
        <w:rPr>
          <w:rFonts w:ascii="Times New Roman;sans-serif" w:hAnsi="Times New Roman;sans-serif"/>
          <w:b w:val="false"/>
          <w:color w:val="000000"/>
          <w:sz w:val="20"/>
          <w:u w:val="single"/>
        </w:rPr>
        <w:t>Appendix A.</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Background; Purpose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Plan was adopted by our Board of Directors on April 12, 2023 and serves as the successor to the Prior Plan. Subject to our stockholder’s approval, the Plan will become effective on the date of our Annual Meeting, and will terminate 10 years after the date approved by our Board of Directors. The purpose of the Plan is to provide incentives to attract, retain and motivate eligible persons whose present and potential contributions are important to our success.</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Eligibility</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Employees, officers, directors, consultants, independent contractors and advisors of the Company or any parent, subsidiary or affiliate of the Company are eligible to receive awards. As of March 31, 2023, we had four executive officers (as such term is defined under Rule 16a-1(f)), eight non-employee directors and approximately 800 other employees and other service providers who would be eligible to participate in the Plan.</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Administration</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The Plan will be administered by the Compensation Committee, all of the members of which are non-employee directors under applicable federal securities laws and outside directors as defined under applicable federal tax laws. The Compensation Committee will act as the plan administrator and have the authority to construe and interpret the Plan, grant awards, determine the terms and conditions of awards and make all other determinations necessary or advisable for the administration of the plan (subject to the limitations set forth in the Plan). However, our Board of Directors establishes the terms for the grant of awards to non-employee directors as discussed above under “—</w:t>
      </w:r>
      <w:r>
        <w:rPr>
          <w:rFonts w:ascii="Times New Roman;sans-serif" w:hAnsi="Times New Roman;sans-serif"/>
          <w:b w:val="false"/>
          <w:i/>
          <w:color w:val="000000"/>
          <w:sz w:val="20"/>
        </w:rPr>
        <w:t>Director Compensation</w:t>
      </w:r>
      <w:r>
        <w:rPr>
          <w:color w:val="000000"/>
        </w:rPr>
        <w:t>”</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Share Reserve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stockholders approve the Plan, there will be a number of shares equal to the Remaining Prior Plan Pool, which totaled 5,315,328 shares as of March 31, 2023 authorized under the Plan, subject to adjustment only to reflect stock splits and similar events.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following shares underlying awards granted under the Plan will become available for grant under the Plan: (a) shares subject to issuance upon exercise of a stock option or stock appreciation right granted under the Plan but which cease to be subject to the option or stock appreciation right for any reason other than exercise of the stock option or stock appreciation right; (b) shares subject to awards granted under the Plan that are forfeited or are repurchased by the company at the original issue price; (c) shares subject to awards granted under the Plan that otherwise terminate without such shares being issued; (d) shares surrendered pursuant to a stockholder-approved Exchange Program, and (e) shares that are used to pay the exercise price of an Award or withheld to satisfy the tax withholding obligations related to an Award.</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following shares underlying awards granted under the Prior Plan will become available for grant under the Plan: (a) shares that are subject to awards granted under the Prior Plan that cease to be subject to such awards by forfeiture or otherwise after the Effective Date, (b) shares issued under the Prior Plan, including shares issued pursuant to the exercise of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9"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options, that are forfeited after the Effective Date, (c) shares issued under the Prior Plan that are repurchased by the Company at the original issue price after the Effective Date, (d) shares that are subject to awards granted under the Prior Plan that are settled in cash after the Effective Date; and (e) shares that are subject to awards granted under the Prior Plan that are used to pay the exercise price of an award or withheld to satisfy the tax withholding obligations related to an award after the Effective Date.</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Shares that otherwise become available for grant and issuance shall not include shares subject to awards that initially became available because of the Company’s substitution or assumption of awards granted by another company in connection with an acquisition of such company, or otherwise, as permitted under the Plan.</w:t>
      </w:r>
      <w:r>
        <w:rPr>
          <w:color w:val="000000"/>
        </w:rPr>
        <w:t xml:space="preserve"> </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Equitable Adjustments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is typical in equity plans, in the event of a change in our common stock via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without consideration, proportionate adjustments will be made to the number and class of shares reserved for issuance and future grant under the Plan (including the maximum number and class of ISOs (as defined below)) and the applicable exercise prices of and number and class of shares subject to outstanding awards, subject to any required action by the Board of Directors or the stockholders of the Company.</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Equity Awards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Plan will permit us to grant the following types of awards: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Stock Options</w:t>
      </w:r>
      <w:r>
        <w:rPr>
          <w:rFonts w:ascii="Times New Roman;sans-serif" w:hAnsi="Times New Roman;sans-serif"/>
          <w:b w:val="false"/>
          <w:color w:val="000000"/>
          <w:sz w:val="20"/>
        </w:rPr>
        <w:t>. The Plan provides for the grant of Incentive Stock Options (“ISOs”) and Non-qualified Stock Options (“NQSOs”). ISOs may be granted only to our employees or employees of our parent, subsidiaries and affiliates. NQSOs may be granted to eligible employees, consultants and directors of any of our parent, subsidiaries or affiliates. We are able to issue no more than 15,000,000 shares pursuant to the grant of ISOs under the Plan. The Compensation Committee determines the terms of each option award, provided that ISOs are subject to statutory limitations. The Compensation Committee also determines the exercise price for a stock option, provided that the exercise price of an option may not be less than the fair market value of our common stock on the date of grant (with certain additional requirements for certain ISOs).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Options granted under the Plan vest at the rate and/or subject to performance requirements specified by the Compensation Committee and such vesting schedule is set forth in the stock option agreement to which such stock option grant relates. The Compensation Committee determines the term of stock options granted under the Plan, up to a term of ten years (with certain additional requirements for certain ISOs).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the option holder ceases to provide services to us, he or she is able to exercise his or her vested option for the period of time stated in the stock option agreement to which such option relates. Generally, the vested option will remain exercisable for three months after an optionee’s cessation of service, except in the case of termination due to death, disability or termination for cause. An option may not be exercised later than its expiration date.</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Restricted Stock Units.</w:t>
      </w:r>
      <w:r>
        <w:rPr>
          <w:color w:val="000000"/>
        </w:rPr>
        <w:t xml:space="preserve"> </w:t>
      </w:r>
      <w:r>
        <w:rPr>
          <w:rFonts w:ascii="Times New Roman;sans-serif" w:hAnsi="Times New Roman;sans-serif"/>
          <w:b w:val="false"/>
          <w:color w:val="000000"/>
          <w:sz w:val="20"/>
        </w:rPr>
        <w:t>RSUs represent the right to receive shares of our common stock at a specified date in the future, subject to forfeiture of such right due to termination of employment or failure to achieve specified performance goals. RSUs do not have exercise price. If the RSUs have not been forfeited, then on the date specified in the award agreement we will deliver to the holder of the RSUs shares of our common stock, cash or a combination of our common stock and cash as specified in the applicable award agreement.</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Restricted Stock Awards.</w:t>
      </w:r>
      <w:r>
        <w:rPr>
          <w:color w:val="000000"/>
        </w:rPr>
        <w:t xml:space="preserve"> </w:t>
      </w:r>
      <w:r>
        <w:rPr>
          <w:rFonts w:ascii="Times New Roman;sans-serif" w:hAnsi="Times New Roman;sans-serif"/>
          <w:b w:val="false"/>
          <w:color w:val="000000"/>
          <w:sz w:val="20"/>
        </w:rPr>
        <w:t>A restricted stock award is an offer by us to sell shares of our common stock subject to restrictions that the Compensation Committee may impose. These restrictions may be based on completion of a specified period of service with us or upon the achievement of performance goals during a performance period. The Compensation Committee determines the price of a restricted stock award. Unless otherwise set forth in the award agreement, vesting will cease on the date the participant no longer provides services to us, and at that time unvested shares will be forfeited to us or subject to repurchase by us.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Stock Bonus Awards.</w:t>
      </w:r>
      <w:r>
        <w:rPr>
          <w:color w:val="000000"/>
        </w:rPr>
        <w:t xml:space="preserve"> </w:t>
      </w:r>
      <w:r>
        <w:rPr>
          <w:rFonts w:ascii="Times New Roman;sans-serif" w:hAnsi="Times New Roman;sans-serif"/>
          <w:b w:val="false"/>
          <w:color w:val="000000"/>
          <w:sz w:val="20"/>
        </w:rPr>
        <w:t xml:space="preserve">A stock bonus is an award of shares of our common stock for past or future services to us. Stock bonuses can be granted as additional compensation for performance and, therefore, are not issued in exchange for cash. The Compensation Committee determines the number of shares to be issued as stock bonus and any restrictions on those shares. These restrictions may be based on completion of a specified period of service with us or upon the achievement of performance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0"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goals during a performance period. Unless otherwise set forth in the award agreement, vesting ceases on the date the participant no longer provides services to us, and at that time unvested shares will be forfeited to us or are subject to repurchase by us.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Stock Appreciation Rights.</w:t>
      </w:r>
      <w:r>
        <w:rPr>
          <w:color w:val="000000"/>
        </w:rPr>
        <w:t xml:space="preserve"> </w:t>
      </w:r>
      <w:r>
        <w:rPr>
          <w:rFonts w:ascii="Times New Roman;sans-serif" w:hAnsi="Times New Roman;sans-serif"/>
          <w:b w:val="false"/>
          <w:color w:val="000000"/>
          <w:sz w:val="20"/>
        </w:rPr>
        <w:t>Stock appreciation rights provide for a payment, or payments, in cash or shares of our common stock to the holder based upon the difference between the fair market value of our common stock on the date of exercise and the stated exercise price of the stock appreciation right. Stock appreciation rights may vest based on time or achievement of performance goals.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Performance Awards.</w:t>
      </w:r>
      <w:r>
        <w:rPr>
          <w:color w:val="000000"/>
        </w:rPr>
        <w:t xml:space="preserve"> </w:t>
      </w:r>
      <w:r>
        <w:rPr>
          <w:rFonts w:ascii="Times New Roman;sans-serif" w:hAnsi="Times New Roman;sans-serif"/>
          <w:b w:val="false"/>
          <w:color w:val="000000"/>
          <w:sz w:val="20"/>
        </w:rPr>
        <w:t>A performance award is an award of a cash bonus or a bonus denominated in shares or units that is subject to performance factors. The award of performance shares may be settled in cash or by issuance of those shares (which may consist of restricted stock). These awards are subject to forfeiture because of termination of employment or failure to achieve the performance conditions.</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Performance Factors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may establish performance goals from the performance criteria set forth in the Plan, which include the following: profit before tax; billings; revenue; net revenue or return on operating revenue; earnings (which may include earnings before interest and taxes, earnings before taxes, net earnings, stock-based compensation expenses, depreciation, and amortization); operating income; operating margin; operating profit; controllable operating profit or net operating profit; net profit; gross margin; cost, operating expenses or operating expenses as a percentage of revenue; net income; earning per share; total stockholder return or relative total stockholder return; market share or market segment share; return on assets or net assets; the company’s stock price; growth in stockholder value relative to a pre-determined index; return on equity; return on capital or on invested capital; cash flow (including free cash flow or operating cash flows) or cash flow margins; cash conversion cycle; economic value added; individual confidential business objectives; contract awards or backlog; overhead or other expense reduction; credit rating; strategic plan development and implementation; succession plan development and implementation; improvement in workforce diversity; customer indicators and/or satisfaction; new product invention or innovation; achievement of target levels of discovery and/or development of products and services, including but not limited to research or regulatory achievements; attainment of research and development milestones; third party coverage and/or reimbursement objectives; test volume metrics; improvements in productivity; bookings; attainment of objective operating goals and employee metrics; sales; expenses; balance of cash, cash equivalents, and marketable securities; completion of an identified special project; completion of a joint venture or other corporate transaction; employee satisfaction and/or retention; research and development expenses; working capital targets and changes in working capital; net new annual contract value; net expansion rate; and any other metric that is capable of measurement as determined by the Compensation Committee. The Compensation Committee may provide for one or more equitable adjustments to the performance criteria to preserve Compensation Committee’s original intent regarding such criteria at the time of the initial award grant, such as but not limited to, adjustments in recognition of unusual or non-recurring items such as acquisition related activities or changes in applicable accounting rules.</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Stockholder Approval Required for Repricing, Exchange and Buyout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may not, without the approval of our stockholders, (i) reprice any Options or SARs, (ii) lower the exercise price per share of any award after it is granted or (iii) cancel any award when the exercise price per share exceeds the fair market value of one share in exchange for cash or another award.</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Insider Trading; Clawback Policy</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participant who receives an award will comply with any policy adopted by the company from time to time covering transactions in our securities by employees, officers and/or directors.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awards will be subject to clawback or recoupment pursuant to any compensation clawback or recoupment policy adopted by the Board of Directors or required by law during the term of the participant’s employment or other service, and in addition to any other remedies available under such policy and applicable law, we may require the cancellation of outstanding awards and the recoupment of any gains realized with respect to awards.</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Restrictions on Dividends and Dividend Equivalents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participant will have no right to payment of stock dividends or stock distributions with respect to unvested shares, and any such dividends or stock distributions will be accrued and paid only at such time, if any, as such unvested shares become vested shares and are no longer subject to restrictions and risk of forfeiture.</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1"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Change in Control</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undergo a Corporate Transaction (as defined in the Plan), the Plan provides that outstanding awards shall be subject to the definitive agreement related thereto, and may be assumed, converted, replaced or substituted by the successor or acquiring entity, or by a parent or subsidiary of the successor or acquiring entity, for substantially equivalent awards (including, but not limited to, an award to acquire the same consideration paid to the stockholders pursuant to the Corporate Transaction), in each case after taking into account appropriate adjustments to the exercise price and the number and nature of shares subject to such awards as may be necessary or desirable under applicable law and the Internal Revenue Code, may be fully accelerated or may be settled for their intrinsic value (which may be determined to be zero). In the event such successor or acquiring corporation (if any) refuses to assume, convert, replace or substitute awards, or awards are not settled for their intrinsic value, pursuant to a Corporate Transaction, then such awards shall have their vesting accelerate as to all shares subject to such award (and any applicable right of repurchase fully lapse) immediately prior to the Corporate Transaction, with the acceleration of performance awards based on the greater of actual performance through the date of the Corporate Transaction or target performance, and then such awards will terminate.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Awards need not be treated similarly in a Corporate Transaction and treatment may vary from award to award and/or from participant to participant.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Corporate Transaction, the vesting of all awards granted to our non-employee directors will accelerate and such awards will become exercisable (as applicable) in full upon the consummation of such event at such times and on such conditions as the Compensation Committee determines.</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Foreign Award Recipients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comply with the laws in other countries in which we and our subsidiaries and affiliates operate or have employees or other individuals eligible for awards, the Compensation Committee will have the power and authority to modify the terms and conditions of any award granted to individuals outside the United States to comply with applicable foreign laws, establish subplans and modify exercise procedures and other terms and procedures, and take any action that the Compensation Committee determines to be necessary or advisable to comply with any local governmental regulatory exemptions or approvals.</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Transferability of Awards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Compensation Committee provides otherwise, the Plan does not allow for the transfer of awards, other than by will or the laws of descent and distribution, and generally only the recipient of an award may exercise it during his or her lifetime.</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Grants to Non-Employee Directors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Grants to non-employee directors are eligible to receive any type of award offered under the Plan except ISOs. No non-employee director may receive awards under the Plan that, when combined with cash compensation received for service as a non-employee director, exceeds $750,000 in value in any calendar year ($1,500,000 in the calendar year in which such non-employee director first joins the Board of Directors). Awards under the Plan may be granted to non-employee directors, may be automatically made pursuant to a policy adopted by the Board of Directors, or made from time to time as determined in the discretion of the Board of Directors.</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Amendment and Termination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permitted to amend or terminate the Plan at any time, subject to stockholder approval where required. In addition, no amendment that is detrimental to a participant in the Plan may be made to an outstanding award without the consent of the affected participant unless such termination or amendment is necessary to comply with applicable, law, regulation or rule. Provided the Plan is approved by our stockholders at the Annual Meeting, and unless terminated earlier in accordance with its terms, the Plan will terminate ten years from April 12, 2023, the date the Plan was adopted by the Board of Directors.</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Federal Income Tax Consequences.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general summary under current law of certain U.S. federal income tax consequences to participants who are citizens or individual residents of the United States relating to the types of equity awards that may be granted under the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2"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Plan. This summary deals with the general tax principles and is provided only for general information. Certain kinds of taxes, such as foreign taxes, state and local income taxes, payroll taxes and the alternative minimum tax, are not discussed.</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Nonqualified Stock Options, Stock Appreciation Rights.</w:t>
      </w:r>
      <w:r>
        <w:rPr>
          <w:color w:val="000000"/>
        </w:rPr>
        <w:t xml:space="preserve"> </w:t>
      </w:r>
      <w:r>
        <w:rPr>
          <w:rFonts w:ascii="Times New Roman;sans-serif" w:hAnsi="Times New Roman;sans-serif"/>
          <w:b w:val="false"/>
          <w:color w:val="000000"/>
          <w:sz w:val="20"/>
        </w:rPr>
        <w:t>A recipient of an NSO or stock appreciation right will not recognize taxable income upon the grant of those awards. However, the participant will recognize ordinary income upon exercise in an amount equal to the difference between the fair market value of the shares and the exercise price on the date of exercise. Any gain or loss recognized on a subsequent disposition of the shares of common stock generally will be short‐term or long‐term capital gain or loss, depending on the length of time the recipient holds the shares.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Incentive Stock Options.</w:t>
      </w:r>
      <w:r>
        <w:rPr>
          <w:color w:val="000000"/>
        </w:rPr>
        <w:t xml:space="preserve"> </w:t>
      </w:r>
      <w:r>
        <w:rPr>
          <w:rFonts w:ascii="Times New Roman;sans-serif" w:hAnsi="Times New Roman;sans-serif"/>
          <w:b w:val="false"/>
          <w:color w:val="000000"/>
          <w:sz w:val="20"/>
        </w:rPr>
        <w:t>Neither the grant nor the exercise of an incentive stock option will generally result in any taxable income to the recipient, except that the alternative minimum tax may apply at the time of exercise. The recipient will recognize a capital gain or loss on a later sale or other disposition of such shares provided the he or she does not dispose of such shares within two years from the date the option was granted or within one year after the shares were acquired by the recipient. If the shares are not held for holding period described above, the recipient will recognize ordinary income equal to the lesser of (i) the difference between the fair market value of the shares on the date of exercise and the exercise price, or (ii) the difference between the sales price and the exercise price. Any gain or loss recognized on a subsequent disposition of the shares of common stock generally will be short‐term or long‐term capital gain or loss, depending on the length of time the recipient holds the shares.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Restricted Stock Units.</w:t>
      </w:r>
      <w:r>
        <w:rPr>
          <w:color w:val="000000"/>
        </w:rPr>
        <w:t xml:space="preserve"> </w:t>
      </w:r>
      <w:r>
        <w:rPr>
          <w:rFonts w:ascii="Times New Roman;sans-serif" w:hAnsi="Times New Roman;sans-serif"/>
          <w:b w:val="false"/>
          <w:color w:val="000000"/>
          <w:sz w:val="20"/>
        </w:rPr>
        <w:t>A holder of RSUs does not recognize taxable income when the RSUs are granted. The recipient of the award generally will recognize ordinary income in each year in which the units vest in an amount equal to the fair market value of the shares of common stock received. Any gain or loss recognized on a subsequent disposition of the shares of common stock generally will be short‐term or long‐term capital gain or loss, depending on the length of time the recipient holds the shares.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Other Awards</w:t>
      </w:r>
      <w:r>
        <w:rPr>
          <w:rFonts w:ascii="Times New Roman;sans-serif" w:hAnsi="Times New Roman;sans-serif"/>
          <w:b w:val="false"/>
          <w:color w:val="000000"/>
          <w:sz w:val="20"/>
        </w:rPr>
        <w:t>. The grant of Restricted Stock Awards, Stock Bonus Awards and Performance Shares generally will generally not be a taxable event. Generally, the recipient will recognize ordinary income equal to the excess of the fair market value over the price paid, if any, in the first taxable year in which his or her interest in the shares underlying the award becomes either (i) freely transferable or (ii) no longer subject to substantial risk of forfeiture (unless, with respect to an award of restricted stock, the recipient elects to accelerate recognition as of the date of grant).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each of the foregoing cases, we will generally have a corresponding deduction at the time the participant recognizes ordinary income, subject to Section 162(m) of the Internal Revenue Code and the relevant income tax regulations. Section 162(m) places a limit of $1 million on the amount of compensation that we may deduct as a business expense in any year with respect to certain of our most highly paid executive officers. We may from time to time pay compensation to our executives that may not be deductible if the Compensation Committee believes that doing so is in the best interests of our stockholders.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ERISA Information.</w:t>
      </w:r>
      <w:r>
        <w:rPr>
          <w:color w:val="000000"/>
        </w:rPr>
        <w:t xml:space="preserve"> </w:t>
      </w:r>
      <w:r>
        <w:rPr>
          <w:rFonts w:ascii="Times New Roman;sans-serif" w:hAnsi="Times New Roman;sans-serif"/>
          <w:b w:val="false"/>
          <w:color w:val="000000"/>
          <w:sz w:val="20"/>
        </w:rPr>
        <w:t>The Plan is not subject to the provisions of the Employee Retirement Income Security Act of 1974, as amended.</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New Plan Benefits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named executive officers and members of our Board of Directors have an interest in this proposal by virtue of them being eligible to receive equity awards under the Plan.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awards have been made under the Plan, and no awards have been granted that are contingent on the approval of the Plan. Awards under the Plan would be made at the discretion of the Compensation Committee or the Board of Directors. Therefore, the benefits and amounts that will be received or allocated under the Plan in the future are not determinable at this time. </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Currently, our non-employee directors are entitled to receive cash and equity compensation for their service as directors as described above under “</w:t>
      </w:r>
      <w:r>
        <w:rPr>
          <w:color w:val="000000"/>
        </w:rPr>
        <w:t>—</w:t>
      </w:r>
      <w:r>
        <w:rPr>
          <w:rFonts w:ascii="Times New Roman;sans-serif" w:hAnsi="Times New Roman;sans-serif"/>
          <w:b w:val="false"/>
          <w:i/>
          <w:color w:val="000000"/>
          <w:sz w:val="20"/>
        </w:rPr>
        <w:t>Director Compensation</w:t>
      </w:r>
      <w:r>
        <w:rPr>
          <w:color w:val="000000"/>
        </w:rPr>
        <w:t>”</w:t>
      </w:r>
      <w:r>
        <w:rPr>
          <w:rFonts w:ascii="Times New Roman;sans-serif" w:hAnsi="Times New Roman;sans-serif"/>
          <w:b w:val="false"/>
          <w:color w:val="000000"/>
          <w:sz w:val="20"/>
        </w:rPr>
        <w: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3"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our common stock that may be issued under our equity compensation plans as of December 31, 2022:</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856"/>
        <w:gridCol w:w="752"/>
        <w:gridCol w:w="748"/>
        <w:gridCol w:w="934"/>
        <w:gridCol w:w="499"/>
        <w:gridCol w:w="499"/>
        <w:gridCol w:w="499"/>
        <w:gridCol w:w="499"/>
        <w:gridCol w:w="510"/>
        <w:gridCol w:w="732"/>
        <w:gridCol w:w="732"/>
        <w:gridCol w:w="733"/>
        <w:gridCol w:w="488"/>
        <w:gridCol w:w="488"/>
        <w:gridCol w:w="277"/>
        <w:gridCol w:w="277"/>
        <w:gridCol w:w="277"/>
        <w:gridCol w:w="405"/>
      </w:tblGrid>
      <w:tr>
        <w:trPr/>
        <w:tc>
          <w:tcPr>
            <w:tcW w:w="856"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r>
      <w:tr>
        <w:trPr/>
        <w:tc>
          <w:tcPr>
            <w:tcW w:w="2356" w:type="dxa"/>
            <w:gridSpan w:val="3"/>
            <w:tcBorders>
              <w:top w:val="single" w:sz="8" w:space="0" w:color="000000"/>
              <w:left w:val="single" w:sz="8" w:space="0" w:color="000000"/>
            </w:tcBorders>
            <w:shd w:fill="D9D9D9" w:val="clear"/>
            <w:tcMar>
              <w:bottom w:w="0" w:type="dxa"/>
              <w:right w:w="0" w:type="dxa"/>
            </w:tcMar>
            <w:vAlign w:val="center"/>
          </w:tcPr>
          <w:p>
            <w:pPr>
              <w:pStyle w:val="TableContents"/>
              <w:spacing w:before="0" w:after="283"/>
              <w:rPr>
                <w:sz w:val="4"/>
                <w:szCs w:val="4"/>
              </w:rPr>
            </w:pPr>
            <w:r>
              <w:rPr>
                <w:sz w:val="4"/>
                <w:szCs w:val="4"/>
              </w:rPr>
            </w:r>
          </w:p>
        </w:tc>
        <w:tc>
          <w:tcPr>
            <w:tcW w:w="3440" w:type="dxa"/>
            <w:gridSpan w:val="6"/>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to be issued upon exercise of outstanding options, warrants and rights</w:t>
              <w:br/>
              <w:t>(a)</w:t>
            </w:r>
          </w:p>
        </w:tc>
        <w:tc>
          <w:tcPr>
            <w:tcW w:w="2197"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4"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exercise price of</w:t>
              <w:br/>
              <w:t>outstanding options, warrants and rights</w:t>
              <w:br/>
              <w:t>(1)</w:t>
            </w:r>
          </w:p>
        </w:tc>
        <w:tc>
          <w:tcPr>
            <w:tcW w:w="2212" w:type="dxa"/>
            <w:gridSpan w:val="6"/>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spacing w:lineRule="auto" w:line="264"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w:t>
              <w:br/>
              <w:t>remaining available for</w:t>
              <w:br/>
              <w:t>future issuance under equity</w:t>
              <w:br/>
              <w:t>compensation plans (excluding</w:t>
              <w:br/>
              <w:t>securities reflected in column (a))</w:t>
            </w:r>
          </w:p>
        </w:tc>
      </w:tr>
      <w:tr>
        <w:trPr/>
        <w:tc>
          <w:tcPr>
            <w:tcW w:w="23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Category</w:t>
            </w:r>
          </w:p>
        </w:tc>
        <w:tc>
          <w:tcPr>
            <w:tcW w:w="1932"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97"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23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1433"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3,738,058 </w:t>
            </w:r>
          </w:p>
        </w:tc>
        <w:tc>
          <w:tcPr>
            <w:tcW w:w="49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19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w:t>
            </w:r>
          </w:p>
        </w:tc>
        <w:tc>
          <w:tcPr>
            <w:tcW w:w="976"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6,927,330 </w:t>
            </w:r>
          </w:p>
        </w:tc>
        <w:tc>
          <w:tcPr>
            <w:tcW w:w="27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right w:val="single" w:sz="8" w:space="0" w:color="000000"/>
            </w:tcBorders>
            <w:shd w:fill="auto" w:val="clear"/>
            <w:tcMar>
              <w:top w:w="30" w:type="dxa"/>
              <w:left w:w="0" w:type="dxa"/>
              <w:bottom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3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1433"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9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9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76"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7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235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433"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3,738,058 </w:t>
            </w:r>
          </w:p>
        </w:tc>
        <w:tc>
          <w:tcPr>
            <w:tcW w:w="49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197"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w:t>
            </w:r>
          </w:p>
        </w:tc>
        <w:tc>
          <w:tcPr>
            <w:tcW w:w="976"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6,927,330 </w:t>
            </w:r>
          </w:p>
        </w:tc>
        <w:tc>
          <w:tcPr>
            <w:tcW w:w="277"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    The weighted-average exercise price does not reflect the shares that will be issued in connection with the settlement of performance stock units and restricted stock units, since such units have no exercise price.</w:t>
      </w:r>
    </w:p>
    <w:p>
      <w:pPr>
        <w:pStyle w:val="TextBody"/>
        <w:spacing w:lineRule="auto" w:line="276"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(2)    Excludes purchase rights accruing under the ESPP.</w:t>
      </w:r>
    </w:p>
    <w:p>
      <w:pPr>
        <w:pStyle w:val="TextBody"/>
        <w:spacing w:lineRule="auto" w:line="276"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(3)    Consists of 5,591,977 shares available for issuance under our 2008 Stock Plan and the Prior Plan, and 1,335,353 shares available for purchase under our ESPP.</w:t>
      </w:r>
    </w:p>
    <w:p>
      <w:pPr>
        <w:pStyle w:val="TextBody"/>
        <w:spacing w:before="0" w:after="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The Board of Directors Recommends a Vote “FOR” the Approval of the Veracyte, Inc. 2023 Equity Incentive Plan.</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NO. 5</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ADOPTION OF AN AMENDMENT TO THE CURRENT CERTIFICATE IN ORDER TO DECLASSIFY OUR BOARD OF DIRECTORS</w:t>
      </w:r>
    </w:p>
    <w:p>
      <w:pPr>
        <w:pStyle w:val="TextBody"/>
        <w:spacing w:lineRule="auto" w:line="288" w:before="24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our current restated certificate of incorporation (the “Current Certificate”), the Board of Directors is divided into three classes, with members of each class holding office for staggered three-year terms. We are asking stockholders to adopt the Declassification Amendment in order to declassify the Board of Directors and provide for the annual election of directors, as well as to revise related provisions of the Current Certificate, as described below. The Declassification Amendment also reflects certain conforming, administrative and technical changes to the Current Certificate, including technical corrections to Article X. The Board of Directors has approved and adopted the proposed Declassification Amendment and declared it to be advisable and in the best interests of Veracyte and its stockholders, and recommends that the stockholders adopt the Declassification Amendment.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Article VI of the Current Certificate currently provides that the Board of Directors shall be divided into three classes, designated Class I, Class II and Class III, each to consist as nearly as possible of one third of the total number of directors, with the term of office of one class expiring each year and directors in each class being elected to three-year terms. If the proposed Declassification Amendment is adopted by our stockholders, it would implement a gradual declassification of the Board of Directors and provide for the annual election of directors for one-year terms, commencing upon the expiration of the directors’ current three-year terms. If adopted by the stockholders, the Declassification Amendment would first apply to directors standing for election beginning with the Annual Meeting of Stockholders to be held in 2024, and the declassification of the Board of Directors would be phased in over a period of three years. The Declassification Amendment would not shorten the existing terms of the Class II and Class III directors, or the terms of the Class I directors nominated for election at the Annual Meeting. Accordingly, directors who previously have been elected for three-year terms or portions thereof (including directors nominated for election at the Annual Meeting) will be entitled to complete those terms, and thereafter they or their successors would be elected for one-year terms at each annual meeting of stockholders. Beginning with the 2026 Annual Meeting the Board of Directors would cease to be classified and the entire Board of Directors would stand for election annually for one-year terms.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Delaware law provides that directors serving on boards of directors that are not classified may be removed for or without cause, whereas currently our directors can be removed only for cause since the Board of Directors is classified. The proposed Declassification Amendment would permit stockholders to remove directors elected for one-year terms with or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4"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without cause. Directors in a class that is serving out the remainder of a three-year term would continue to be removable only for cause.</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The description of the proposed Declassification Amendment set forth above is qualified in its entirety by reference to the text of the proposed Declassification Amendment, which is attached as </w:t>
      </w:r>
      <w:r>
        <w:rPr>
          <w:rFonts w:ascii="Times New Roman;sans-serif" w:hAnsi="Times New Roman;sans-serif"/>
          <w:b w:val="false"/>
          <w:color w:val="000000"/>
          <w:sz w:val="20"/>
          <w:u w:val="single"/>
        </w:rPr>
        <w:t>Appendix B</w:t>
      </w:r>
      <w:r>
        <w:rPr>
          <w:color w:val="000000"/>
        </w:rPr>
        <w:t xml:space="preserve"> </w:t>
      </w:r>
      <w:r>
        <w:rPr>
          <w:rFonts w:ascii="Times New Roman;sans-serif" w:hAnsi="Times New Roman;sans-serif"/>
          <w:b w:val="false"/>
          <w:color w:val="000000"/>
          <w:sz w:val="20"/>
        </w:rPr>
        <w:t>to this Proxy Statement. Additions to the Current Certificate are indicated by underlining, and deletions to the Current Certificate are indicated by strike-outs.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deciding to approve the Declassification Amendment and to recommend that the stockholders vote to adopt the Declassification Amendment, the Board of Directors considered the advantages and disadvantages of maintaining a classified board structure. A classified Board of Directors can benefit stockholders by: promoting continuity and stability of the Board of Directors; encouraging directors to take a long-term perspective; reducing Veracyte’s vulnerability to coercive takeover tactics and special interest groups that may not be acting in the best interests of all stockholders; and enhancing the independence of non-management directors by providing them with a longer term of office and insulating them against pressure from management or special interest groups. While the Board of Directors continues to believe that these are important benefits, the Board of Directors, based on feedback from stockholders, has also considered that a classified board structure may have the effect of reducing the accountability of directors to stockholders, and recognizes the benefit of providing stockholders an annual opportunity to express their satisfaction or dissatisfaction with the actions of the Board of Directors. In addition, the Board of Directors believes it is important for the Board of Directors to maintain stockholder confidence by demonstrating that it is responsive and accountable to stockholders and committed to strong corporate governance. Therefore, following consideration of the matter, and due to its belief that a declassified board structure provides more accountability to stockholders and promotes stronger corporate governance, the Board of Directors, on its own initiative, has adopted resolutions to approve the Declassification Amendment, to declare the Declassification Amendment advisable and in the best interests of Veracyte and its stockholders and to submit the Declassification Amendment to its stockholders for consideration.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its approval of the proposed Declassification Amendment, the Board of Directors has also approved amended and restated bylaws (the “Restated Bylaws”), which shall become effective following the effectiveness of the Declassification Amendment. The Restated Bylaws would, among other things, implement changes intended to conform the provisions thereof to the provisions of the Current Certificate, after giving effect to the Declassification Amendment. The Restated Bylaws do not require stockholder approval.</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affirmative vote of at least 662∕3% of the voting power of all of the shares of our common stock outstanding as of the Record Date is required to adopt the Declassification Amendment. If our stockholders adopt the Declassification Amendment, the Board of Directors has authorized our officers to file a certificate of amendment that reflects the Declassification Amendment with the Delaware Secretary of State, and such certificate of amendment would become effective upon such filing. The Board of Directors intends to make that filing if and as soon as practicable after this proposal is approved at the Annual Meeting. However, even if our stockholders adopt the Declassification Amendment, the Board of Directors may abandon the Declassification Amendment without further stockholder action prior to the effectiveness of the filing of the certificate of amendment reflecting the Declassification Amendment with the Delaware Secretary of State and, if abandoned, the Declassification Amendment will not become effective. If the Board of Directors abandons Declassification Amendment, it will publicly disclose that fact and the reason for its determination.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this proposal is not approved, or if the Board of Directors abandons the Declassification Amendment, then the Declassification Amendment will not be adopted, and the current classified structure of the Board of Directors, the Current Certificate and Veracyte’s current bylaws will remain in place. The approval of this proposal is not conditioned on the approval of any other proposal.</w:t>
      </w:r>
    </w:p>
    <w:p>
      <w:pPr>
        <w:pStyle w:val="TextBody"/>
        <w:spacing w:lineRule="auto" w:line="288" w:before="0" w:after="18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The Board of Directors Recommends a Vote “FOR” Adoption of an Amendment to the Current Certificate in Order to Declassify our Board of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NO. 6</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ADOPTION OF AN AMENDMENT TO THE CURRENT CERTIFICATE IN ORDER TO PERMIT THE EXCULPATION OF OFFICERS FROM PERSONAL LIABILITY FOR CERTAIN BREACHES OF THE DUTY OF CARE</w:t>
      </w:r>
    </w:p>
    <w:p>
      <w:pPr>
        <w:pStyle w:val="TextBody"/>
        <w:spacing w:lineRule="auto" w:line="288" w:before="18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102(b)(7) of the Delaware General Corporation Law was amended effective August 1, 2022 to permit a Delaware corporation’s certificate of incorporation to include a provision that limits or eliminates (i.e., exculpates) the monetary liability of certain officers for breaches of the fiduciary duty of care as officers in certain actions. This exculpation would not protect such officers from liability for breach of the duty of loyalty, acts or omissions not in good faith or that involve intentional misconduct or a knowing violation of law, or any transaction in which the officer derived an improper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5"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personal benefit. Nor would this exculpation shield such officers from liability for claims brought by or in the right of the corporation, such as derivative claims. In addition, only certain officers may be exculpated from liability: (i) a corporation’s president, chief executive officer, chief operating officer, chief financial officer, chief legal officer, controller, treasurer or chief accounting officer; (ii) an individual identified in public filings as one of the most highly compensated officers of the corporation; and (iii) an individual who, by written agreement with the corporation, has consented to be identified as an officer for purposes of Delaware’s long-arm jurisdiction statute. The proposed amendment would eliminate the liability of these statutorily defined officers as described above, but will not be retroactive, and will not apply to any act or omission occurring prior to the effectiveness of the amendment.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Article VIII of the Current Certificate provides for the elimination of personal liability of our directors for monetary damages for breaches of the duty of care as directors. We are asking our stockholders to adopt the Officer Exculpation Amendment, which would provide for the elimination of personal liability of the above-mentioned officers from monetary damages for breaches of the duty of care as officers in certain actions, as described above.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this proposal is not approved or is abandoned by the Board of Directors, then the Officer Exculpation Amendment will not become effective and Veracyte’s officers will continue to potentially face personal liability for breaches of the duty of care in all actions.</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The description of the Officer Exculpation Amendment as set forth above is qualified in its entirety by reference to the text of the Officer Exculpation Amendment, which is attached to this proxy statement as </w:t>
      </w:r>
      <w:r>
        <w:rPr>
          <w:rFonts w:ascii="Times New Roman;sans-serif" w:hAnsi="Times New Roman;sans-serif"/>
          <w:b w:val="false"/>
          <w:color w:val="000000"/>
          <w:sz w:val="20"/>
          <w:u w:val="single"/>
        </w:rPr>
        <w:t>Appendix C</w:t>
      </w:r>
      <w:r>
        <w:rPr>
          <w:rFonts w:ascii="Times New Roman;sans-serif" w:hAnsi="Times New Roman;sans-serif"/>
          <w:b w:val="false"/>
          <w:color w:val="000000"/>
          <w:sz w:val="20"/>
        </w:rPr>
        <w:t>. Additions to the Current Certificate are indicated by underlining, and deletions to the Current Certificate are indicated by strikeouts.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has approved and adopted the Officer Exculpation Amendment, declared it to be advisable and in the best interests of Veracyte and its stockholders and recommended that the stockholders adopt the Officer Exculpation Amendment.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believes that providing protection to officers to the fullest extent permitted by law is necessary to attract and retain highly qualified senior leadership, especially since we expect competitor companies to adopt similar exculpation clauses. The nature of the role of officers often requires them to make decisions on crucial matters often in time-sensitive situations, which can create risk of investigations, claims or proceedings seeking to impose liability on the basis of hindsight, especially in the current litigious environment and regardless of merit. Limiting concern about personal risk would empower both directors and officers to best exercise their business judgment in furtherance of stockholder interests and can benefit stockholders by encouraging appropriate risk taking that could result in greater innovation and growth. Exculpation could also reduce legal costs for Veracyte by discouraging lawsuits over matters covered by exculpation. This protection has long been afforded to directors, and the Board of Directors believes that extending similar exculpation to its officers is fair and in the best interests of Veracyte and its stockholders.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affirmative vote of at least 66 2/3% of the voting power of all of the shares of our common stock outstanding as of the Record Date is required to adopt the Officer Exculpation Amendment. If our stockholders adopt the Officer Exculpation Amendment, the Board of Directors has authorized our officers to file a certificate of amendment that reflects the Officer Exculpation Amendment with the Delaware Secretary of State, and such certificate of amendment would become effective upon such filing. The Board of Directors intends to make that filing if and as soon as practicable after this proposal is approved at the Annual Meeting. However, even if our stockholders adopt the Officer Exculpation Amendment, the Board of Directors may abandon the Officer Exculpation Amendment without further stockholder action prior to the effectiveness of the filing of the certificate of amendment reflecting the Officer Exculpation Amendment with the Delaware Secretary of State and, if abandoned, the Officer Exculpation Amendment will not become effective. If the Board of Directors abandons the Officer Exculpation Amendment, it will publicly disclose that fact and the reason for its determination. The approval of this proposal is not conditioned on the approval of any other proposal.</w:t>
      </w:r>
    </w:p>
    <w:p>
      <w:pPr>
        <w:pStyle w:val="TextBody"/>
        <w:spacing w:lineRule="auto" w:line="288" w:before="0" w:after="18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The Board of Directors Recommends a Vote “FOR” Adoption of an Amendment to the Current Certificate in Order to Permit the Exculpation of Officers from Personal Liability for Certain Breaches of the Duty of Care.</w:t>
      </w:r>
    </w:p>
    <w:p>
      <w:pPr>
        <w:pStyle w:val="TextBody"/>
        <w:spacing w:before="0" w:after="18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 AND MANAGEMENT</w:t>
      </w:r>
    </w:p>
    <w:p>
      <w:pPr>
        <w:pStyle w:val="TextBody"/>
        <w:spacing w:before="0" w:after="0"/>
        <w:jc w:val="center"/>
        <w:rPr/>
      </w:pPr>
      <w:r>
        <w:rPr/>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the number of shares of common stock beneficially owned on March 31, 2023, by:</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each person who is known by us to beneficially own 5% or more of our common stock;</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each of our named executive officers and directors; and</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6"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all of our current executive officers and directors as a group.</w:t>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determined beneficial ownership in accordance with SEC rules. Except as indicated by the footnotes below, we believe, based on the information furnished to us, that the persons and entities named in the table below have sole voting and dispositive power with respect to all shares of common stock that they beneficially own, subject to applicable community property laws.</w:t>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Applicable percentage ownership is based on 72,383,016 shares of common stock outstanding at March 31, 2023. In computing the number of shares of common stock beneficially owned by a person and the percentage ownership of that person, we deemed outstanding shares of common stock subject to options and RSUs held by that person that are currently exercisable or settleable or exercisable or settleable within 60 days of March 31, 2023. We did not deem these shares outstanding, however, for the purpose of computing the percentage ownership of any other person.</w:t>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set forth below, the address of each beneficial owner is 6000 Shoreline Court, Suite 300, South San Francisco, California 94080.</w:t>
      </w:r>
    </w:p>
    <w:tbl>
      <w:tblPr>
        <w:tblW w:w="7721" w:type="dxa"/>
        <w:jc w:val="left"/>
        <w:tblInd w:w="0" w:type="dxa"/>
        <w:tblCellMar>
          <w:top w:w="28" w:type="dxa"/>
          <w:left w:w="28" w:type="dxa"/>
          <w:bottom w:w="28" w:type="dxa"/>
          <w:right w:w="28" w:type="dxa"/>
        </w:tblCellMar>
      </w:tblPr>
      <w:tblGrid>
        <w:gridCol w:w="969"/>
        <w:gridCol w:w="849"/>
        <w:gridCol w:w="849"/>
        <w:gridCol w:w="849"/>
        <w:gridCol w:w="849"/>
        <w:gridCol w:w="869"/>
        <w:gridCol w:w="488"/>
        <w:gridCol w:w="488"/>
        <w:gridCol w:w="316"/>
        <w:gridCol w:w="255"/>
        <w:gridCol w:w="256"/>
        <w:gridCol w:w="684"/>
      </w:tblGrid>
      <w:tr>
        <w:trPr/>
        <w:tc>
          <w:tcPr>
            <w:tcW w:w="969"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and Address of Beneficial Owner</w:t>
            </w:r>
          </w:p>
        </w:tc>
        <w:tc>
          <w:tcPr>
            <w:tcW w:w="1292"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Beneficially</w:t>
            </w:r>
          </w:p>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Owned(1)</w:t>
            </w:r>
          </w:p>
        </w:tc>
        <w:tc>
          <w:tcPr>
            <w:tcW w:w="119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Percentage of</w:t>
            </w:r>
          </w:p>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Beneficially</w:t>
            </w:r>
          </w:p>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Owned</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 Stockholders:</w:t>
            </w:r>
          </w:p>
        </w:tc>
        <w:tc>
          <w:tcPr>
            <w:tcW w:w="12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ARK investment Management LLC (2)</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8,300,241 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6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Entities affiliated with The Vanguard Group (3)</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6,852,657 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6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Wellington Management Group LLP (4)</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6,636,543 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6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Blackrock, Inc. (5)</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6,534,569 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6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Street Corporation (6)</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4,159,331 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6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Entities affiliated with Artisan Partners Limited Partnership (7)</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3,761,031 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6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Directors and Named Executive Officers:</w:t>
            </w:r>
          </w:p>
        </w:tc>
        <w:tc>
          <w:tcPr>
            <w:tcW w:w="1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Bonnie H. Anderson (8)</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1,222,867 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 (9)</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180,318 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Chambers (10)</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50,360 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Tina Nova (11)</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125,495 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Annie McGuire (12)</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15,861 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Giulia C. Kennedy (13)</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Eliav Barr</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L. Bishop (14)</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93,720 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Muna Bhanji (15)</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Karin Eastham (16)</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78,720 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S. Epstein, M.D., M.S. (17)</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83,720 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Evan Jones (18)</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175,106 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Jens Holstein (19)</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25,333 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directors and executive officers as a group (11 persons) (20)</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1,933,699 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24"/>
        <w:gridCol w:w="109"/>
        <w:gridCol w:w="109"/>
        <w:gridCol w:w="2955"/>
        <w:gridCol w:w="2891"/>
        <w:gridCol w:w="401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5" w:type="dxa"/>
            <w:tcBorders/>
            <w:shd w:fill="auto" w:val="clear"/>
            <w:vAlign w:val="center"/>
          </w:tcPr>
          <w:p>
            <w:pPr>
              <w:pStyle w:val="TableContents"/>
              <w:spacing w:before="0" w:after="283"/>
              <w:rPr>
                <w:sz w:val="4"/>
                <w:szCs w:val="4"/>
              </w:rPr>
            </w:pPr>
            <w:r>
              <w:rPr>
                <w:sz w:val="4"/>
                <w:szCs w:val="4"/>
              </w:rPr>
            </w:r>
          </w:p>
        </w:tc>
        <w:tc>
          <w:tcPr>
            <w:tcW w:w="2891" w:type="dxa"/>
            <w:tcBorders/>
            <w:shd w:fill="auto" w:val="clear"/>
            <w:vAlign w:val="center"/>
          </w:tcPr>
          <w:p>
            <w:pPr>
              <w:pStyle w:val="TableContents"/>
              <w:spacing w:before="0" w:after="283"/>
              <w:rPr>
                <w:sz w:val="4"/>
                <w:szCs w:val="4"/>
              </w:rPr>
            </w:pPr>
            <w:r>
              <w:rPr>
                <w:sz w:val="4"/>
                <w:szCs w:val="4"/>
              </w:rPr>
            </w:r>
          </w:p>
        </w:tc>
        <w:tc>
          <w:tcPr>
            <w:tcW w:w="401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includes shares owned by a spouse, minor children and relatives sharing the same home, as well as entities owned or controlled by the named person. Unless otherwise indicated, shares are owned of record and beneficially by the named person.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a Schedule 13G filed on February 10, 2023, ARK Investment Management LLC has sole voting power with respect to 7,837,069 shares, shared voting power with respect to 463,172 shares and sole dispositive power with respect to 8,300,241 shares of our common stock. The address of ARK Investment Management LLC is 200 Central Avenue, ST. Petersburg, FL 33701.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7"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47"/>
        <w:gridCol w:w="129"/>
        <w:gridCol w:w="131"/>
        <w:gridCol w:w="2943"/>
        <w:gridCol w:w="2827"/>
        <w:gridCol w:w="4028"/>
      </w:tblGrid>
      <w:tr>
        <w:trPr/>
        <w:tc>
          <w:tcPr>
            <w:tcW w:w="14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943" w:type="dxa"/>
            <w:tcBorders/>
            <w:shd w:fill="auto" w:val="clear"/>
            <w:vAlign w:val="center"/>
          </w:tcPr>
          <w:p>
            <w:pPr>
              <w:pStyle w:val="TableContents"/>
              <w:spacing w:before="0" w:after="283"/>
              <w:rPr>
                <w:sz w:val="4"/>
                <w:szCs w:val="4"/>
              </w:rPr>
            </w:pPr>
            <w:r>
              <w:rPr>
                <w:sz w:val="4"/>
                <w:szCs w:val="4"/>
              </w:rPr>
            </w:r>
          </w:p>
        </w:tc>
        <w:tc>
          <w:tcPr>
            <w:tcW w:w="2827" w:type="dxa"/>
            <w:tcBorders/>
            <w:shd w:fill="auto" w:val="clear"/>
            <w:vAlign w:val="center"/>
          </w:tcPr>
          <w:p>
            <w:pPr>
              <w:pStyle w:val="TableContents"/>
              <w:spacing w:before="0" w:after="283"/>
              <w:rPr>
                <w:sz w:val="4"/>
                <w:szCs w:val="4"/>
              </w:rPr>
            </w:pPr>
            <w:r>
              <w:rPr>
                <w:sz w:val="4"/>
                <w:szCs w:val="4"/>
              </w:rPr>
            </w:r>
          </w:p>
        </w:tc>
        <w:tc>
          <w:tcPr>
            <w:tcW w:w="4028" w:type="dxa"/>
            <w:tcBorders/>
            <w:shd w:fill="auto" w:val="cle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a Schedule 13G filed on February 9, 2023, entities affiliated with The Vanguard Group have shared voting power with respect to 50,737 shares, sole dispositive power with respect to 6,734,271 shares, and shared dispositive power with respect 118,386 shares of our common stock. The address of The Vanguard Group is 100 Vanguard Blvd., Malvern, PA 19355.</w:t>
            </w:r>
          </w:p>
        </w:tc>
      </w:tr>
      <w:tr>
        <w:trPr/>
        <w:tc>
          <w:tcPr>
            <w:tcW w:w="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a Schedule 13G filed on February 6, 2023, Wellington Management Group LLP has shared voting power with respect to 5,766,760 shares and shared dispositive power with respect to 6,636,543 shares of our common stock. The address of Wellington Management Group LLP is 280 Congress Street, Boston, MA 02210.</w:t>
            </w:r>
          </w:p>
        </w:tc>
      </w:tr>
      <w:tr>
        <w:trPr/>
        <w:tc>
          <w:tcPr>
            <w:tcW w:w="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a Schedule 13G filed on January 25, 2023, Blackrock, Inc. has sole voting power with respect to 6,278,047 shares and sole dispositive power with respect to 6,534,569 shares of our common stock. The address of Blackrock, Inc. is 55 East 52nd Street, New York, NY, 10055.</w:t>
            </w:r>
          </w:p>
        </w:tc>
      </w:tr>
      <w:tr>
        <w:trPr/>
        <w:tc>
          <w:tcPr>
            <w:tcW w:w="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a Schedule 13G filed on February 6, 2023, State Street Corporation has shared voting power with respect to 4,008,404 shares and shared dispositive power with respect to 4,159,331 shares of our common stock. The address of State Street Corporation is State Street Financial Center, One Lincoln Street Boston, MA 02111.</w:t>
            </w:r>
          </w:p>
        </w:tc>
      </w:tr>
      <w:tr>
        <w:trPr/>
        <w:tc>
          <w:tcPr>
            <w:tcW w:w="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a Schedule 13G filed on February 10, 2023, entities affiliated with Artisan Partners Limited Partnership have shared voting power with respect to 3,087,756 shares and shared dispositive power with respect 3,761,031 shares of our common stock. The address of Artisan Partners Limited Partnership is 875 East Wisconsin Avenue, Suite 800, Milwaukee, WI 53202.</w:t>
            </w:r>
          </w:p>
        </w:tc>
      </w:tr>
      <w:tr>
        <w:trPr/>
        <w:tc>
          <w:tcPr>
            <w:tcW w:w="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24,431 shares of our common stock held by Ms. Anderson, (ii) options to purchase 1,063,636 shares of our common stock held by Ms. Anderson that are exercisable within 60 days of March 31, 2023, and (iii) 134,800 shares of our common stock held by the Bonnie H. Anderson Living Trust.</w:t>
            </w:r>
          </w:p>
        </w:tc>
      </w:tr>
      <w:tr>
        <w:trPr/>
        <w:tc>
          <w:tcPr>
            <w:tcW w:w="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84,122 shares of our common stock held by Mr. Stapley, and (ii) options to purchase 96,196 shares of our common stock held by Mr. Stapley that are exercisable within 60 days of March 31, 2023.</w:t>
            </w:r>
          </w:p>
        </w:tc>
      </w:tr>
      <w:tr>
        <w:trPr/>
        <w:tc>
          <w:tcPr>
            <w:tcW w:w="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8,636 shares of our common stock held by Ms. Chambers, and (ii) options to purchase 41,724 shares of our common stock held by Ms. Chambers that are exercisable within 60 days of March 31, 2023.</w:t>
            </w:r>
          </w:p>
        </w:tc>
      </w:tr>
      <w:tr>
        <w:trPr/>
        <w:tc>
          <w:tcPr>
            <w:tcW w:w="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20,442 shares of our common stock held by Ms. Nova, and (ii) options to purchase 105,053 shares of our common stock held by Ms. Nova that are exercisable within 60 days of March 31, 2023.</w:t>
            </w:r>
          </w:p>
        </w:tc>
      </w:tr>
      <w:tr>
        <w:trPr/>
        <w:tc>
          <w:tcPr>
            <w:tcW w:w="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3,561 shares of our common stock held by Ms. McGuire, and (ii) options to purchase 12,300 shares of our common stock held by Ms. McGuire that are exercisable within 60 days of March 31, 2023.</w:t>
            </w:r>
          </w:p>
        </w:tc>
      </w:tr>
      <w:tr>
        <w:trPr/>
        <w:tc>
          <w:tcPr>
            <w:tcW w:w="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Ms. Kennedy departed from the company effective December 31, 2022.</w:t>
            </w:r>
          </w:p>
        </w:tc>
      </w:tr>
      <w:tr>
        <w:trPr/>
        <w:tc>
          <w:tcPr>
            <w:tcW w:w="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8,720 shares of our common stock held by Mr. Bishop, and (ii) options to purchase 85,000 shares of our common stock held by Mr. Bishop that are exercisable within 60 days of March 31, 2023.</w:t>
            </w:r>
          </w:p>
        </w:tc>
      </w:tr>
      <w:tr>
        <w:trPr/>
        <w:tc>
          <w:tcPr>
            <w:tcW w:w="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7,694 shares of our common stock held by Ms. Bhanji.</w:t>
            </w:r>
          </w:p>
        </w:tc>
      </w:tr>
      <w:tr>
        <w:trPr/>
        <w:tc>
          <w:tcPr>
            <w:tcW w:w="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8,720 shares of our common stock held by Ms. Eastham, and (ii) options to purchase 70,000 shares of our common stock held by Ms. Eastham that are exercisable within 60 days of March 31, 2023.</w:t>
            </w:r>
          </w:p>
        </w:tc>
      </w:tr>
      <w:tr>
        <w:trPr/>
        <w:tc>
          <w:tcPr>
            <w:tcW w:w="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8,720 shares of our common stock held by Mr. Epstein, and (ii) options to purchase 75,000 shares of our common stock held by Mr. Epstein that are exercisable within 60 days of March 31, 2023.</w:t>
            </w:r>
          </w:p>
        </w:tc>
      </w:tr>
      <w:tr>
        <w:trPr/>
        <w:tc>
          <w:tcPr>
            <w:tcW w:w="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35,453 shares of our common stock held by Mr. Jones, (ii) options to purchase 70,000 shares of our common stock held by Mr. Jones that are exercisable within 60 days of March 31, 2023, and (iii) 69,653 shares held by jVen Capital, LLC, of which Mr. Jones is Managing Member.</w:t>
            </w:r>
          </w:p>
        </w:tc>
      </w:tr>
      <w:tr>
        <w:trPr/>
        <w:tc>
          <w:tcPr>
            <w:tcW w:w="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2,000 shares of our common stock held by Mr. Holstein, and (ii) options to purchase 23,333 shares of our common stock held by Mr. Holstein that are exercisable within 60 days of March 31, 2023.</w:t>
            </w:r>
          </w:p>
        </w:tc>
      </w:tr>
      <w:tr>
        <w:trPr/>
        <w:tc>
          <w:tcPr>
            <w:tcW w:w="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396,510 shares of our common stock, and (ii) options to purchase 1,537,189 shares of our common stock that are exercisable within 60 days of March 31, 2023.</w:t>
            </w:r>
          </w:p>
        </w:tc>
      </w:tr>
      <w:tr>
        <w:trPr/>
        <w:tc>
          <w:tcPr>
            <w:tcW w:w="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8"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spacing w:lineRule="auto" w:line="288" w:before="0" w:after="240"/>
        <w:rPr>
          <w:color w:val="000000"/>
        </w:rPr>
      </w:pPr>
      <w:r>
        <w:rPr>
          <w:color w:val="000000"/>
        </w:rPr>
        <w:t>    </w:t>
      </w:r>
      <w:r>
        <w:rPr>
          <w:rFonts w:ascii="Times New Roman;sans-serif" w:hAnsi="Times New Roman;sans-serif"/>
          <w:b w:val="false"/>
          <w:color w:val="000000"/>
          <w:sz w:val="20"/>
        </w:rPr>
        <w:t>The names of our executive officers, their ages and their positions as of April 10, 2023 are shown below:</w:t>
      </w:r>
    </w:p>
    <w:tbl>
      <w:tblPr>
        <w:tblW w:w="7769" w:type="dxa"/>
        <w:jc w:val="center"/>
        <w:tblInd w:w="0" w:type="dxa"/>
        <w:tblCellMar>
          <w:top w:w="28" w:type="dxa"/>
          <w:left w:w="28" w:type="dxa"/>
          <w:bottom w:w="28" w:type="dxa"/>
          <w:right w:w="28" w:type="dxa"/>
        </w:tblCellMar>
      </w:tblPr>
      <w:tblGrid>
        <w:gridCol w:w="602"/>
        <w:gridCol w:w="528"/>
        <w:gridCol w:w="534"/>
        <w:gridCol w:w="145"/>
        <w:gridCol w:w="145"/>
        <w:gridCol w:w="146"/>
        <w:gridCol w:w="1655"/>
        <w:gridCol w:w="1655"/>
        <w:gridCol w:w="2359"/>
      </w:tblGrid>
      <w:tr>
        <w:trPr/>
        <w:tc>
          <w:tcPr>
            <w:tcW w:w="602"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2359"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Age</w:t>
            </w:r>
          </w:p>
        </w:tc>
        <w:tc>
          <w:tcPr>
            <w:tcW w:w="56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6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w:t>
            </w:r>
          </w:p>
        </w:tc>
        <w:tc>
          <w:tcPr>
            <w:tcW w:w="4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56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6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c>
          <w:tcPr>
            <w:tcW w:w="4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6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6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Annie McGuire</w:t>
            </w:r>
          </w:p>
        </w:tc>
        <w:tc>
          <w:tcPr>
            <w:tcW w:w="4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566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and Chief People Officer</w:t>
            </w:r>
          </w:p>
        </w:tc>
      </w:tr>
    </w:tbl>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Executive Officer Information</w:t>
      </w:r>
    </w:p>
    <w:p>
      <w:pPr>
        <w:pStyle w:val="TextBody"/>
        <w:spacing w:before="0" w:after="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Mr. Stapley, please refer to “Proposal No. 1- Election of Directors.”</w:t>
      </w:r>
    </w:p>
    <w:p>
      <w:pPr>
        <w:pStyle w:val="TextBody"/>
        <w:spacing w:lineRule="auto" w:line="288" w:before="0" w:after="0"/>
        <w:ind w:left="0" w:right="0" w:firstLine="720"/>
        <w:jc w:val="both"/>
        <w:rPr/>
      </w:pPr>
      <w:r>
        <w:rPr>
          <w:rFonts w:ascii="Times New Roman;sans-serif" w:hAnsi="Times New Roman;sans-serif"/>
          <w:b w:val="false"/>
          <w:i/>
          <w:color w:val="000000"/>
          <w:sz w:val="20"/>
          <w:highlight w:val="white"/>
        </w:rPr>
        <w:t xml:space="preserve">Rebecca Chambers </w:t>
      </w:r>
      <w:r>
        <w:rPr>
          <w:rFonts w:ascii="Times New Roman;sans-serif" w:hAnsi="Times New Roman;sans-serif"/>
          <w:b w:val="false"/>
          <w:color w:val="000000"/>
          <w:sz w:val="20"/>
          <w:highlight w:val="white"/>
        </w:rPr>
        <w:t>ha</w:t>
      </w:r>
      <w:r>
        <w:rPr>
          <w:rFonts w:ascii="Times New Roman;sans-serif" w:hAnsi="Times New Roman;sans-serif"/>
          <w:b w:val="false"/>
          <w:color w:val="000000"/>
          <w:sz w:val="20"/>
        </w:rPr>
        <w:t>s served as our Chief Financial Officer since July 2021. Ms. Chambers also leads our CLIA Operations team, helping to drive execution and consistency across the Company’s three CLIA sites in the U.S. Prior to her appointment, Ms. Chambers served as Chief Financial Officer of Outset Medical, Inc., a medical technology company, from June 2019 to July 2021. Prior to that, Ms. Chambers served in a number of roles at Illumina, Inc., a genetic tools company, including as the Vice President, Financial Planning and Analysis from July 2017 to May 2019, as Vice President, Investor Relations and Treasury from April 2015 to June 2017, and as Senior Director, Investor Relations from October 2012 to April 2015. Previously, Ms. Chambers served as Head of Investor Relations and Corporate Communications at Myriad Genetics, Inc., a molecular diagnostic company, from January 2011 to October 2012, and Senior Manager, Investor Relations at Life Technologies, Inc., a biotechnology company, from May 2009 to December 2010. She also previously held positions with Bank of America, a financial services company, and Millennium Pharmaceuticals, a biopharmaceutical company. Ms. Chambers also currently serves on the board of Inari Medical, Inc., a medical device company focused on venous diseases. Ms. Chambers holds a B.S. from John Carroll University and an M.B.A. from The S.C. Johnson Graduate School of Management, Cornell University.</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Annie McGuire</w:t>
      </w:r>
      <w:r>
        <w:rPr>
          <w:color w:val="000000"/>
        </w:rPr>
        <w:t xml:space="preserve"> </w:t>
      </w:r>
      <w:r>
        <w:rPr>
          <w:rFonts w:ascii="Times New Roman;sans-serif" w:hAnsi="Times New Roman;sans-serif"/>
          <w:b w:val="false"/>
          <w:color w:val="000000"/>
          <w:sz w:val="20"/>
        </w:rPr>
        <w:t>has served as our General Counsel since February 2022 and Chief People Officer since January 2023. Prior to joining us, Ms. McGuire served as General Counsel and Corporate Secretary at Rakuten Medical, Inc., a biotechnology company developing cellular therapies, from April 2021 to February 2022. Ms. McGuire previously served as Vice President, Legal of MyoKardia, Inc., a biotechnology company, from August 2020 to April 2021, through its acquisition by Bristol Myers Squibb. Prior to MyoKardia, Ms. McGuire served in several senior legal positions including executive compensation, employment, M&amp;A and healthcare, as well as serving as the head of compliance for the bone health and cardiovascular business unit, at Amgen, Inc., a global biopharmaceutical company, from June 2007 to August 2020. Ms. McGuire began her career as an associate at the law firm Proskauer Rose LLP in New York and is admitted to the New York Bar. Ms. McGuire holds a Bachelor’s Degree from Pace University and a Juris Doctor from New York Law School.</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60"/>
        <w:jc w:val="center"/>
        <w:rPr/>
      </w:pPr>
      <w:r>
        <w:rPr/>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spacing w:before="0" w:after="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60"/>
        <w:rPr>
          <w:rFonts w:ascii="Times New Roman;sans-serif" w:hAnsi="Times New Roman;sans-serif"/>
          <w:b/>
          <w:color w:val="000000"/>
          <w:sz w:val="20"/>
        </w:rPr>
      </w:pPr>
      <w:r>
        <w:rPr>
          <w:rFonts w:ascii="Times New Roman;sans-serif" w:hAnsi="Times New Roman;sans-serif"/>
          <w:b/>
          <w:color w:val="000000"/>
          <w:sz w:val="20"/>
        </w:rPr>
        <w:t xml:space="preserve">Compensation Discussion &amp; Analysis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Compensation Discussion and Analysis (“CD&amp;A”) provides an overview of our executive compensation philosophy, the objectives of our executive compensation program and each compensation component that we provide. In addition, we explain how and why our Compensation Committee arrived at specific compensation policies and decisions involving our named executive officers for the year ended December 31, 2022. This CD&amp;A is intended to be read in conjunction with the immediately following tables, which include historical context of pay.</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9"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color w:val="000000"/>
          <w:sz w:val="24"/>
        </w:rPr>
        <w:t>T</w:t>
      </w:r>
      <w:r>
        <w:rPr>
          <w:rFonts w:ascii="Times New Roman;sans-serif" w:hAnsi="Times New Roman;sans-serif"/>
          <w:b w:val="false"/>
          <w:color w:val="000000"/>
          <w:sz w:val="20"/>
        </w:rPr>
        <w:t>he following executive officers constituted our Named Executive Officers (“NEOs”) for the year ended December 31, 2022:</w:t>
      </w:r>
    </w:p>
    <w:p>
      <w:pPr>
        <w:pStyle w:val="TextBody"/>
        <w:spacing w:before="0" w:after="0"/>
        <w:rPr/>
      </w:pPr>
      <w:r>
        <w:rPr/>
      </w:r>
    </w:p>
    <w:tbl>
      <w:tblPr>
        <w:tblW w:w="7574" w:type="dxa"/>
        <w:jc w:val="center"/>
        <w:tblInd w:w="0" w:type="dxa"/>
        <w:tblCellMar>
          <w:top w:w="28" w:type="dxa"/>
          <w:left w:w="28" w:type="dxa"/>
          <w:bottom w:w="28" w:type="dxa"/>
          <w:right w:w="28" w:type="dxa"/>
        </w:tblCellMar>
      </w:tblPr>
      <w:tblGrid>
        <w:gridCol w:w="689"/>
        <w:gridCol w:w="604"/>
        <w:gridCol w:w="611"/>
        <w:gridCol w:w="1656"/>
        <w:gridCol w:w="1656"/>
        <w:gridCol w:w="2358"/>
      </w:tblGrid>
      <w:tr>
        <w:trPr/>
        <w:tc>
          <w:tcPr>
            <w:tcW w:w="689"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656" w:type="dxa"/>
            <w:tcBorders/>
            <w:shd w:fill="auto" w:val="clear"/>
            <w:vAlign w:val="center"/>
          </w:tcPr>
          <w:p>
            <w:pPr>
              <w:pStyle w:val="TableContents"/>
              <w:spacing w:before="0" w:after="283"/>
              <w:rPr>
                <w:sz w:val="4"/>
                <w:szCs w:val="4"/>
              </w:rPr>
            </w:pPr>
            <w:r>
              <w:rPr>
                <w:sz w:val="4"/>
                <w:szCs w:val="4"/>
              </w:rPr>
            </w:r>
          </w:p>
        </w:tc>
        <w:tc>
          <w:tcPr>
            <w:tcW w:w="1656" w:type="dxa"/>
            <w:tcBorders/>
            <w:shd w:fill="auto" w:val="clear"/>
            <w:vAlign w:val="center"/>
          </w:tcPr>
          <w:p>
            <w:pPr>
              <w:pStyle w:val="TableContents"/>
              <w:spacing w:before="0" w:after="283"/>
              <w:rPr>
                <w:sz w:val="4"/>
                <w:szCs w:val="4"/>
              </w:rPr>
            </w:pPr>
            <w:r>
              <w:rPr>
                <w:sz w:val="4"/>
                <w:szCs w:val="4"/>
              </w:rPr>
            </w:r>
          </w:p>
        </w:tc>
        <w:tc>
          <w:tcPr>
            <w:tcW w:w="2358"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9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w:t>
            </w:r>
          </w:p>
        </w:tc>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9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9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Giulia C. Kennedy (1)</w:t>
            </w:r>
          </w:p>
        </w:tc>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Global Chief Scientific Officer and Chief Medical Officer</w:t>
            </w:r>
          </w:p>
        </w:tc>
      </w:tr>
      <w:tr>
        <w:trPr/>
        <w:tc>
          <w:tcPr>
            <w:tcW w:w="19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Annie McGuire (2)</w:t>
            </w:r>
          </w:p>
        </w:tc>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and Chief People Officer</w:t>
            </w:r>
          </w:p>
        </w:tc>
      </w:tr>
      <w:tr>
        <w:trPr/>
        <w:tc>
          <w:tcPr>
            <w:tcW w:w="19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Tina Nova</w:t>
            </w:r>
          </w:p>
        </w:tc>
        <w:tc>
          <w:tcPr>
            <w:tcW w:w="5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Manager, Decipher Urologic Cancers</w:t>
            </w:r>
          </w:p>
        </w:tc>
      </w:tr>
      <w:tr>
        <w:trPr/>
        <w:tc>
          <w:tcPr>
            <w:tcW w:w="19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7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Ms. Kennedy departed from the company effective December 31, 2022.</w:t>
            </w:r>
          </w:p>
        </w:tc>
      </w:tr>
      <w:tr>
        <w:trPr/>
        <w:tc>
          <w:tcPr>
            <w:tcW w:w="757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 Ms. McGuire was hired as General Counsel in February 2022.</w:t>
            </w:r>
          </w:p>
        </w:tc>
      </w:tr>
    </w:tbl>
    <w:p>
      <w:pPr>
        <w:pStyle w:val="TextBody"/>
        <w:spacing w:before="100" w:after="283"/>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2022, we continued our strong performance through exceptional execution on the top line and bottom line through disciplined financial and budget management. We have also continued to build executive depth under the stewardship of our CEO, Marc Stapley. In 2022, we broadened the role of our CFO, Rebecca Chambers, as she took on additional operational responsibilities to drive efficiency and financial discipline across our global business. We also added Annie McGuire as our General Counsel in February 2022 and have expanded her role as our Chief People Officer in January 2023. This coupled with our strong development capabilities has led to new innovative offerings and testing which is poised to drive growth ahead. We are proud of our accomplishments during 2022 including how our leaders have continued to navigate the global economic markets and ongoing uncertainty in the healthcare markets.</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financial and operational highlights of 2022 included:</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297"/>
        <w:gridCol w:w="261"/>
        <w:gridCol w:w="263"/>
        <w:gridCol w:w="3185"/>
        <w:gridCol w:w="2559"/>
        <w:gridCol w:w="3640"/>
      </w:tblGrid>
      <w:tr>
        <w:trPr/>
        <w:tc>
          <w:tcPr>
            <w:tcW w:w="297"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185" w:type="dxa"/>
            <w:tcBorders/>
            <w:shd w:fill="auto" w:val="clear"/>
            <w:vAlign w:val="center"/>
          </w:tcPr>
          <w:p>
            <w:pPr>
              <w:pStyle w:val="TableContents"/>
              <w:spacing w:before="0" w:after="283"/>
              <w:rPr>
                <w:sz w:val="4"/>
                <w:szCs w:val="4"/>
              </w:rPr>
            </w:pPr>
            <w:r>
              <w:rPr>
                <w:sz w:val="4"/>
                <w:szCs w:val="4"/>
              </w:rPr>
            </w:r>
          </w:p>
        </w:tc>
        <w:tc>
          <w:tcPr>
            <w:tcW w:w="2559" w:type="dxa"/>
            <w:tcBorders/>
            <w:shd w:fill="auto" w:val="clear"/>
            <w:vAlign w:val="center"/>
          </w:tcPr>
          <w:p>
            <w:pPr>
              <w:pStyle w:val="TableContents"/>
              <w:spacing w:before="0" w:after="283"/>
              <w:rPr>
                <w:sz w:val="4"/>
                <w:szCs w:val="4"/>
              </w:rPr>
            </w:pPr>
            <w:r>
              <w:rPr>
                <w:sz w:val="4"/>
                <w:szCs w:val="4"/>
              </w:rPr>
            </w:r>
          </w:p>
        </w:tc>
        <w:tc>
          <w:tcPr>
            <w:tcW w:w="3640" w:type="dxa"/>
            <w:tcBorders/>
            <w:shd w:fill="auto" w:val="clear"/>
            <w:vAlign w:val="center"/>
          </w:tcPr>
          <w:p>
            <w:pPr>
              <w:pStyle w:val="TableContents"/>
              <w:spacing w:before="0" w:after="283"/>
              <w:rPr>
                <w:sz w:val="4"/>
                <w:szCs w:val="4"/>
              </w:rPr>
            </w:pPr>
            <w:r>
              <w:rPr>
                <w:sz w:val="4"/>
                <w:szCs w:val="4"/>
              </w:rPr>
            </w:r>
          </w:p>
        </w:tc>
      </w:tr>
      <w:tr>
        <w:trPr/>
        <w:tc>
          <w:tcPr>
            <w:tcW w:w="82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457200" cy="457200"/>
                  <wp:effectExtent l="0" t="0" r="0" b="0"/>
                  <wp:docPr id="5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8" descr=""/>
                          <pic:cNvPicPr>
                            <a:picLocks noChangeAspect="1" noChangeArrowheads="1"/>
                          </pic:cNvPicPr>
                        </pic:nvPicPr>
                        <pic:blipFill>
                          <a:blip r:embed="rId9"/>
                          <a:stretch>
                            <a:fillRect/>
                          </a:stretch>
                        </pic:blipFill>
                        <pic:spPr bwMode="auto">
                          <a:xfrm>
                            <a:off x="0" y="0"/>
                            <a:ext cx="457200" cy="457200"/>
                          </a:xfrm>
                          <a:prstGeom prst="rect">
                            <a:avLst/>
                          </a:prstGeom>
                        </pic:spPr>
                      </pic:pic>
                    </a:graphicData>
                  </a:graphic>
                </wp:inline>
              </w:drawing>
            </w:r>
          </w:p>
        </w:tc>
        <w:tc>
          <w:tcPr>
            <w:tcW w:w="938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color w:val="000000"/>
                <w:sz w:val="20"/>
              </w:rPr>
              <w:t xml:space="preserve">Total Revenues: </w:t>
            </w:r>
            <w:r>
              <w:rPr>
                <w:rFonts w:ascii="Times New Roman;sans-serif" w:hAnsi="Times New Roman;sans-serif"/>
                <w:b w:val="false"/>
                <w:color w:val="000000"/>
                <w:sz w:val="20"/>
              </w:rPr>
              <w:t>$296.5 million</w:t>
            </w:r>
            <w:r>
              <w:rPr>
                <w:color w:val="000000"/>
              </w:rPr>
              <w:t xml:space="preserve"> </w:t>
            </w:r>
            <w:r>
              <w:rPr>
                <w:rFonts w:ascii="Times New Roman;sans-serif" w:hAnsi="Times New Roman;sans-serif"/>
                <w:b w:val="false"/>
                <w:i/>
                <w:color w:val="000000"/>
                <w:sz w:val="20"/>
              </w:rPr>
              <w:t>(increase of 35% over 2021)</w:t>
            </w:r>
          </w:p>
          <w:p>
            <w:pPr>
              <w:pStyle w:val="TableContents"/>
              <w:spacing w:lineRule="auto" w:line="276" w:before="0" w:after="0"/>
              <w:ind w:left="0" w:right="0" w:hanging="360"/>
              <w:jc w:val="left"/>
              <w:rPr/>
            </w:pPr>
            <w:r>
              <w:rPr>
                <w:color w:val="000000"/>
              </w:rPr>
              <w:t>•</w:t>
            </w:r>
            <w:r>
              <w:rPr>
                <w:rFonts w:ascii="Times New Roman;sans-serif" w:hAnsi="Times New Roman;sans-serif"/>
                <w:b/>
                <w:color w:val="000000"/>
                <w:sz w:val="20"/>
              </w:rPr>
              <w:t xml:space="preserve">Testing Revenue: </w:t>
            </w:r>
            <w:r>
              <w:rPr>
                <w:rFonts w:ascii="Times New Roman;sans-serif" w:hAnsi="Times New Roman;sans-serif"/>
                <w:b w:val="false"/>
                <w:color w:val="000000"/>
                <w:sz w:val="20"/>
              </w:rPr>
              <w:t>$250.5 million</w:t>
            </w:r>
            <w:r>
              <w:rPr>
                <w:color w:val="000000"/>
              </w:rPr>
              <w:t xml:space="preserve"> </w:t>
            </w:r>
            <w:r>
              <w:rPr>
                <w:rFonts w:ascii="Times New Roman;sans-serif" w:hAnsi="Times New Roman;sans-serif"/>
                <w:b w:val="false"/>
                <w:i/>
                <w:color w:val="000000"/>
                <w:sz w:val="20"/>
              </w:rPr>
              <w:t>(increase of 33% over 2021)</w:t>
            </w:r>
          </w:p>
        </w:tc>
      </w:tr>
      <w:tr>
        <w:trPr/>
        <w:tc>
          <w:tcPr>
            <w:tcW w:w="82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457200" cy="457200"/>
                  <wp:effectExtent l="0" t="0" r="0" b="0"/>
                  <wp:docPr id="5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9" descr=""/>
                          <pic:cNvPicPr>
                            <a:picLocks noChangeAspect="1" noChangeArrowheads="1"/>
                          </pic:cNvPicPr>
                        </pic:nvPicPr>
                        <pic:blipFill>
                          <a:blip r:embed="rId10"/>
                          <a:stretch>
                            <a:fillRect/>
                          </a:stretch>
                        </pic:blipFill>
                        <pic:spPr bwMode="auto">
                          <a:xfrm>
                            <a:off x="0" y="0"/>
                            <a:ext cx="457200" cy="457200"/>
                          </a:xfrm>
                          <a:prstGeom prst="rect">
                            <a:avLst/>
                          </a:prstGeom>
                        </pic:spPr>
                      </pic:pic>
                    </a:graphicData>
                  </a:graphic>
                </wp:inline>
              </w:drawing>
            </w:r>
          </w:p>
        </w:tc>
        <w:tc>
          <w:tcPr>
            <w:tcW w:w="9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both"/>
              <w:rPr/>
            </w:pPr>
            <w:r>
              <w:rPr>
                <w:rFonts w:ascii="Times New Roman;sans-serif" w:hAnsi="Times New Roman;sans-serif"/>
                <w:b/>
                <w:color w:val="000000"/>
                <w:sz w:val="20"/>
              </w:rPr>
              <w:t>Contributions from the acquisitions of Decipher and HalioDx</w:t>
            </w:r>
            <w:r>
              <w:rPr>
                <w:rFonts w:ascii="Times New Roman;sans-serif" w:hAnsi="Times New Roman;sans-serif"/>
                <w:b w:val="false"/>
                <w:color w:val="000000"/>
                <w:sz w:val="20"/>
              </w:rPr>
              <w:t xml:space="preserve">, </w:t>
            </w:r>
          </w:p>
          <w:p>
            <w:pPr>
              <w:pStyle w:val="TableContents"/>
              <w:spacing w:before="0" w:after="0"/>
              <w:jc w:val="both"/>
              <w:rPr/>
            </w:pPr>
            <w:r>
              <w:rPr/>
            </w:r>
          </w:p>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Decipher acquisition expanded our genomic testing menu into urologic cancers and provides us with the Decipher GRID (Genomic Resource for Intelligent Discovery), a platform and database that helps drive biopharmaceutical partnerships, KOL engagement and pipeline development in urologic cancers. We have continually expanded our GRID research use only product and data through collaboration with key healthcare professionals and academic institutions.</w:t>
            </w:r>
          </w:p>
          <w:p>
            <w:pPr>
              <w:pStyle w:val="TableContents"/>
              <w:spacing w:before="0" w:after="0"/>
              <w:jc w:val="both"/>
              <w:rPr/>
            </w:pPr>
            <w:r>
              <w:rPr/>
            </w:r>
          </w:p>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HalioDx acquisition brought us the capabilities and expertise to develop and manufacture our own IVD test kits for use on the nCounter Analysis System, and deepened our scientific expertise into the rapidly growing area of immuno-oncology, particularly as it relates to our biopharma business opportunities. Our offerings to our biopharma partners are bolstered by the HalioDx acquisition as our partners focus on the implications of the tumor microenvironment using tools such as Immunoscore IC, Immunosign, our Brightplex technology, and our Veracyte Biopharma Atlas reference database to inform their drug development programs. Immunogram, our multi-modal platform, provides a comprehensive understanding of the tumor immune microenvironment by seamlessly integrating data from a variety of genomic, transcriptomic, and proteomic platforms. </w:t>
            </w:r>
          </w:p>
        </w:tc>
      </w:tr>
      <w:tr>
        <w:trPr/>
        <w:tc>
          <w:tcPr>
            <w:tcW w:w="82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457200" cy="457200"/>
                  <wp:effectExtent l="0" t="0" r="0" b="0"/>
                  <wp:docPr id="5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0" descr=""/>
                          <pic:cNvPicPr>
                            <a:picLocks noChangeAspect="1" noChangeArrowheads="1"/>
                          </pic:cNvPicPr>
                        </pic:nvPicPr>
                        <pic:blipFill>
                          <a:blip r:embed="rId11"/>
                          <a:stretch>
                            <a:fillRect/>
                          </a:stretch>
                        </pic:blipFill>
                        <pic:spPr bwMode="auto">
                          <a:xfrm>
                            <a:off x="0" y="0"/>
                            <a:ext cx="457200" cy="457200"/>
                          </a:xfrm>
                          <a:prstGeom prst="rect">
                            <a:avLst/>
                          </a:prstGeom>
                        </pic:spPr>
                      </pic:pic>
                    </a:graphicData>
                  </a:graphic>
                </wp:inline>
              </w:drawing>
            </w:r>
          </w:p>
        </w:tc>
        <w:tc>
          <w:tcPr>
            <w:tcW w:w="9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120" w:after="120"/>
              <w:jc w:val="both"/>
              <w:rPr/>
            </w:pPr>
            <w:r>
              <w:rPr>
                <w:rFonts w:ascii="Times New Roman;sans-serif" w:hAnsi="Times New Roman;sans-serif"/>
                <w:b/>
                <w:color w:val="000000"/>
                <w:sz w:val="20"/>
              </w:rPr>
              <w:t>Grew test volume</w:t>
            </w:r>
            <w:r>
              <w:rPr>
                <w:color w:val="000000"/>
              </w:rPr>
              <w:t xml:space="preserve"> </w:t>
            </w:r>
            <w:r>
              <w:rPr>
                <w:rFonts w:ascii="Times New Roman;sans-serif" w:hAnsi="Times New Roman;sans-serif"/>
                <w:b w:val="false"/>
                <w:color w:val="000000"/>
                <w:sz w:val="20"/>
              </w:rPr>
              <w:t xml:space="preserve">to 102,524 in 2022 </w:t>
            </w:r>
            <w:r>
              <w:rPr>
                <w:rFonts w:ascii="Times New Roman;sans-serif" w:hAnsi="Times New Roman;sans-serif"/>
                <w:b w:val="false"/>
                <w:i/>
                <w:color w:val="000000"/>
                <w:sz w:val="20"/>
              </w:rPr>
              <w:t>(increase of 30% over 2021)</w:t>
            </w:r>
          </w:p>
          <w:p>
            <w:pPr>
              <w:pStyle w:val="TableContents"/>
              <w:spacing w:lineRule="auto" w:line="288" w:before="120" w:after="60"/>
              <w:jc w:val="both"/>
              <w:rPr/>
            </w:pPr>
            <w:r>
              <w:rPr>
                <w:rFonts w:ascii="Times New Roman;sans-serif" w:hAnsi="Times New Roman;sans-serif"/>
                <w:b w:val="false"/>
                <w:color w:val="000000"/>
                <w:sz w:val="20"/>
              </w:rPr>
              <w:t xml:space="preserve">Published multiple </w:t>
            </w:r>
            <w:r>
              <w:rPr>
                <w:rFonts w:ascii="Times New Roman;sans-serif" w:hAnsi="Times New Roman;sans-serif"/>
                <w:b/>
                <w:color w:val="000000"/>
                <w:sz w:val="20"/>
              </w:rPr>
              <w:t>clinical studies</w:t>
            </w:r>
            <w:r>
              <w:rPr>
                <w:color w:val="000000"/>
              </w:rPr>
              <w:t xml:space="preserve"> </w:t>
            </w:r>
            <w:r>
              <w:rPr>
                <w:rFonts w:ascii="Times New Roman;sans-serif" w:hAnsi="Times New Roman;sans-serif"/>
                <w:b w:val="false"/>
                <w:color w:val="000000"/>
                <w:sz w:val="20"/>
              </w:rPr>
              <w:t xml:space="preserve">for the Decipher, Afirma, Percepta and Envisia genomic classifiers. </w:t>
            </w:r>
          </w:p>
          <w:p>
            <w:pPr>
              <w:pStyle w:val="TableContents"/>
              <w:spacing w:lineRule="auto" w:line="288" w:before="0" w:after="60"/>
              <w:jc w:val="both"/>
              <w:rPr/>
            </w:pPr>
            <w:r>
              <w:rPr>
                <w:rFonts w:ascii="Times New Roman;sans-serif" w:hAnsi="Times New Roman;sans-serif"/>
                <w:b w:val="false"/>
                <w:color w:val="000000"/>
                <w:sz w:val="20"/>
              </w:rPr>
              <w:t xml:space="preserve">Broadened the </w:t>
            </w:r>
            <w:r>
              <w:rPr>
                <w:rFonts w:ascii="Times New Roman;sans-serif" w:hAnsi="Times New Roman;sans-serif"/>
                <w:b/>
                <w:color w:val="000000"/>
                <w:sz w:val="20"/>
              </w:rPr>
              <w:t>clinical evidence</w:t>
            </w:r>
            <w:r>
              <w:rPr>
                <w:color w:val="000000"/>
              </w:rPr>
              <w:t xml:space="preserve"> </w:t>
            </w:r>
            <w:r>
              <w:rPr>
                <w:rFonts w:ascii="Times New Roman;sans-serif" w:hAnsi="Times New Roman;sans-serif"/>
                <w:b w:val="false"/>
                <w:color w:val="000000"/>
                <w:sz w:val="20"/>
              </w:rPr>
              <w:t xml:space="preserve">for the Decipher Prostate Genomic Classifier and received the highest level of evidence (Level 1) for validation in the NCCN Guidelines. </w:t>
            </w:r>
          </w:p>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Continued enrolling the Percepta Nasal Swab test for improved early detection of lung cancer through the Nightingale clinical utility study.</w:t>
            </w:r>
          </w:p>
        </w:tc>
      </w:tr>
    </w:tbl>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Pay Program Overview</w:t>
      </w:r>
    </w:p>
    <w:p>
      <w:pPr>
        <w:pStyle w:val="TextBody"/>
        <w:spacing w:lineRule="auto" w:line="288" w:before="120" w:after="120"/>
        <w:ind w:left="0" w:right="0" w:firstLine="720"/>
        <w:jc w:val="both"/>
        <w:rPr/>
      </w:pPr>
      <w:r>
        <w:rPr>
          <w:rFonts w:ascii="Times New Roman;sans-serif" w:hAnsi="Times New Roman;sans-serif"/>
          <w:b w:val="false"/>
          <w:color w:val="000000"/>
          <w:sz w:val="20"/>
        </w:rPr>
        <w:t xml:space="preserve">We believe that the design and structure of our pay program, and, in particular our incentive plans, support our business strategy and organizational objectives while successfully aligning executive focus and interest with that of stockholders. </w:t>
      </w:r>
      <w:r>
        <w:rPr>
          <w:rFonts w:ascii="Times New Roman;sans-serif" w:hAnsi="Times New Roman;sans-serif"/>
          <w:b w:val="false"/>
          <w:color w:val="000000"/>
          <w:sz w:val="20"/>
          <w:highlight w:val="white"/>
        </w:rPr>
        <w:t xml:space="preserve">Our compensation programs are designed to reward our executives for superior short- and long-term performance. </w:t>
      </w:r>
      <w:r>
        <w:rPr>
          <w:rFonts w:ascii="Times New Roman;sans-serif" w:hAnsi="Times New Roman;sans-serif"/>
          <w:b w:val="false"/>
          <w:color w:val="000000"/>
          <w:sz w:val="20"/>
        </w:rPr>
        <w:t>All pay elements, and the safeguards and governance features of the program, have been carefully chosen and implemented to align with our pay philosophy and objectives.</w:t>
      </w:r>
    </w:p>
    <w:p>
      <w:pPr>
        <w:pStyle w:val="TextBody"/>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doing so, our Compensation Committee uses the following framework to achieve these objectives:</w:t>
      </w:r>
    </w:p>
    <w:tbl>
      <w:tblPr>
        <w:tblW w:w="10205" w:type="dxa"/>
        <w:jc w:val="left"/>
        <w:tblInd w:w="0" w:type="dxa"/>
        <w:tblCellMar>
          <w:top w:w="28" w:type="dxa"/>
          <w:left w:w="28" w:type="dxa"/>
          <w:bottom w:w="28" w:type="dxa"/>
          <w:right w:w="28" w:type="dxa"/>
        </w:tblCellMar>
      </w:tblPr>
      <w:tblGrid>
        <w:gridCol w:w="734"/>
        <w:gridCol w:w="573"/>
        <w:gridCol w:w="509"/>
        <w:gridCol w:w="2451"/>
        <w:gridCol w:w="2451"/>
        <w:gridCol w:w="3487"/>
      </w:tblGrid>
      <w:tr>
        <w:trPr/>
        <w:tc>
          <w:tcPr>
            <w:tcW w:w="734"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451" w:type="dxa"/>
            <w:tcBorders/>
            <w:shd w:fill="auto" w:val="clear"/>
            <w:vAlign w:val="center"/>
          </w:tcPr>
          <w:p>
            <w:pPr>
              <w:pStyle w:val="TableContents"/>
              <w:spacing w:before="0" w:after="283"/>
              <w:rPr>
                <w:sz w:val="4"/>
                <w:szCs w:val="4"/>
              </w:rPr>
            </w:pPr>
            <w:r>
              <w:rPr>
                <w:sz w:val="4"/>
                <w:szCs w:val="4"/>
              </w:rPr>
            </w:r>
          </w:p>
        </w:tc>
        <w:tc>
          <w:tcPr>
            <w:tcW w:w="2451" w:type="dxa"/>
            <w:tcBorders/>
            <w:shd w:fill="auto" w:val="clear"/>
            <w:vAlign w:val="center"/>
          </w:tcPr>
          <w:p>
            <w:pPr>
              <w:pStyle w:val="TableContents"/>
              <w:spacing w:before="0" w:after="283"/>
              <w:rPr>
                <w:sz w:val="4"/>
                <w:szCs w:val="4"/>
              </w:rPr>
            </w:pPr>
            <w:r>
              <w:rPr>
                <w:sz w:val="4"/>
                <w:szCs w:val="4"/>
              </w:rPr>
            </w:r>
          </w:p>
        </w:tc>
        <w:tc>
          <w:tcPr>
            <w:tcW w:w="3487" w:type="dxa"/>
            <w:tcBorders/>
            <w:shd w:fill="auto" w:val="clear"/>
            <w:vAlign w:val="center"/>
          </w:tcPr>
          <w:p>
            <w:pPr>
              <w:pStyle w:val="TableContents"/>
              <w:spacing w:before="0" w:after="283"/>
              <w:rPr>
                <w:sz w:val="4"/>
                <w:szCs w:val="4"/>
              </w:rPr>
            </w:pPr>
            <w:r>
              <w:rPr>
                <w:sz w:val="4"/>
                <w:szCs w:val="4"/>
              </w:rPr>
            </w:r>
          </w:p>
        </w:tc>
      </w:tr>
      <w:tr>
        <w:trPr/>
        <w:tc>
          <w:tcPr>
            <w:tcW w:w="181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283"/>
              <w:jc w:val="left"/>
              <w:rPr/>
            </w:pPr>
            <w:r>
              <w:rPr>
                <w:rFonts w:ascii="Times New Roman;sans-serif" w:hAnsi="Times New Roman;sans-serif"/>
                <w:b/>
                <w:sz w:val="20"/>
              </w:rPr>
              <w:br/>
            </w:r>
            <w:r>
              <w:rPr>
                <w:rFonts w:ascii="Times New Roman;sans-serif" w:hAnsi="Times New Roman;sans-serif"/>
                <w:b/>
                <w:color w:val="000000"/>
                <w:sz w:val="20"/>
              </w:rPr>
              <w:t>Base Salary</w:t>
            </w:r>
          </w:p>
        </w:tc>
        <w:tc>
          <w:tcPr>
            <w:tcW w:w="83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76" w:before="0" w:after="60"/>
              <w:ind w:left="0" w:right="0" w:hanging="360"/>
              <w:jc w:val="left"/>
              <w:rPr/>
            </w:pPr>
            <w:r>
              <w:rPr>
                <w:color w:val="000000"/>
              </w:rPr>
              <w:t>•</w:t>
            </w:r>
            <w:r>
              <w:rPr>
                <w:rFonts w:ascii="Times New Roman;sans-serif" w:hAnsi="Times New Roman;sans-serif"/>
                <w:b w:val="false"/>
                <w:color w:val="000000"/>
                <w:sz w:val="20"/>
              </w:rPr>
              <w:t>Base salaries are set to be competitive within our industry and are important in attracting and retaining talented executives.</w:t>
            </w:r>
          </w:p>
          <w:p>
            <w:pPr>
              <w:pStyle w:val="TableContents"/>
              <w:spacing w:lineRule="auto" w:line="276" w:before="0" w:after="60"/>
              <w:ind w:left="0" w:right="0" w:hanging="360"/>
              <w:jc w:val="left"/>
              <w:rPr/>
            </w:pPr>
            <w:r>
              <w:rPr>
                <w:color w:val="000000"/>
              </w:rPr>
              <w:t>•</w:t>
            </w:r>
            <w:r>
              <w:rPr>
                <w:rFonts w:ascii="Times New Roman;sans-serif" w:hAnsi="Times New Roman;sans-serif"/>
                <w:b w:val="false"/>
                <w:color w:val="000000"/>
                <w:sz w:val="20"/>
              </w:rPr>
              <w:t>Base salaries are fixed pay set with consideration for responsibilities, experience, individual contribution expectations and market data.</w:t>
            </w:r>
          </w:p>
        </w:tc>
      </w:tr>
      <w:tr>
        <w:trPr/>
        <w:tc>
          <w:tcPr>
            <w:tcW w:w="181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283"/>
              <w:jc w:val="left"/>
              <w:rPr/>
            </w:pPr>
            <w:r>
              <w:rPr>
                <w:rFonts w:ascii="Times New Roman;sans-serif" w:hAnsi="Times New Roman;sans-serif"/>
                <w:b/>
                <w:sz w:val="20"/>
              </w:rPr>
              <w:br/>
            </w:r>
            <w:r>
              <w:rPr>
                <w:rFonts w:ascii="Times New Roman;sans-serif" w:hAnsi="Times New Roman;sans-serif"/>
                <w:b/>
                <w:color w:val="000000"/>
                <w:sz w:val="20"/>
              </w:rPr>
              <w:t>Annual Cash Incentives</w:t>
            </w:r>
          </w:p>
        </w:tc>
        <w:tc>
          <w:tcPr>
            <w:tcW w:w="83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76" w:before="0" w:after="60"/>
              <w:ind w:left="0" w:right="0" w:hanging="360"/>
              <w:jc w:val="both"/>
              <w:rPr/>
            </w:pPr>
            <w:r>
              <w:rPr>
                <w:color w:val="000000"/>
              </w:rPr>
              <w:t>•</w:t>
            </w:r>
            <w:r>
              <w:rPr>
                <w:rFonts w:ascii="Times New Roman;sans-serif" w:hAnsi="Times New Roman;sans-serif"/>
                <w:b w:val="false"/>
                <w:color w:val="000000"/>
                <w:sz w:val="20"/>
              </w:rPr>
              <w:t>The annual cash incentive award plan is intended to motivate and reward our executives for the achievement of certain strategic goals of Veracyte set by our Board of Directors.</w:t>
            </w:r>
          </w:p>
          <w:p>
            <w:pPr>
              <w:pStyle w:val="TableContents"/>
              <w:spacing w:lineRule="auto" w:line="276" w:before="0" w:after="60"/>
              <w:ind w:left="0" w:right="0" w:hanging="360"/>
              <w:jc w:val="both"/>
              <w:rPr/>
            </w:pPr>
            <w:r>
              <w:rPr>
                <w:color w:val="000000"/>
              </w:rPr>
              <w:t>•</w:t>
            </w:r>
            <w:r>
              <w:rPr>
                <w:rFonts w:ascii="Times New Roman;sans-serif" w:hAnsi="Times New Roman;sans-serif"/>
                <w:b w:val="false"/>
                <w:color w:val="000000"/>
                <w:sz w:val="20"/>
              </w:rPr>
              <w:t>In 2022, our annual incentives were based on key corporate objectives, including product revenue, cash flow from operations, and advancement of our product portfolio as well as individual contributions.</w:t>
            </w:r>
          </w:p>
        </w:tc>
      </w:tr>
      <w:tr>
        <w:trPr/>
        <w:tc>
          <w:tcPr>
            <w:tcW w:w="181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76" w:before="0" w:after="283"/>
              <w:jc w:val="left"/>
              <w:rPr/>
            </w:pPr>
            <w:r>
              <w:rPr>
                <w:rFonts w:ascii="Times New Roman;sans-serif" w:hAnsi="Times New Roman;sans-serif"/>
                <w:b/>
                <w:sz w:val="20"/>
              </w:rPr>
              <w:br/>
            </w:r>
            <w:r>
              <w:rPr>
                <w:rFonts w:ascii="Times New Roman;sans-serif" w:hAnsi="Times New Roman;sans-serif"/>
                <w:b/>
                <w:color w:val="000000"/>
                <w:sz w:val="20"/>
              </w:rPr>
              <w:t>Long-Term Equity Incentives</w:t>
            </w:r>
          </w:p>
        </w:tc>
        <w:tc>
          <w:tcPr>
            <w:tcW w:w="838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76" w:before="0" w:after="60"/>
              <w:ind w:left="0" w:right="0" w:hanging="360"/>
              <w:jc w:val="both"/>
              <w:rPr/>
            </w:pPr>
            <w:r>
              <w:rPr>
                <w:color w:val="000000"/>
              </w:rPr>
              <w:t>•</w:t>
            </w:r>
            <w:r>
              <w:rPr>
                <w:rFonts w:ascii="Times New Roman;sans-serif" w:hAnsi="Times New Roman;sans-serif"/>
                <w:b w:val="false"/>
                <w:color w:val="000000"/>
                <w:sz w:val="20"/>
              </w:rPr>
              <w:t>Long-term equity awards incentivize executives to deliver long-term stockholder value, while also providing a retention vehicle for our top executive talent.</w:t>
            </w:r>
          </w:p>
          <w:p>
            <w:pPr>
              <w:pStyle w:val="TableContents"/>
              <w:spacing w:lineRule="auto" w:line="276" w:before="0" w:after="60"/>
              <w:ind w:left="0" w:right="0" w:hanging="360"/>
              <w:jc w:val="left"/>
              <w:rPr/>
            </w:pPr>
            <w:r>
              <w:rPr>
                <w:color w:val="000000"/>
              </w:rPr>
              <w:t>•</w:t>
            </w:r>
            <w:r>
              <w:rPr>
                <w:rFonts w:ascii="Times New Roman;sans-serif" w:hAnsi="Times New Roman;sans-serif"/>
                <w:b w:val="false"/>
                <w:color w:val="000000"/>
                <w:sz w:val="20"/>
              </w:rPr>
              <w:t>Equity awards are typically delivered as:</w:t>
            </w:r>
          </w:p>
          <w:p>
            <w:pPr>
              <w:pStyle w:val="TableContents"/>
              <w:spacing w:lineRule="auto" w:line="276" w:before="0" w:after="60"/>
              <w:ind w:left="0" w:right="0" w:hanging="360"/>
              <w:jc w:val="left"/>
              <w:rPr/>
            </w:pPr>
            <w:r>
              <w:rPr>
                <w:color w:val="000000"/>
              </w:rPr>
              <w:t>◦</w:t>
            </w:r>
            <w:r>
              <w:rPr>
                <w:rFonts w:ascii="Times New Roman;sans-serif" w:hAnsi="Times New Roman;sans-serif"/>
                <w:b w:val="false"/>
                <w:color w:val="000000"/>
                <w:sz w:val="20"/>
              </w:rPr>
              <w:t>Stock options</w:t>
            </w:r>
          </w:p>
          <w:p>
            <w:pPr>
              <w:pStyle w:val="TableContents"/>
              <w:spacing w:lineRule="auto" w:line="276" w:before="0" w:after="60"/>
              <w:ind w:left="0" w:right="0" w:hanging="360"/>
              <w:jc w:val="left"/>
              <w:rPr/>
            </w:pPr>
            <w:r>
              <w:rPr>
                <w:color w:val="000000"/>
              </w:rPr>
              <w:t>◦</w:t>
            </w:r>
            <w:r>
              <w:rPr>
                <w:rFonts w:ascii="Times New Roman;sans-serif" w:hAnsi="Times New Roman;sans-serif"/>
                <w:b w:val="false"/>
                <w:color w:val="000000"/>
                <w:sz w:val="20"/>
              </w:rPr>
              <w:t>RSUs</w:t>
            </w:r>
          </w:p>
          <w:p>
            <w:pPr>
              <w:pStyle w:val="TableContents"/>
              <w:spacing w:lineRule="auto" w:line="276" w:before="0" w:after="60"/>
              <w:ind w:left="0" w:right="0" w:hanging="360"/>
              <w:jc w:val="left"/>
              <w:rPr/>
            </w:pPr>
            <w:r>
              <w:rPr>
                <w:color w:val="000000"/>
              </w:rPr>
              <w:t>◦</w:t>
            </w:r>
            <w:r>
              <w:rPr>
                <w:rFonts w:ascii="Times New Roman;sans-serif" w:hAnsi="Times New Roman;sans-serif"/>
                <w:b w:val="false"/>
                <w:color w:val="000000"/>
                <w:sz w:val="20"/>
              </w:rPr>
              <w:t>PSUs</w:t>
            </w:r>
          </w:p>
        </w:tc>
      </w:tr>
    </w:tbl>
    <w:p>
      <w:pPr>
        <w:pStyle w:val="TextBody"/>
        <w:spacing w:before="0" w:after="0"/>
        <w:ind w:left="0" w:right="0" w:firstLine="36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2022 Target Pay Mix</w:t>
      </w:r>
    </w:p>
    <w:p>
      <w:pPr>
        <w:pStyle w:val="TextBody"/>
        <w:spacing w:lineRule="auto" w:line="288" w:before="120" w:after="120"/>
        <w:ind w:left="0" w:right="0" w:firstLine="720"/>
        <w:jc w:val="both"/>
        <w:rPr/>
      </w:pPr>
      <w:r>
        <w:rPr>
          <w:rFonts w:ascii="Times New Roman;sans-serif" w:hAnsi="Times New Roman;sans-serif"/>
          <w:b w:val="false"/>
          <w:color w:val="000000"/>
          <w:sz w:val="20"/>
        </w:rPr>
        <w:t xml:space="preserve">Consistent with our philosophy of aligning executive pay with Veracyte's short- and long-term performance, and to align the interests of management and stockholders, our compensation programs are designed such that the majority of executive compensation is in the form of </w:t>
      </w:r>
      <w:r>
        <w:rPr>
          <w:rFonts w:ascii="Times New Roman;sans-serif" w:hAnsi="Times New Roman;sans-serif"/>
          <w:b w:val="false"/>
          <w:color w:val="000000"/>
          <w:sz w:val="20"/>
          <w:highlight w:val="white"/>
        </w:rPr>
        <w:t>variable</w:t>
      </w:r>
      <w:r>
        <w:rPr>
          <w:rFonts w:ascii="Times New Roman;sans-serif" w:hAnsi="Times New Roman;sans-serif"/>
          <w:b w:val="false"/>
          <w:color w:val="000000"/>
          <w:sz w:val="20"/>
        </w:rPr>
        <w:t>, at-risk, incentive pay. For 2022, our Compensation Committee structured target pay packages for our CEO and NEOs was as follows:</w:t>
      </w:r>
    </w:p>
    <w:p>
      <w:pPr>
        <w:pStyle w:val="TextBody"/>
        <w:spacing w:before="120" w:after="120"/>
        <w:jc w:val="both"/>
        <w:rPr/>
      </w:pPr>
      <w:r>
        <w:rPr/>
        <w:drawing>
          <wp:inline distT="0" distB="63500" distL="0" distR="0">
            <wp:extent cx="6515100" cy="1943100"/>
            <wp:effectExtent l="0" t="0" r="0" b="0"/>
            <wp:docPr id="5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1" descr=""/>
                    <pic:cNvPicPr>
                      <a:picLocks noChangeAspect="1" noChangeArrowheads="1"/>
                    </pic:cNvPicPr>
                  </pic:nvPicPr>
                  <pic:blipFill>
                    <a:blip r:embed="rId12"/>
                    <a:stretch>
                      <a:fillRect/>
                    </a:stretch>
                  </pic:blipFill>
                  <pic:spPr bwMode="auto">
                    <a:xfrm>
                      <a:off x="0" y="0"/>
                      <a:ext cx="6515100" cy="1943100"/>
                    </a:xfrm>
                    <a:prstGeom prst="rect">
                      <a:avLst/>
                    </a:prstGeom>
                  </pic:spPr>
                </pic:pic>
              </a:graphicData>
            </a:graphic>
          </wp:inline>
        </w:drawing>
      </w:r>
    </w:p>
    <w:p>
      <w:pPr>
        <w:pStyle w:val="TextBody"/>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Notes: Includes target annual cash-based incentives and the grant date fair value of annual equity grants, but excludes retention grants and new hire equity grants.</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Compensation Governance</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Committee is responsible for oversight of Veracyte's compensation program and practices. The committee maintains a pay program defined by robust corporate governance and a commitment to stockholder interests. We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120" w:after="120"/>
        <w:jc w:val="both"/>
        <w:rPr/>
      </w:pPr>
      <w:r>
        <w:rPr>
          <w:rFonts w:ascii="Times New Roman;sans-serif" w:hAnsi="Times New Roman;sans-serif"/>
          <w:b w:val="false"/>
          <w:color w:val="000000"/>
          <w:sz w:val="20"/>
        </w:rPr>
        <w:t xml:space="preserve">have committed to numerous </w:t>
      </w:r>
      <w:r>
        <w:rPr>
          <w:rFonts w:ascii="Times New Roman;sans-serif" w:hAnsi="Times New Roman;sans-serif"/>
          <w:b w:val="false"/>
          <w:color w:val="000000"/>
          <w:sz w:val="20"/>
          <w:highlight w:val="white"/>
        </w:rPr>
        <w:t>practices</w:t>
      </w:r>
      <w:r>
        <w:rPr>
          <w:color w:val="000000"/>
        </w:rPr>
        <w:t xml:space="preserve"> </w:t>
      </w:r>
      <w:r>
        <w:rPr>
          <w:rFonts w:ascii="Times New Roman;sans-serif" w:hAnsi="Times New Roman;sans-serif"/>
          <w:b w:val="false"/>
          <w:color w:val="000000"/>
          <w:sz w:val="20"/>
        </w:rPr>
        <w:t xml:space="preserve">and safeguards to ensure the compensation program does not misalign those interests. These include: </w:t>
      </w:r>
    </w:p>
    <w:p>
      <w:pPr>
        <w:pStyle w:val="TextBody"/>
        <w:spacing w:before="0" w:after="0"/>
        <w:ind w:left="0" w:right="0" w:firstLine="495"/>
        <w:jc w:val="both"/>
        <w:rPr/>
      </w:pPr>
      <w:r>
        <w:rPr/>
      </w:r>
    </w:p>
    <w:tbl>
      <w:tblPr>
        <w:tblW w:w="9133" w:type="dxa"/>
        <w:jc w:val="left"/>
        <w:tblInd w:w="0" w:type="dxa"/>
        <w:tblCellMar>
          <w:top w:w="28" w:type="dxa"/>
          <w:left w:w="28" w:type="dxa"/>
          <w:bottom w:w="28" w:type="dxa"/>
          <w:right w:w="28" w:type="dxa"/>
        </w:tblCellMar>
      </w:tblPr>
      <w:tblGrid>
        <w:gridCol w:w="618"/>
        <w:gridCol w:w="543"/>
        <w:gridCol w:w="548"/>
        <w:gridCol w:w="2174"/>
        <w:gridCol w:w="2174"/>
        <w:gridCol w:w="3076"/>
      </w:tblGrid>
      <w:tr>
        <w:trPr/>
        <w:tc>
          <w:tcPr>
            <w:tcW w:w="618"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2174" w:type="dxa"/>
            <w:tcBorders/>
            <w:shd w:fill="auto" w:val="clear"/>
            <w:vAlign w:val="center"/>
          </w:tcPr>
          <w:p>
            <w:pPr>
              <w:pStyle w:val="TableContents"/>
              <w:spacing w:before="0" w:after="283"/>
              <w:rPr>
                <w:sz w:val="4"/>
                <w:szCs w:val="4"/>
              </w:rPr>
            </w:pPr>
            <w:r>
              <w:rPr>
                <w:sz w:val="4"/>
                <w:szCs w:val="4"/>
              </w:rPr>
            </w:r>
          </w:p>
        </w:tc>
        <w:tc>
          <w:tcPr>
            <w:tcW w:w="2174" w:type="dxa"/>
            <w:tcBorders/>
            <w:shd w:fill="auto" w:val="clear"/>
            <w:vAlign w:val="center"/>
          </w:tcPr>
          <w:p>
            <w:pPr>
              <w:pStyle w:val="TableContents"/>
              <w:spacing w:before="0" w:after="283"/>
              <w:rPr>
                <w:sz w:val="4"/>
                <w:szCs w:val="4"/>
              </w:rPr>
            </w:pPr>
            <w:r>
              <w:rPr>
                <w:sz w:val="4"/>
                <w:szCs w:val="4"/>
              </w:rPr>
            </w:r>
          </w:p>
        </w:tc>
        <w:tc>
          <w:tcPr>
            <w:tcW w:w="3076"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What We Do</w:t>
            </w:r>
          </w:p>
        </w:tc>
        <w:tc>
          <w:tcPr>
            <w:tcW w:w="742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76" w:before="0" w:after="0"/>
              <w:ind w:left="0" w:right="0" w:hanging="360"/>
              <w:jc w:val="left"/>
              <w:rPr/>
            </w:pPr>
            <w:r>
              <w:rPr>
                <w:color w:val="000000"/>
              </w:rPr>
              <w:t>•</w:t>
            </w:r>
            <w:r>
              <w:rPr>
                <w:rFonts w:ascii="Times New Roman;sans-serif" w:hAnsi="Times New Roman;sans-serif"/>
                <w:b w:val="false"/>
                <w:color w:val="000000"/>
                <w:sz w:val="20"/>
              </w:rPr>
              <w:t>Pay-for-performance philosophy and culture</w:t>
            </w:r>
          </w:p>
          <w:p>
            <w:pPr>
              <w:pStyle w:val="TableContents"/>
              <w:spacing w:lineRule="auto" w:line="276" w:before="0" w:after="0"/>
              <w:ind w:left="0" w:right="0" w:hanging="360"/>
              <w:jc w:val="left"/>
              <w:rPr/>
            </w:pPr>
            <w:r>
              <w:rPr>
                <w:color w:val="000000"/>
              </w:rPr>
              <w:t>•</w:t>
            </w:r>
            <w:r>
              <w:rPr>
                <w:rFonts w:ascii="Times New Roman;sans-serif" w:hAnsi="Times New Roman;sans-serif"/>
                <w:b w:val="false"/>
                <w:color w:val="000000"/>
                <w:sz w:val="20"/>
              </w:rPr>
              <w:t>An appropriate mix of short and long-term incentives for our executives</w:t>
            </w:r>
          </w:p>
          <w:p>
            <w:pPr>
              <w:pStyle w:val="TableContents"/>
              <w:spacing w:lineRule="auto" w:line="276" w:before="0" w:after="0"/>
              <w:ind w:left="0" w:right="0" w:hanging="360"/>
              <w:jc w:val="left"/>
              <w:rPr/>
            </w:pPr>
            <w:r>
              <w:rPr>
                <w:color w:val="000000"/>
              </w:rPr>
              <w:t>•</w:t>
            </w:r>
            <w:r>
              <w:rPr>
                <w:rFonts w:ascii="Times New Roman;sans-serif" w:hAnsi="Times New Roman;sans-serif"/>
                <w:b w:val="false"/>
                <w:color w:val="000000"/>
                <w:sz w:val="20"/>
              </w:rPr>
              <w:t>Responsible use of shares under our long-term incentive program</w:t>
            </w:r>
          </w:p>
          <w:p>
            <w:pPr>
              <w:pStyle w:val="TableContents"/>
              <w:spacing w:lineRule="auto" w:line="276" w:before="0" w:after="0"/>
              <w:ind w:left="0" w:right="0" w:hanging="360"/>
              <w:jc w:val="left"/>
              <w:rPr/>
            </w:pPr>
            <w:r>
              <w:rPr>
                <w:color w:val="000000"/>
              </w:rPr>
              <w:t>•</w:t>
            </w:r>
            <w:r>
              <w:rPr>
                <w:rFonts w:ascii="Times New Roman;sans-serif" w:hAnsi="Times New Roman;sans-serif"/>
                <w:b w:val="false"/>
                <w:color w:val="000000"/>
                <w:sz w:val="20"/>
              </w:rPr>
              <w:t>Perform an annual risk assessment of our compensation program</w:t>
            </w:r>
          </w:p>
          <w:p>
            <w:pPr>
              <w:pStyle w:val="TableContents"/>
              <w:spacing w:lineRule="auto" w:line="276" w:before="0" w:after="0"/>
              <w:ind w:left="0" w:right="0" w:hanging="360"/>
              <w:jc w:val="left"/>
              <w:rPr/>
            </w:pPr>
            <w:r>
              <w:rPr>
                <w:color w:val="000000"/>
              </w:rPr>
              <w:t>•</w:t>
            </w:r>
            <w:r>
              <w:rPr>
                <w:rFonts w:ascii="Times New Roman;sans-serif" w:hAnsi="Times New Roman;sans-serif"/>
                <w:b w:val="false"/>
                <w:color w:val="000000"/>
                <w:sz w:val="20"/>
              </w:rPr>
              <w:t>Appropriate stock ownership requirements for all executives and non-executive directors</w:t>
            </w:r>
          </w:p>
          <w:p>
            <w:pPr>
              <w:pStyle w:val="TableContents"/>
              <w:spacing w:lineRule="auto" w:line="276" w:before="0" w:after="0"/>
              <w:ind w:left="0" w:right="0" w:hanging="360"/>
              <w:jc w:val="left"/>
              <w:rPr/>
            </w:pPr>
            <w:r>
              <w:rPr>
                <w:color w:val="000000"/>
              </w:rPr>
              <w:t>•“</w:t>
            </w:r>
            <w:r>
              <w:rPr>
                <w:rFonts w:ascii="Times New Roman;sans-serif" w:hAnsi="Times New Roman;sans-serif"/>
                <w:b w:val="false"/>
                <w:color w:val="000000"/>
                <w:sz w:val="20"/>
              </w:rPr>
              <w:t>Double-trigger” change-in-control provisions</w:t>
            </w:r>
          </w:p>
          <w:p>
            <w:pPr>
              <w:pStyle w:val="TableContents"/>
              <w:spacing w:lineRule="auto" w:line="276" w:before="0" w:after="0"/>
              <w:ind w:left="0" w:right="0" w:hanging="360"/>
              <w:jc w:val="left"/>
              <w:rPr/>
            </w:pPr>
            <w:r>
              <w:rPr>
                <w:color w:val="000000"/>
              </w:rPr>
              <w:t>•</w:t>
            </w:r>
            <w:r>
              <w:rPr>
                <w:rFonts w:ascii="Times New Roman;sans-serif" w:hAnsi="Times New Roman;sans-serif"/>
                <w:b w:val="false"/>
                <w:color w:val="000000"/>
                <w:sz w:val="20"/>
              </w:rPr>
              <w:t>Annually conduct Say-on-Pay vote</w:t>
            </w:r>
          </w:p>
          <w:p>
            <w:pPr>
              <w:pStyle w:val="TableContents"/>
              <w:spacing w:lineRule="auto" w:line="276" w:before="0" w:after="0"/>
              <w:ind w:left="0" w:right="0" w:hanging="360"/>
              <w:jc w:val="left"/>
              <w:rPr/>
            </w:pPr>
            <w:r>
              <w:rPr>
                <w:color w:val="000000"/>
              </w:rPr>
              <w:t>•</w:t>
            </w:r>
            <w:r>
              <w:rPr>
                <w:rFonts w:ascii="Times New Roman;sans-serif" w:hAnsi="Times New Roman;sans-serif"/>
                <w:b w:val="false"/>
                <w:color w:val="000000"/>
                <w:sz w:val="20"/>
              </w:rPr>
              <w:t>Engage an independent compensation consultant</w:t>
            </w:r>
          </w:p>
          <w:p>
            <w:pPr>
              <w:pStyle w:val="TableContents"/>
              <w:spacing w:lineRule="auto" w:line="276" w:before="0" w:after="0"/>
              <w:ind w:left="0" w:right="0" w:hanging="360"/>
              <w:jc w:val="left"/>
              <w:rPr/>
            </w:pPr>
            <w:r>
              <w:rPr>
                <w:color w:val="000000"/>
              </w:rPr>
              <w:t>•</w:t>
            </w:r>
            <w:r>
              <w:rPr>
                <w:rFonts w:ascii="Times New Roman;sans-serif" w:hAnsi="Times New Roman;sans-serif"/>
                <w:b w:val="false"/>
                <w:color w:val="000000"/>
                <w:sz w:val="20"/>
              </w:rPr>
              <w:t>Have an independent compensation committee</w:t>
            </w:r>
          </w:p>
        </w:tc>
      </w:tr>
      <w:tr>
        <w:trPr/>
        <w:tc>
          <w:tcPr>
            <w:tcW w:w="170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What We Don't Do</w:t>
            </w:r>
          </w:p>
        </w:tc>
        <w:tc>
          <w:tcPr>
            <w:tcW w:w="742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76" w:before="0" w:after="0"/>
              <w:ind w:left="0" w:right="0" w:hanging="360"/>
              <w:jc w:val="left"/>
              <w:rPr/>
            </w:pPr>
            <w:r>
              <w:rPr>
                <w:color w:val="000000"/>
              </w:rPr>
              <w:t>•</w:t>
            </w:r>
            <w:r>
              <w:rPr>
                <w:rFonts w:ascii="Times New Roman;sans-serif" w:hAnsi="Times New Roman;sans-serif"/>
                <w:b w:val="false"/>
                <w:color w:val="000000"/>
                <w:sz w:val="20"/>
              </w:rPr>
              <w:t>No excise tax gross-ups</w:t>
            </w:r>
          </w:p>
          <w:p>
            <w:pPr>
              <w:pStyle w:val="TableContents"/>
              <w:spacing w:lineRule="auto" w:line="276" w:before="0" w:after="0"/>
              <w:ind w:left="0" w:right="0" w:hanging="360"/>
              <w:jc w:val="left"/>
              <w:rPr/>
            </w:pPr>
            <w:r>
              <w:rPr>
                <w:color w:val="000000"/>
              </w:rPr>
              <w:t>•</w:t>
            </w:r>
            <w:r>
              <w:rPr>
                <w:rFonts w:ascii="Times New Roman;sans-serif" w:hAnsi="Times New Roman;sans-serif"/>
                <w:b w:val="false"/>
                <w:color w:val="000000"/>
                <w:sz w:val="20"/>
              </w:rPr>
              <w:t>No excessive perquisites</w:t>
            </w:r>
          </w:p>
          <w:p>
            <w:pPr>
              <w:pStyle w:val="TableContents"/>
              <w:spacing w:lineRule="auto" w:line="276" w:before="0" w:after="0"/>
              <w:ind w:left="0" w:right="0" w:hanging="360"/>
              <w:jc w:val="left"/>
              <w:rPr/>
            </w:pPr>
            <w:r>
              <w:rPr>
                <w:color w:val="000000"/>
              </w:rPr>
              <w:t>•</w:t>
            </w:r>
            <w:r>
              <w:rPr>
                <w:rFonts w:ascii="Times New Roman;sans-serif" w:hAnsi="Times New Roman;sans-serif"/>
                <w:b w:val="false"/>
                <w:color w:val="000000"/>
                <w:sz w:val="20"/>
              </w:rPr>
              <w:t>No repricing of stock option awards without stockholder approval</w:t>
            </w:r>
          </w:p>
          <w:p>
            <w:pPr>
              <w:pStyle w:val="TableContents"/>
              <w:spacing w:lineRule="auto" w:line="276" w:before="0" w:after="0"/>
              <w:ind w:left="0" w:right="0" w:hanging="360"/>
              <w:jc w:val="left"/>
              <w:rPr/>
            </w:pPr>
            <w:r>
              <w:rPr>
                <w:color w:val="000000"/>
              </w:rPr>
              <w:t>•</w:t>
            </w:r>
            <w:r>
              <w:rPr>
                <w:rFonts w:ascii="Times New Roman;sans-serif" w:hAnsi="Times New Roman;sans-serif"/>
                <w:b w:val="false"/>
                <w:color w:val="000000"/>
                <w:sz w:val="20"/>
              </w:rPr>
              <w:t>No discounted stock option awards</w:t>
            </w:r>
          </w:p>
          <w:p>
            <w:pPr>
              <w:pStyle w:val="TableContents"/>
              <w:spacing w:lineRule="auto" w:line="276" w:before="0" w:after="0"/>
              <w:ind w:left="0" w:right="0" w:hanging="360"/>
              <w:jc w:val="left"/>
              <w:rPr/>
            </w:pPr>
            <w:r>
              <w:rPr>
                <w:color w:val="000000"/>
              </w:rPr>
              <w:t>•</w:t>
            </w:r>
            <w:r>
              <w:rPr>
                <w:rFonts w:ascii="Times New Roman;sans-serif" w:hAnsi="Times New Roman;sans-serif"/>
                <w:b w:val="false"/>
                <w:color w:val="000000"/>
                <w:sz w:val="20"/>
              </w:rPr>
              <w:t>No hedging or pledging of our stock</w:t>
            </w:r>
          </w:p>
        </w:tc>
      </w:tr>
    </w:tbl>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Say-on-Pay Results</w:t>
      </w:r>
    </w:p>
    <w:p>
      <w:pPr>
        <w:pStyle w:val="TextBody"/>
        <w:spacing w:before="0" w:after="0"/>
        <w:ind w:left="0" w:right="0" w:firstLine="495"/>
        <w:jc w:val="both"/>
        <w:rPr/>
      </w:pPr>
      <w:r>
        <w:rPr/>
      </w:r>
    </w:p>
    <w:p>
      <w:pPr>
        <w:pStyle w:val="TextBody"/>
        <w:spacing w:lineRule="auto" w:line="288" w:before="120" w:after="120"/>
        <w:ind w:left="0" w:right="0" w:firstLine="720"/>
        <w:jc w:val="both"/>
        <w:rPr/>
      </w:pPr>
      <w:r>
        <w:rPr>
          <w:rFonts w:ascii="Times New Roman;sans-serif" w:hAnsi="Times New Roman;sans-serif"/>
          <w:b w:val="false"/>
          <w:color w:val="000000"/>
          <w:sz w:val="20"/>
        </w:rPr>
        <w:t xml:space="preserve">Veracyte received approximately 91.7% support from stockholders for our 2022 say-on-pay proposal. The Compensation Committee is appreciative of </w:t>
      </w:r>
      <w:r>
        <w:rPr>
          <w:rFonts w:ascii="Times New Roman;sans-serif" w:hAnsi="Times New Roman;sans-serif"/>
          <w:b w:val="false"/>
          <w:color w:val="000000"/>
          <w:sz w:val="20"/>
          <w:highlight w:val="white"/>
        </w:rPr>
        <w:t>this</w:t>
      </w:r>
      <w:r>
        <w:rPr>
          <w:color w:val="000000"/>
        </w:rPr>
        <w:t xml:space="preserve"> </w:t>
      </w:r>
      <w:r>
        <w:rPr>
          <w:rFonts w:ascii="Times New Roman;sans-serif" w:hAnsi="Times New Roman;sans-serif"/>
          <w:b w:val="false"/>
          <w:color w:val="000000"/>
          <w:sz w:val="20"/>
        </w:rPr>
        <w:t>support and believes it indicates that stockholders are supportive of our pay program structure and the alignment we have created between management and stockholder interests. The Compensation Committee will continue to consider the results of future stockholder votes, along with other forms of stockholder input and feedback, when structuring executive pay.</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Executive Compensation Philosophy and Objectives</w:t>
      </w:r>
    </w:p>
    <w:p>
      <w:pPr>
        <w:pStyle w:val="TextBody"/>
        <w:spacing w:before="0" w:after="0"/>
        <w:ind w:left="0" w:right="0" w:firstLine="495"/>
        <w:jc w:val="both"/>
        <w:rPr/>
      </w:pPr>
      <w:r>
        <w:rPr/>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 competitive environment in which we operate. We believe in providing competitive compensation packages consisting of a combination of base salary, an annual cash bonus, and long-term incentive opportunities in the form of equity awards that are earned over a multi-year period. We believe the approach that has been adopted by our Compensation Committee, with an emphasis on variable cash compensation and equity awards, enables us to attract top talent, motivate successful short-term and long-term performance, satisfy our retention objectives, and align the compensation of our executive officers with our performance and long-term value creation for our stockholders.</w:t>
      </w:r>
    </w:p>
    <w:p>
      <w:pPr>
        <w:pStyle w:val="TextBody"/>
        <w:spacing w:before="120" w:after="12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Compensation Determination Process</w:t>
      </w:r>
    </w:p>
    <w:p>
      <w:pPr>
        <w:pStyle w:val="TextBody"/>
        <w:spacing w:lineRule="auto" w:line="288" w:before="20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Role of Compensation Committee</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oversees our compensation policies, plans and benefits programs and determines and approves or makes recommendations to our Board of Directors regarding the compensation of our executive officers. In addition, our Compensation Committee reviews and approves or makes recommendations to our Board of Directors with respect to our major compensation plans, policies and programs and assesses whether our compensation structure establishes appropriate incentives for officers and employees. The Compensation Committee conducts an annual review of all components of executive compensation for all executive officers and approves compensation for all executive officers other than our Chief Executive Officer, for whom it recommends compensation to the Board of Directors. Chief Executive Officer compensation and overall bonus achievement are then approved by the independent members of our Board of Directors. The Compensation Committee also reviews and recommends non-employee directors’ compensation to the full Board of Directors on an annual basis. The Compensation Committee has the sole authority to select, retain, terminate and approve the fees and other retention terms of consultants as it deems appropriate to perform its duties.</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20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Role of Management</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Veracyte’s Chief Executive Officer is involved in the design and implementation of our executive compensation and is typically present at Compensation Committee meetings, except that the Chief Executive Officer is not present during any voting or deliberations on his compensation. In 2022, the Chief Executive Officer reviewed the analysis and recommendations of Aon’s Human Capital Solutions practice, a division of Aon plc (“Aon”), with the Compensation Committee and made recommendations regarding proposed salary, cash bonus opportunities and equity awards for our officers (other than himself). Management also participates in conducting annual risk assessments and ensuring that any risks involving compensation are properly mitigated. The Compensation Committee exercises its discretion in accepting, rejecting and/or modifying any such executive compensation recommendations and approves all compensation and equity awards for all executive officers other than the Chief Executive Officer.</w:t>
      </w:r>
    </w:p>
    <w:p>
      <w:pPr>
        <w:pStyle w:val="TextBody"/>
        <w:spacing w:lineRule="auto" w:line="288" w:before="20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Role of Independent Compensation Consultant</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retains an independent compensation consultant to provide professional expertise regarding a variety of executive compensation and market practices. The independent consultant assists the Compensation Committee in setting compensation and designing a comprehensive plan. In 2022, the Compensation Committee retained Aon to provide the Compensation Committee with the following services, focusing on all compensation components. </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2022, Aon assisted the Compensation Committee with, among other things:</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Reviewing and modifying the compensation peer group;</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Executive and director market pay analysis;</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 xml:space="preserve">Development of executive and director pay programs; </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Evaluation of equity pay market analysis;</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Examining the change in control and severance arrangement; and</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Updating certain proxy disclosures, including this CD&amp;A.</w:t>
      </w:r>
    </w:p>
    <w:p>
      <w:pPr>
        <w:pStyle w:val="TextBody"/>
        <w:spacing w:lineRule="auto" w:line="288" w:before="120" w:after="120"/>
        <w:ind w:left="0" w:right="0" w:firstLine="720"/>
        <w:jc w:val="both"/>
        <w:rPr/>
      </w:pPr>
      <w:r>
        <w:rPr>
          <w:rFonts w:ascii="Times New Roman;sans-serif" w:hAnsi="Times New Roman;sans-serif"/>
          <w:b w:val="false"/>
          <w:color w:val="000000"/>
          <w:sz w:val="20"/>
        </w:rPr>
        <w:t xml:space="preserve">The Compensation Committee annually evaluates the independent compensation consultant’s independence and performance under the applicable SEC and Nasdaq listing standards. The Compensation Committee believes that working with an independent compensation consultant furthers our objectives to recruit and retain qualified executives, align their interests with those of </w:t>
      </w:r>
      <w:r>
        <w:rPr>
          <w:rFonts w:ascii="Times New Roman;sans-serif" w:hAnsi="Times New Roman;sans-serif"/>
          <w:b w:val="false"/>
          <w:color w:val="000000"/>
          <w:sz w:val="20"/>
          <w:highlight w:val="white"/>
        </w:rPr>
        <w:t>stockholders</w:t>
      </w:r>
      <w:r>
        <w:rPr>
          <w:color w:val="000000"/>
        </w:rPr>
        <w:t xml:space="preserve"> </w:t>
      </w:r>
      <w:r>
        <w:rPr>
          <w:rFonts w:ascii="Times New Roman;sans-serif" w:hAnsi="Times New Roman;sans-serif"/>
          <w:b w:val="false"/>
          <w:color w:val="000000"/>
          <w:sz w:val="20"/>
        </w:rPr>
        <w:t>and ensure that their compensation packages will appropriately motivate and reward ongoing achievement of business goals. The Compensation Committee conducted a specific review of its relationship with Aon in 2022, pursuant to the SEC rules and Nasdaq listing standards, and concluded that Aon’s work for the Compensation Committee did not raise any conflicts of interest.</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Use of Competitive Data</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assess the competitiveness of our executive compensation program and compensation levels, our Compensation Committee, with the assistance of Aon, examines the competitive compensation data for senior executives of our peer companies examining pay overall, and each pay element. The Compensation Committee uses a peer group to reference recent market data and understand the marketplace. </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the Compensation Committee also recognizes the importance of flexibility and considers other factors as well, such as individual performance, experience, history and scope of responsibility, current market conditions and the specific needs of the business at critical points in time. The Compensation Committee uses its best business judgment in setting pay with the peer group data as a reference point rather than as specific benchmark. The Compensation Committee conducts an annual assessment of the peer group to ensure that it reflects Veracyte’s most current financial and sector-specific standing. </w:t>
      </w:r>
    </w:p>
    <w:p>
      <w:pPr>
        <w:pStyle w:val="TextBody"/>
        <w:spacing w:lineRule="auto" w:line="288" w:before="20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2022 Peer Group</w:t>
      </w:r>
    </w:p>
    <w:p>
      <w:pPr>
        <w:pStyle w:val="TextBody"/>
        <w:spacing w:lineRule="auto" w:line="288" w:before="120" w:after="120"/>
        <w:ind w:left="0" w:right="0" w:firstLine="720"/>
        <w:jc w:val="both"/>
        <w:rPr/>
      </w:pPr>
      <w:r>
        <w:rPr>
          <w:rFonts w:ascii="Times New Roman;sans-serif" w:hAnsi="Times New Roman;sans-serif"/>
          <w:b w:val="false"/>
          <w:color w:val="000000"/>
          <w:sz w:val="20"/>
        </w:rPr>
        <w:t>For our 2022 Peer Group, Aon helped the Compensation Committee identify companies similar to us with respect to sector and market capitalization, as well as revenue and headcount, to provide a broad perspective on competitive pay levels and practices. The Compensation Committee also considers criteria from outside investors and the talent market when selecting the final criteria and list of companies.</w:t>
      </w:r>
      <w:r>
        <w:rPr>
          <w:color w:val="000000"/>
        </w:rPr>
        <w:t xml:space="preserve"> </w:t>
      </w:r>
      <w:r>
        <w:rPr>
          <w:rFonts w:ascii="Times New Roman;sans-serif" w:hAnsi="Times New Roman;sans-serif"/>
          <w:b w:val="false"/>
          <w:color w:val="000000"/>
          <w:sz w:val="20"/>
        </w:rPr>
        <w:t>The following criteria was applied in developing the peer group used for 2022 compensation decisions:</w:t>
      </w:r>
    </w:p>
    <w:p>
      <w:pPr>
        <w:pStyle w:val="TextBody"/>
        <w:spacing w:lineRule="auto" w:line="276" w:before="60" w:after="60"/>
        <w:ind w:left="0" w:right="0" w:hanging="360"/>
        <w:jc w:val="both"/>
        <w:rPr/>
      </w:pPr>
      <w:r>
        <w:rPr>
          <w:color w:val="000000"/>
        </w:rPr>
        <w:t>•</w:t>
      </w:r>
      <w:r>
        <w:rPr>
          <w:rFonts w:ascii="Times New Roman;sans-serif" w:hAnsi="Times New Roman;sans-serif"/>
          <w:b/>
          <w:color w:val="000000"/>
          <w:sz w:val="20"/>
        </w:rPr>
        <w:t>Sector</w:t>
      </w:r>
      <w:r>
        <w:rPr>
          <w:color w:val="000000"/>
        </w:rPr>
        <w:t xml:space="preserve"> </w:t>
      </w:r>
      <w:r>
        <w:rPr>
          <w:rFonts w:ascii="Times New Roman;sans-serif" w:hAnsi="Times New Roman;sans-serif"/>
          <w:b w:val="false"/>
          <w:color w:val="000000"/>
          <w:sz w:val="20"/>
        </w:rPr>
        <w:t>- Biotechnology/Pharmaceuticals, Life Sciences Tools and Services, and Health Care Equipment &amp; Supplies companies;</w:t>
      </w:r>
    </w:p>
    <w:p>
      <w:pPr>
        <w:pStyle w:val="TextBody"/>
        <w:spacing w:lineRule="auto" w:line="288" w:before="60" w:after="60"/>
        <w:ind w:left="0" w:right="0" w:hanging="360"/>
        <w:jc w:val="both"/>
        <w:rPr/>
      </w:pPr>
      <w:r>
        <w:rPr>
          <w:color w:val="000000"/>
        </w:rPr>
        <w:t>•</w:t>
      </w:r>
      <w:r>
        <w:rPr>
          <w:rFonts w:ascii="Times New Roman;sans-serif" w:hAnsi="Times New Roman;sans-serif"/>
          <w:b/>
          <w:color w:val="000000"/>
          <w:sz w:val="20"/>
        </w:rPr>
        <w:t>Market Capitalization</w:t>
      </w:r>
      <w:r>
        <w:rPr>
          <w:color w:val="000000"/>
        </w:rPr>
        <w:t xml:space="preserve"> </w:t>
      </w:r>
      <w:r>
        <w:rPr>
          <w:rFonts w:ascii="Times New Roman;sans-serif" w:hAnsi="Times New Roman;sans-serif"/>
          <w:b w:val="false"/>
          <w:color w:val="000000"/>
          <w:sz w:val="20"/>
        </w:rPr>
        <w:t>- 0.25x to 3x Veracyte's market capitalization; and</w:t>
      </w:r>
    </w:p>
    <w:p>
      <w:pPr>
        <w:pStyle w:val="TextBody"/>
        <w:spacing w:lineRule="auto" w:line="288" w:before="60" w:after="60"/>
        <w:ind w:left="0" w:right="0" w:hanging="360"/>
        <w:jc w:val="both"/>
        <w:rPr/>
      </w:pPr>
      <w:r>
        <w:rPr>
          <w:color w:val="000000"/>
        </w:rPr>
        <w:t>•</w:t>
      </w:r>
      <w:r>
        <w:rPr>
          <w:rFonts w:ascii="Times New Roman;sans-serif" w:hAnsi="Times New Roman;sans-serif"/>
          <w:b/>
          <w:color w:val="000000"/>
          <w:sz w:val="20"/>
        </w:rPr>
        <w:t>Revenue</w:t>
      </w:r>
      <w:r>
        <w:rPr>
          <w:color w:val="000000"/>
        </w:rPr>
        <w:t xml:space="preserve"> </w:t>
      </w:r>
      <w:r>
        <w:rPr>
          <w:rFonts w:ascii="Times New Roman;sans-serif" w:hAnsi="Times New Roman;sans-serif"/>
          <w:b w:val="false"/>
          <w:color w:val="000000"/>
          <w:sz w:val="20"/>
        </w:rPr>
        <w:t>- 0.5x to 4x Veracyte's projected revenues.</w:t>
      </w:r>
    </w:p>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Using these criteria, in September 2021 the following 20 companies were approved to comprise our 2022 peer group:</w:t>
      </w:r>
    </w:p>
    <w:p>
      <w:pPr>
        <w:pStyle w:val="TextBody"/>
        <w:spacing w:before="0" w:after="0"/>
        <w:jc w:val="both"/>
        <w:rPr/>
      </w:pPr>
      <w:r>
        <w:rPr/>
      </w:r>
    </w:p>
    <w:tbl>
      <w:tblPr>
        <w:tblW w:w="5773" w:type="dxa"/>
        <w:jc w:val="center"/>
        <w:tblInd w:w="0" w:type="dxa"/>
        <w:tblCellMar>
          <w:top w:w="28" w:type="dxa"/>
          <w:left w:w="28" w:type="dxa"/>
          <w:bottom w:w="28" w:type="dxa"/>
          <w:right w:w="28" w:type="dxa"/>
        </w:tblCellMar>
      </w:tblPr>
      <w:tblGrid>
        <w:gridCol w:w="881"/>
        <w:gridCol w:w="772"/>
        <w:gridCol w:w="776"/>
        <w:gridCol w:w="459"/>
        <w:gridCol w:w="459"/>
        <w:gridCol w:w="461"/>
        <w:gridCol w:w="572"/>
        <w:gridCol w:w="572"/>
        <w:gridCol w:w="821"/>
      </w:tblGrid>
      <w:tr>
        <w:trPr/>
        <w:tc>
          <w:tcPr>
            <w:tcW w:w="881"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top w:val="single" w:sz="8" w:space="0" w:color="666666"/>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Adaptive Biotechnologies</w:t>
            </w:r>
          </w:p>
        </w:tc>
        <w:tc>
          <w:tcPr>
            <w:tcW w:w="1379" w:type="dxa"/>
            <w:gridSpan w:val="3"/>
            <w:tcBorders>
              <w:top w:val="single" w:sz="8" w:space="0" w:color="666666"/>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Berkeley Lights</w:t>
            </w:r>
          </w:p>
        </w:tc>
        <w:tc>
          <w:tcPr>
            <w:tcW w:w="1965" w:type="dxa"/>
            <w:gridSpan w:val="3"/>
            <w:tcBorders>
              <w:top w:val="single" w:sz="8" w:space="0" w:color="666666"/>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CareDx</w:t>
            </w:r>
          </w:p>
        </w:tc>
      </w:tr>
      <w:tr>
        <w:trPr/>
        <w:tc>
          <w:tcPr>
            <w:tcW w:w="2429" w:type="dxa"/>
            <w:gridSpan w:val="3"/>
            <w:tcBorders>
              <w:top w:val="single" w:sz="8" w:space="0" w:color="666666"/>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Castle Biosciences</w:t>
            </w:r>
          </w:p>
        </w:tc>
        <w:tc>
          <w:tcPr>
            <w:tcW w:w="1379" w:type="dxa"/>
            <w:gridSpan w:val="3"/>
            <w:tcBorders>
              <w:top w:val="single" w:sz="8" w:space="0" w:color="666666"/>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Codexis</w:t>
            </w:r>
          </w:p>
        </w:tc>
        <w:tc>
          <w:tcPr>
            <w:tcW w:w="1965" w:type="dxa"/>
            <w:gridSpan w:val="3"/>
            <w:tcBorders>
              <w:top w:val="single" w:sz="8" w:space="0" w:color="666666"/>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Sciences</w:t>
            </w:r>
          </w:p>
        </w:tc>
      </w:tr>
      <w:tr>
        <w:trPr/>
        <w:tc>
          <w:tcPr>
            <w:tcW w:w="2429" w:type="dxa"/>
            <w:gridSpan w:val="3"/>
            <w:tcBorders>
              <w:top w:val="single" w:sz="8" w:space="0" w:color="666666"/>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Fluidigm</w:t>
            </w:r>
          </w:p>
        </w:tc>
        <w:tc>
          <w:tcPr>
            <w:tcW w:w="1379" w:type="dxa"/>
            <w:gridSpan w:val="3"/>
            <w:tcBorders>
              <w:top w:val="single" w:sz="8" w:space="0" w:color="666666"/>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Guardant Health</w:t>
            </w:r>
          </w:p>
        </w:tc>
        <w:tc>
          <w:tcPr>
            <w:tcW w:w="1965" w:type="dxa"/>
            <w:gridSpan w:val="3"/>
            <w:tcBorders>
              <w:top w:val="single" w:sz="8" w:space="0" w:color="666666"/>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Invitae</w:t>
            </w:r>
          </w:p>
        </w:tc>
      </w:tr>
      <w:tr>
        <w:trPr/>
        <w:tc>
          <w:tcPr>
            <w:tcW w:w="2429" w:type="dxa"/>
            <w:gridSpan w:val="3"/>
            <w:tcBorders>
              <w:top w:val="single" w:sz="8" w:space="0" w:color="666666"/>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Maravai LifeSciences*</w:t>
            </w:r>
          </w:p>
        </w:tc>
        <w:tc>
          <w:tcPr>
            <w:tcW w:w="1379" w:type="dxa"/>
            <w:gridSpan w:val="3"/>
            <w:tcBorders>
              <w:top w:val="single" w:sz="8" w:space="0" w:color="666666"/>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Myriad Genetics*</w:t>
            </w:r>
          </w:p>
        </w:tc>
        <w:tc>
          <w:tcPr>
            <w:tcW w:w="1965" w:type="dxa"/>
            <w:gridSpan w:val="3"/>
            <w:tcBorders>
              <w:top w:val="single" w:sz="8" w:space="0" w:color="666666"/>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NanoString Technologies</w:t>
            </w:r>
          </w:p>
        </w:tc>
      </w:tr>
      <w:tr>
        <w:trPr/>
        <w:tc>
          <w:tcPr>
            <w:tcW w:w="2429" w:type="dxa"/>
            <w:gridSpan w:val="3"/>
            <w:tcBorders>
              <w:top w:val="single" w:sz="8" w:space="0" w:color="666666"/>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Natera</w:t>
            </w:r>
          </w:p>
        </w:tc>
        <w:tc>
          <w:tcPr>
            <w:tcW w:w="1379" w:type="dxa"/>
            <w:gridSpan w:val="3"/>
            <w:tcBorders>
              <w:top w:val="single" w:sz="8" w:space="0" w:color="666666"/>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NeoGenomics</w:t>
            </w:r>
          </w:p>
        </w:tc>
        <w:tc>
          <w:tcPr>
            <w:tcW w:w="1965" w:type="dxa"/>
            <w:gridSpan w:val="3"/>
            <w:tcBorders>
              <w:top w:val="single" w:sz="8" w:space="0" w:color="666666"/>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OraSure Technologies</w:t>
            </w:r>
          </w:p>
        </w:tc>
      </w:tr>
      <w:tr>
        <w:trPr/>
        <w:tc>
          <w:tcPr>
            <w:tcW w:w="2429" w:type="dxa"/>
            <w:gridSpan w:val="3"/>
            <w:tcBorders>
              <w:top w:val="single" w:sz="8" w:space="0" w:color="666666"/>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Pacific Biosciences of California</w:t>
            </w:r>
          </w:p>
        </w:tc>
        <w:tc>
          <w:tcPr>
            <w:tcW w:w="1379" w:type="dxa"/>
            <w:gridSpan w:val="3"/>
            <w:tcBorders>
              <w:top w:val="single" w:sz="8" w:space="0" w:color="666666"/>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Personalis*</w:t>
            </w:r>
          </w:p>
        </w:tc>
        <w:tc>
          <w:tcPr>
            <w:tcW w:w="1965" w:type="dxa"/>
            <w:gridSpan w:val="3"/>
            <w:tcBorders>
              <w:top w:val="single" w:sz="8" w:space="0" w:color="666666"/>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Quanterix</w:t>
            </w:r>
          </w:p>
        </w:tc>
      </w:tr>
      <w:tr>
        <w:trPr/>
        <w:tc>
          <w:tcPr>
            <w:tcW w:w="2429" w:type="dxa"/>
            <w:gridSpan w:val="3"/>
            <w:tcBorders>
              <w:top w:val="single" w:sz="8" w:space="0" w:color="666666"/>
              <w:bottom w:val="single" w:sz="8" w:space="0" w:color="666666"/>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Twist Bioscience*</w:t>
            </w:r>
          </w:p>
        </w:tc>
        <w:tc>
          <w:tcPr>
            <w:tcW w:w="1379" w:type="dxa"/>
            <w:gridSpan w:val="3"/>
            <w:tcBorders>
              <w:top w:val="single" w:sz="8" w:space="0" w:color="666666"/>
              <w:bottom w:val="single" w:sz="8" w:space="0" w:color="666666"/>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Vericel</w:t>
            </w:r>
          </w:p>
        </w:tc>
        <w:tc>
          <w:tcPr>
            <w:tcW w:w="1965" w:type="dxa"/>
            <w:gridSpan w:val="3"/>
            <w:tcBorders>
              <w:top w:val="single" w:sz="8" w:space="0" w:color="666666"/>
              <w:bottom w:val="single" w:sz="8" w:space="0" w:color="666666"/>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64" w:before="0" w:after="0"/>
        <w:rPr>
          <w:rFonts w:ascii="Times New Roman;sans-serif" w:hAnsi="Times New Roman;sans-serif"/>
          <w:b w:val="false"/>
          <w:color w:val="000000"/>
          <w:sz w:val="18"/>
        </w:rPr>
      </w:pPr>
      <w:r>
        <w:rPr>
          <w:rFonts w:ascii="Times New Roman;sans-serif" w:hAnsi="Times New Roman;sans-serif"/>
          <w:b w:val="false"/>
          <w:color w:val="000000"/>
          <w:sz w:val="18"/>
        </w:rPr>
        <w:t>* New in 2022. GenMark Diagnostics, Intersect ENT, and Luminex were removed from the list of companies from the prior year.</w:t>
      </w:r>
    </w:p>
    <w:p>
      <w:pPr>
        <w:pStyle w:val="TextBody"/>
        <w:spacing w:before="0" w:after="0"/>
        <w:rPr/>
      </w:pPr>
      <w:r>
        <w:rPr/>
      </w:r>
    </w:p>
    <w:p>
      <w:pPr>
        <w:pStyle w:val="TextBody"/>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the time of approval, Veracyte was around the 50th percentile for both market cap and revenue reinforcing the balance in the group of companies.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Consideration of Compensation Risk</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governance practices provide an appropriate framework for our executives to achieve our strategic goals without encouraging them to take excessive risks in their business decisions. </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an annual basis, the Compensation Committee conducts a thorough risk assessment of our compensation programs and practices to analyze whether they encourage employees to take excessive or inappropriate risks. After conducting this analysis, the Compensation Committee concluded our compensation programs are, on balance, consistent with market practice and do not present material risks to us. The reasons for the Compensation Committee’s determination include the following: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We structure our compensation programs to consist of both fixed and variable components. The fixed (or base salary) component of our compensation programs is designed to provide income independent of our stock price performance so that employees will not focus exclusively on stock price performance to the detriment of other important business metrics. The variable (cash bonus and equity) components of our compensation programs are designed to reward both short- and long-term company performance, which we believe discourages employees from taking actions that focus only on our short-term success and helps align our employees with our stockholders and on our longer-term success.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We maintain internal controls over the measurement and calculation of financial information, which are designed to prevent this information from being manipulated by any employee, including our executive officers.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While we generally do not cap cash incentive awards for our sales commissions plans to maximize the incentive for our sales force to meet and exceed their revenue and other commercial objectives, we do maintain internal controls over the determination of sales incentive awards, which we believe help prevent problematic behaviors.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employees are required to comply with our Code of Conduct, which covers, among other things, accuracy in keeping financial and business records.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As part of our Insider Trading Policy, we prohibit the trading of derivatives or hedging transactions involving our securities so that our Board, executive officers and all other employees cannot insulate themselves from the effects of poor stock price performance or engage in trading that is not aligned with value creation for our stockholders. </w:t>
      </w:r>
    </w:p>
    <w:p>
      <w:pPr>
        <w:pStyle w:val="TextBody"/>
        <w:spacing w:before="120" w:after="12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Elements of Our Executive Compensation Program</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maintain a competitive and comprehensive pay package, we utilize three primary compensation vehicles to reward our executives: base salary, annual cash incentives, and long-term equity compensation. When setting our compensation practices, we ensure that our program will focus our executive officers on leading our entire organization toward achieving both short-term and long-term strategic, financial and operational goals, and increasing stockholder value, without encouraging excessive risk-taking.</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2022 Base Salaries</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 salaries serve to provide fixed cash compensation to our executive officers for performing their ongoing responsibilities. Base salaries for our executive officers are approved by the Compensation Committee upon the executive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joining us, and then reviewed and adjusted, as appropriate, by the Compensation Committee on an annual basis, in consultation with Aon and based on consideration of various factors, including:</w:t>
      </w:r>
    </w:p>
    <w:p>
      <w:pPr>
        <w:pStyle w:val="TextBody"/>
        <w:spacing w:before="0" w:after="0"/>
        <w:ind w:left="0" w:right="0" w:firstLine="495"/>
        <w:jc w:val="both"/>
        <w:rPr/>
      </w:pPr>
      <w:r>
        <w:rPr/>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individual’s role and responsibilities;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Individual contribution and performance of the past year;</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Overall experience and expertise;</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Current Veracyte base salary;</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Corporate performance; and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Salaries for similar positions within our industry.</w:t>
      </w:r>
    </w:p>
    <w:p>
      <w:pPr>
        <w:pStyle w:val="TextBody"/>
        <w:spacing w:lineRule="auto" w:line="288" w:before="12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and, with respect to our Chief Executive Officer, the independent members of the Board of Directors, approved the following base salaries for our named executive officers in February 2022 in a similar manner, and at similar levels as our companywide practices. The salary for Ms. McGuire, who joined Veracyte in February 2022, was approved in connection with her appointment:</w:t>
      </w:r>
    </w:p>
    <w:tbl>
      <w:tblPr>
        <w:tblW w:w="5442" w:type="dxa"/>
        <w:jc w:val="center"/>
        <w:tblInd w:w="0" w:type="dxa"/>
        <w:tblCellMar>
          <w:top w:w="28" w:type="dxa"/>
          <w:left w:w="28" w:type="dxa"/>
          <w:bottom w:w="28" w:type="dxa"/>
          <w:right w:w="28" w:type="dxa"/>
        </w:tblCellMar>
      </w:tblPr>
      <w:tblGrid>
        <w:gridCol w:w="742"/>
        <w:gridCol w:w="650"/>
        <w:gridCol w:w="656"/>
        <w:gridCol w:w="380"/>
        <w:gridCol w:w="380"/>
        <w:gridCol w:w="382"/>
        <w:gridCol w:w="380"/>
        <w:gridCol w:w="380"/>
        <w:gridCol w:w="382"/>
        <w:gridCol w:w="324"/>
        <w:gridCol w:w="324"/>
        <w:gridCol w:w="462"/>
      </w:tblGrid>
      <w:tr>
        <w:trPr/>
        <w:tc>
          <w:tcPr>
            <w:tcW w:w="742"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r>
      <w:tr>
        <w:trPr/>
        <w:tc>
          <w:tcPr>
            <w:tcW w:w="204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Executive</w:t>
            </w:r>
          </w:p>
        </w:tc>
        <w:tc>
          <w:tcPr>
            <w:tcW w:w="114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br/>
              <w:t>Base Salary</w:t>
            </w:r>
          </w:p>
        </w:tc>
        <w:tc>
          <w:tcPr>
            <w:tcW w:w="114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br/>
              <w:t>Base Salary</w:t>
            </w:r>
          </w:p>
        </w:tc>
        <w:tc>
          <w:tcPr>
            <w:tcW w:w="111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04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 Stapley</w:t>
            </w:r>
          </w:p>
        </w:tc>
        <w:tc>
          <w:tcPr>
            <w:tcW w:w="114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$600,000</w:t>
            </w:r>
          </w:p>
        </w:tc>
        <w:tc>
          <w:tcPr>
            <w:tcW w:w="114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$625,000</w:t>
            </w:r>
          </w:p>
        </w:tc>
        <w:tc>
          <w:tcPr>
            <w:tcW w:w="111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r>
      <w:tr>
        <w:trPr/>
        <w:tc>
          <w:tcPr>
            <w:tcW w:w="204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Rebecca Chambers</w:t>
            </w:r>
          </w:p>
        </w:tc>
        <w:tc>
          <w:tcPr>
            <w:tcW w:w="114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$450,000</w:t>
            </w:r>
          </w:p>
        </w:tc>
        <w:tc>
          <w:tcPr>
            <w:tcW w:w="114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$463,500</w:t>
            </w:r>
          </w:p>
        </w:tc>
        <w:tc>
          <w:tcPr>
            <w:tcW w:w="111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r>
      <w:tr>
        <w:trPr/>
        <w:tc>
          <w:tcPr>
            <w:tcW w:w="204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Giulia C. Kennedy (1)</w:t>
            </w:r>
          </w:p>
        </w:tc>
        <w:tc>
          <w:tcPr>
            <w:tcW w:w="114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$469,050</w:t>
            </w:r>
          </w:p>
        </w:tc>
        <w:tc>
          <w:tcPr>
            <w:tcW w:w="114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$500,000</w:t>
            </w:r>
          </w:p>
        </w:tc>
        <w:tc>
          <w:tcPr>
            <w:tcW w:w="111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c>
      </w:tr>
      <w:tr>
        <w:trPr/>
        <w:tc>
          <w:tcPr>
            <w:tcW w:w="204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Annie McGuire (2)</w:t>
            </w:r>
          </w:p>
        </w:tc>
        <w:tc>
          <w:tcPr>
            <w:tcW w:w="114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$400,000</w:t>
            </w:r>
          </w:p>
        </w:tc>
        <w:tc>
          <w:tcPr>
            <w:tcW w:w="111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4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Tina Nova</w:t>
            </w:r>
          </w:p>
        </w:tc>
        <w:tc>
          <w:tcPr>
            <w:tcW w:w="1142"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$475,000</w:t>
            </w:r>
          </w:p>
        </w:tc>
        <w:tc>
          <w:tcPr>
            <w:tcW w:w="1142"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$500,000</w:t>
            </w:r>
          </w:p>
        </w:tc>
        <w:tc>
          <w:tcPr>
            <w:tcW w:w="1110"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c>
      </w:tr>
      <w:tr>
        <w:trPr/>
        <w:tc>
          <w:tcPr>
            <w:tcW w:w="5442" w:type="dxa"/>
            <w:gridSpan w:val="12"/>
            <w:tcBorders>
              <w:top w:val="single" w:sz="4" w:space="0" w:color="000000"/>
            </w:tcBorders>
            <w:shd w:fill="auto" w:val="clear"/>
            <w:tcMar>
              <w:top w:w="30" w:type="dxa"/>
              <w:left w:w="0" w:type="dxa"/>
              <w:bottom w:w="0" w:type="dxa"/>
              <w:right w:w="0" w:type="dxa"/>
            </w:tcMar>
            <w:vAlign w:val="center"/>
          </w:tcPr>
          <w:p>
            <w:pPr>
              <w:pStyle w:val="TableContents"/>
              <w:spacing w:lineRule="auto" w:line="268"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(1) Ms. Kennedy departed from the company effective December 31, 2022.</w:t>
            </w:r>
          </w:p>
        </w:tc>
      </w:tr>
      <w:tr>
        <w:trPr/>
        <w:tc>
          <w:tcPr>
            <w:tcW w:w="5442" w:type="dxa"/>
            <w:gridSpan w:val="12"/>
            <w:tcBorders/>
            <w:shd w:fill="auto" w:val="clear"/>
            <w:tcMar>
              <w:top w:w="0" w:type="dxa"/>
              <w:left w:w="0" w:type="dxa"/>
              <w:bottom w:w="0" w:type="dxa"/>
              <w:right w:w="0" w:type="dxa"/>
            </w:tcMar>
            <w:vAlign w:val="center"/>
          </w:tcPr>
          <w:p>
            <w:pPr>
              <w:pStyle w:val="TableContents"/>
              <w:spacing w:lineRule="auto" w:line="268" w:before="60" w:after="283"/>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(2) Ms. McGuire was hired as General Counsel in February 2022.</w:t>
            </w:r>
          </w:p>
        </w:tc>
      </w:tr>
    </w:tbl>
    <w:p>
      <w:pPr>
        <w:pStyle w:val="TextBody"/>
        <w:spacing w:before="100" w:after="283"/>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2022 Annual Cash Incentives</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executives, including our NEOs, with the opportunity to annually earn cash incentives to encourage the achievement of corporate objectives, and to reward those individuals who significantly impact our corporate results. Payments under our annual bonus plan are based on the achievement of corporate goals established by our Board of Directors. Actual performance against these metrics funds the annual bonus plan pool and threshold levels of performance must be met for the pool to be funded.</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our NEOs participated in our 2022 annual bonus plan. Executive officers who participate in this plan have an established annual incentive target, which is equal to a percentage of their base salary. The actual earned annual incentive bonus, if any, is calculated based on the bonus plan pool funding, pre-established Company performance metrics and any adjustments for individual performance as assessed by the Compensation Committee (taking into consideration the assessment by the Chief Executive Officer) for the NEOs, and by the Board of Directors for the Chief Executive Officer. For 2022, our NEOs had the annual bonus target opportunities set forth in the table below. There was no change to the target percentages from 2021 for incumbent NEOs. The maximum funding under the plan is 125% of target. </w:t>
      </w:r>
    </w:p>
    <w:p>
      <w:pPr>
        <w:pStyle w:val="TextBody"/>
        <w:spacing w:before="120" w:after="120"/>
        <w:ind w:left="0" w:right="0" w:firstLine="720"/>
        <w:jc w:val="both"/>
        <w:rPr/>
      </w:pPr>
      <w:r>
        <w:rPr/>
      </w:r>
    </w:p>
    <w:tbl>
      <w:tblPr>
        <w:tblW w:w="5503" w:type="dxa"/>
        <w:jc w:val="center"/>
        <w:tblInd w:w="0" w:type="dxa"/>
        <w:tblCellMar>
          <w:top w:w="28" w:type="dxa"/>
          <w:left w:w="28" w:type="dxa"/>
          <w:bottom w:w="28" w:type="dxa"/>
          <w:right w:w="28" w:type="dxa"/>
        </w:tblCellMar>
      </w:tblPr>
      <w:tblGrid>
        <w:gridCol w:w="876"/>
        <w:gridCol w:w="770"/>
        <w:gridCol w:w="772"/>
        <w:gridCol w:w="901"/>
        <w:gridCol w:w="901"/>
        <w:gridCol w:w="1283"/>
      </w:tblGrid>
      <w:tr>
        <w:trPr/>
        <w:tc>
          <w:tcPr>
            <w:tcW w:w="876"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r>
      <w:tr>
        <w:trPr/>
        <w:tc>
          <w:tcPr>
            <w:tcW w:w="2418" w:type="dxa"/>
            <w:gridSpan w:val="3"/>
            <w:tcBorders>
              <w:top w:val="single" w:sz="8" w:space="0" w:color="7F7F7F"/>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w:t>
            </w:r>
          </w:p>
        </w:tc>
        <w:tc>
          <w:tcPr>
            <w:tcW w:w="3085" w:type="dxa"/>
            <w:gridSpan w:val="3"/>
            <w:tcBorders>
              <w:top w:val="single" w:sz="8" w:space="0" w:color="7F7F7F"/>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Target Annual Incentive</w:t>
              <w:br/>
              <w:t>(as % of base salary)</w:t>
            </w:r>
          </w:p>
        </w:tc>
      </w:tr>
      <w:tr>
        <w:trPr/>
        <w:tc>
          <w:tcPr>
            <w:tcW w:w="24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 Stapley</w:t>
            </w:r>
          </w:p>
        </w:tc>
        <w:tc>
          <w:tcPr>
            <w:tcW w:w="3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4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Rebecca Chambers</w:t>
            </w:r>
          </w:p>
        </w:tc>
        <w:tc>
          <w:tcPr>
            <w:tcW w:w="3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24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Giulia Kennedy (1)</w:t>
            </w:r>
          </w:p>
        </w:tc>
        <w:tc>
          <w:tcPr>
            <w:tcW w:w="3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24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Annie McGuire</w:t>
            </w:r>
          </w:p>
        </w:tc>
        <w:tc>
          <w:tcPr>
            <w:tcW w:w="3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24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Tina Nova</w:t>
            </w:r>
          </w:p>
        </w:tc>
        <w:tc>
          <w:tcPr>
            <w:tcW w:w="308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550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Ms. Kennedy departed from the company effective December 31, 2022.</w:t>
            </w:r>
          </w:p>
        </w:tc>
      </w:tr>
    </w:tbl>
    <w:p>
      <w:pPr>
        <w:pStyle w:val="TextBody"/>
        <w:spacing w:before="120" w:after="283"/>
        <w:ind w:left="0" w:right="0" w:firstLine="495"/>
        <w:jc w:val="both"/>
        <w:rPr/>
      </w:pPr>
      <w:r>
        <w:rPr/>
      </w:r>
    </w:p>
    <w:p>
      <w:pPr>
        <w:pStyle w:val="TextBody"/>
        <w:spacing w:lineRule="auto" w:line="276" w:before="0" w:after="180"/>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2022 Bonus Plan Awards</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the independent members of our Board of Directors, on the recommendation of the Compensation Committee, approved corporate goals for our 2022 annual bonus plan. Under the plan, eligible employees, including our NEOs, were eligible to receive a cash bonus if we achieved the corporate goals approved by our Board of Directors, as described in the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table below. With respect to our NEOs, the bonus pool could be funded from 0% to 100% based upon achieving certain annual revenue, cash flow from operations, pipeline/product and reimbursement goals as follows:</w:t>
      </w:r>
    </w:p>
    <w:tbl>
      <w:tblPr>
        <w:tblW w:w="10205" w:type="dxa"/>
        <w:jc w:val="center"/>
        <w:tblInd w:w="0" w:type="dxa"/>
        <w:tblCellMar>
          <w:top w:w="28" w:type="dxa"/>
          <w:left w:w="28" w:type="dxa"/>
          <w:bottom w:w="28" w:type="dxa"/>
          <w:right w:w="28" w:type="dxa"/>
        </w:tblCellMar>
      </w:tblPr>
      <w:tblGrid>
        <w:gridCol w:w="1496"/>
        <w:gridCol w:w="1315"/>
        <w:gridCol w:w="1320"/>
        <w:gridCol w:w="938"/>
        <w:gridCol w:w="938"/>
        <w:gridCol w:w="941"/>
        <w:gridCol w:w="952"/>
        <w:gridCol w:w="952"/>
        <w:gridCol w:w="1353"/>
      </w:tblGrid>
      <w:tr>
        <w:trPr/>
        <w:tc>
          <w:tcPr>
            <w:tcW w:w="1496"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r>
      <w:tr>
        <w:trPr/>
        <w:tc>
          <w:tcPr>
            <w:tcW w:w="413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Financial</w:t>
              <w:br/>
              <w:t>(50%)</w:t>
            </w:r>
          </w:p>
        </w:tc>
        <w:tc>
          <w:tcPr>
            <w:tcW w:w="2817"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Pipeline/Product Development</w:t>
              <w:br/>
              <w:t>(25%)</w:t>
            </w:r>
          </w:p>
        </w:tc>
        <w:tc>
          <w:tcPr>
            <w:tcW w:w="3257"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Clinical/BioPharma</w:t>
              <w:br/>
              <w:t>(25%)</w:t>
            </w:r>
          </w:p>
        </w:tc>
      </w:tr>
      <w:tr>
        <w:trPr/>
        <w:tc>
          <w:tcPr>
            <w:tcW w:w="4131" w:type="dxa"/>
            <w:gridSpan w:val="3"/>
            <w:tcBorders>
              <w:top w:val="single" w:sz="8" w:space="0" w:color="666666"/>
              <w:bottom w:val="single" w:sz="8" w:space="0" w:color="000000"/>
            </w:tcBorders>
            <w:shd w:fill="auto" w:val="clear"/>
            <w:tcMar>
              <w:top w:w="30" w:type="dxa"/>
              <w:left w:w="0" w:type="dxa"/>
              <w:bottom w:w="30" w:type="dxa"/>
              <w:right w:w="0" w:type="dxa"/>
            </w:tcMar>
            <w:vAlign w:val="center"/>
          </w:tcPr>
          <w:p>
            <w:pPr>
              <w:pStyle w:val="TableContents"/>
              <w:spacing w:lineRule="auto" w:line="276" w:before="0" w:after="60"/>
              <w:ind w:left="0" w:right="0" w:hanging="360"/>
              <w:jc w:val="left"/>
              <w:rPr/>
            </w:pPr>
            <w:r>
              <w:rPr>
                <w:color w:val="000000"/>
              </w:rPr>
              <w:t>•</w:t>
            </w:r>
            <w:r>
              <w:rPr>
                <w:rFonts w:ascii="Times New Roman;sans-serif" w:hAnsi="Times New Roman;sans-serif"/>
                <w:b w:val="false"/>
                <w:color w:val="000000"/>
                <w:sz w:val="18"/>
              </w:rPr>
              <w:t>2022 total revenue of $284M (to achieve target payout level) (40%)</w:t>
            </w:r>
          </w:p>
          <w:p>
            <w:pPr>
              <w:pStyle w:val="TableContents"/>
              <w:spacing w:lineRule="auto" w:line="276" w:before="0" w:after="60"/>
              <w:ind w:left="0" w:right="0" w:hanging="360"/>
              <w:jc w:val="left"/>
              <w:rPr/>
            </w:pPr>
            <w:r>
              <w:rPr>
                <w:color w:val="000000"/>
              </w:rPr>
              <w:t>•</w:t>
            </w:r>
            <w:r>
              <w:rPr>
                <w:rFonts w:ascii="Times New Roman;sans-serif" w:hAnsi="Times New Roman;sans-serif"/>
                <w:b w:val="false"/>
                <w:color w:val="000000"/>
                <w:sz w:val="18"/>
              </w:rPr>
              <w:t>2022 ending cash balance of $140M (10%)</w:t>
            </w:r>
          </w:p>
        </w:tc>
        <w:tc>
          <w:tcPr>
            <w:tcW w:w="2817" w:type="dxa"/>
            <w:gridSpan w:val="3"/>
            <w:tcBorders>
              <w:top w:val="single" w:sz="8" w:space="0" w:color="666666"/>
              <w:bottom w:val="single" w:sz="8" w:space="0" w:color="000000"/>
            </w:tcBorders>
            <w:shd w:fill="auto" w:val="clear"/>
            <w:tcMar>
              <w:top w:w="30" w:type="dxa"/>
              <w:left w:w="0" w:type="dxa"/>
              <w:bottom w:w="30" w:type="dxa"/>
              <w:right w:w="0" w:type="dxa"/>
            </w:tcMar>
            <w:vAlign w:val="center"/>
          </w:tcPr>
          <w:p>
            <w:pPr>
              <w:pStyle w:val="TableContents"/>
              <w:spacing w:lineRule="auto" w:line="276" w:before="0" w:after="60"/>
              <w:ind w:left="0" w:right="0" w:hanging="360"/>
              <w:jc w:val="left"/>
              <w:rPr/>
            </w:pPr>
            <w:r>
              <w:rPr>
                <w:color w:val="000000"/>
              </w:rPr>
              <w:t>•</w:t>
            </w:r>
            <w:r>
              <w:rPr>
                <w:rFonts w:ascii="Times New Roman;sans-serif" w:hAnsi="Times New Roman;sans-serif"/>
                <w:b w:val="false"/>
                <w:color w:val="000000"/>
                <w:sz w:val="18"/>
              </w:rPr>
              <w:t>NCounter development project progression</w:t>
            </w:r>
          </w:p>
          <w:p>
            <w:pPr>
              <w:pStyle w:val="TableContents"/>
              <w:spacing w:lineRule="auto" w:line="276" w:before="0" w:after="60"/>
              <w:ind w:left="0" w:right="0" w:hanging="360"/>
              <w:jc w:val="left"/>
              <w:rPr/>
            </w:pPr>
            <w:r>
              <w:rPr>
                <w:color w:val="000000"/>
              </w:rPr>
              <w:t>•</w:t>
            </w:r>
            <w:r>
              <w:rPr>
                <w:rFonts w:ascii="Times New Roman;sans-serif" w:hAnsi="Times New Roman;sans-serif"/>
                <w:b w:val="false"/>
                <w:color w:val="000000"/>
                <w:sz w:val="18"/>
              </w:rPr>
              <w:t>PGA Launch</w:t>
            </w:r>
          </w:p>
          <w:p>
            <w:pPr>
              <w:pStyle w:val="TableContents"/>
              <w:spacing w:lineRule="auto" w:line="276" w:before="0" w:after="60"/>
              <w:ind w:left="0" w:right="0" w:hanging="360"/>
              <w:jc w:val="left"/>
              <w:rPr/>
            </w:pPr>
            <w:r>
              <w:rPr>
                <w:color w:val="000000"/>
              </w:rPr>
              <w:t>•</w:t>
            </w:r>
            <w:r>
              <w:rPr>
                <w:rFonts w:ascii="Times New Roman;sans-serif" w:hAnsi="Times New Roman;sans-serif"/>
                <w:b w:val="false"/>
                <w:color w:val="000000"/>
                <w:sz w:val="18"/>
              </w:rPr>
              <w:t>IVD Manufacturing Transfer progression</w:t>
            </w:r>
          </w:p>
          <w:p>
            <w:pPr>
              <w:pStyle w:val="TableContents"/>
              <w:spacing w:lineRule="auto" w:line="276" w:before="0" w:after="60"/>
              <w:ind w:left="0" w:right="0" w:hanging="360"/>
              <w:jc w:val="left"/>
              <w:rPr/>
            </w:pPr>
            <w:r>
              <w:rPr>
                <w:color w:val="000000"/>
              </w:rPr>
              <w:t>•</w:t>
            </w:r>
            <w:r>
              <w:rPr>
                <w:rFonts w:ascii="Times New Roman;sans-serif" w:hAnsi="Times New Roman;sans-serif"/>
                <w:b w:val="false"/>
                <w:color w:val="000000"/>
                <w:sz w:val="18"/>
              </w:rPr>
              <w:t>Assay tech development and transfer</w:t>
            </w:r>
          </w:p>
        </w:tc>
        <w:tc>
          <w:tcPr>
            <w:tcW w:w="3257" w:type="dxa"/>
            <w:gridSpan w:val="3"/>
            <w:tcBorders>
              <w:top w:val="single" w:sz="8" w:space="0" w:color="666666"/>
              <w:bottom w:val="single" w:sz="8" w:space="0" w:color="000000"/>
            </w:tcBorders>
            <w:shd w:fill="auto" w:val="clear"/>
            <w:tcMar>
              <w:top w:w="30" w:type="dxa"/>
              <w:left w:w="0" w:type="dxa"/>
              <w:bottom w:w="30" w:type="dxa"/>
              <w:right w:w="0" w:type="dxa"/>
            </w:tcMar>
            <w:vAlign w:val="center"/>
          </w:tcPr>
          <w:p>
            <w:pPr>
              <w:pStyle w:val="TableContents"/>
              <w:spacing w:lineRule="auto" w:line="276" w:before="0" w:after="60"/>
              <w:ind w:left="0" w:right="0" w:hanging="360"/>
              <w:jc w:val="left"/>
              <w:rPr/>
            </w:pPr>
            <w:r>
              <w:rPr>
                <w:color w:val="000000"/>
              </w:rPr>
              <w:t>•</w:t>
            </w:r>
            <w:r>
              <w:rPr>
                <w:rFonts w:ascii="Times New Roman;sans-serif" w:hAnsi="Times New Roman;sans-serif"/>
                <w:b w:val="false"/>
                <w:color w:val="000000"/>
                <w:sz w:val="18"/>
              </w:rPr>
              <w:t>Establish reimbursement strategy for Nasal Swab</w:t>
            </w:r>
          </w:p>
          <w:p>
            <w:pPr>
              <w:pStyle w:val="TableContents"/>
              <w:spacing w:lineRule="auto" w:line="276" w:before="0" w:after="60"/>
              <w:ind w:left="0" w:right="0" w:hanging="360"/>
              <w:jc w:val="left"/>
              <w:rPr/>
            </w:pPr>
            <w:r>
              <w:rPr>
                <w:color w:val="000000"/>
              </w:rPr>
              <w:t>•</w:t>
            </w:r>
            <w:r>
              <w:rPr>
                <w:rFonts w:ascii="Times New Roman;sans-serif" w:hAnsi="Times New Roman;sans-serif"/>
                <w:b w:val="false"/>
                <w:color w:val="000000"/>
                <w:sz w:val="18"/>
              </w:rPr>
              <w:t>Envisia clinical trial enrollment progression</w:t>
            </w:r>
          </w:p>
          <w:p>
            <w:pPr>
              <w:pStyle w:val="TableContents"/>
              <w:spacing w:lineRule="auto" w:line="276" w:before="0" w:after="60"/>
              <w:ind w:left="0" w:right="0" w:hanging="360"/>
              <w:jc w:val="left"/>
              <w:rPr/>
            </w:pPr>
            <w:r>
              <w:rPr>
                <w:color w:val="000000"/>
              </w:rPr>
              <w:t>•</w:t>
            </w:r>
            <w:r>
              <w:rPr>
                <w:rFonts w:ascii="Times New Roman;sans-serif" w:hAnsi="Times New Roman;sans-serif"/>
                <w:b w:val="false"/>
                <w:color w:val="000000"/>
                <w:sz w:val="18"/>
              </w:rPr>
              <w:t>Improve gross margin on testing revenue</w:t>
            </w:r>
          </w:p>
          <w:p>
            <w:pPr>
              <w:pStyle w:val="TableContents"/>
              <w:spacing w:lineRule="auto" w:line="276" w:before="0" w:after="60"/>
              <w:ind w:left="0" w:right="0" w:hanging="360"/>
              <w:jc w:val="left"/>
              <w:rPr/>
            </w:pPr>
            <w:r>
              <w:rPr>
                <w:color w:val="000000"/>
              </w:rPr>
              <w:t>•</w:t>
            </w:r>
            <w:r>
              <w:rPr>
                <w:rFonts w:ascii="Times New Roman;sans-serif" w:hAnsi="Times New Roman;sans-serif"/>
                <w:b w:val="false"/>
                <w:color w:val="000000"/>
                <w:sz w:val="18"/>
              </w:rPr>
              <w:t>Nightingale site activations and patient enrollments</w:t>
            </w:r>
          </w:p>
        </w:tc>
      </w:tr>
    </w:tbl>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Once the bonus pool is established based on Veracyte’s performance against the metrics above, an individual multiplier (between 80% and 120%) is applied based on each individual NEO’s contribution to our performance, as determined through an assessment of performance by the Chief Executive Officer with respect to the other NEOs. For 2022, the annual incentive bonus for the Chief Executive Officer was determined based solely on Veracyte performance and did not include an individual performance multiplier. Actual annual performance bonus awards paid out under the plan could be greater or less than the NEOs' individual targets, as determined by the independent members of our Board of Directors at their discretion, considering the recommendation of the Compensation Committee.</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selected revenue as the primary financial performance measure to be used to determine annual cash bonuses as it is the best indicator of our growth in terms of aggregate test volume and sales, and successful execution of our annual operating plan. In addition, the Compensation Committee selected our cash balance as a second key measure to determine annual cash bonuses. This provided an incentive to manage our cash expenditures and navigate toward eventual profitability as we continue to grow. Together, these two metrics comprise 50% of the targeted payout under the 2022 Bonus Plan. In addition, given the importance of continuing to develop our product pipeline, the Compensation Committee selected certain product development milestones to determine an aggregate of 25% of the targeted payout. Finally, the Compensation Committee selected certain clinical and biopharma goals to determine an aggregate of 25% of the targeted payout because achievement of such goals will help to expand our tests commercially available and increase the number of patients we serve. </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the independent members of our Board of Directors, on the recommendation of the Compensation Committee, approved cash bonus awards for 2022 performance. For 2022, our total revenue was $296.5 million, which exceeded our goal of $284 million (an increase over the 2021 goal of $200 million and actual result of $219.5 million). For 2022, we determined our ending cash balance was approximately $154 million which exceeded our goal of greater than $140 million. Additionally, we achieved certain target goals for “pipeline/product development” and “clinical/biopharma”. While certain milestones were not met for our “pipeline/product development” and “clinical/biopharma” goals, the Company produced extensive achievements in additional, vital areas, that the Compensation Committee considered in funding the Bonus Pool accordingly.</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metric is calculated individually, and the sum of the calculations determines the potential bonus pool payout:</w:t>
      </w:r>
    </w:p>
    <w:tbl>
      <w:tblPr>
        <w:tblW w:w="8399" w:type="dxa"/>
        <w:jc w:val="center"/>
        <w:tblInd w:w="0" w:type="dxa"/>
        <w:tblCellMar>
          <w:top w:w="28" w:type="dxa"/>
          <w:left w:w="28" w:type="dxa"/>
          <w:bottom w:w="28" w:type="dxa"/>
          <w:right w:w="28" w:type="dxa"/>
        </w:tblCellMar>
      </w:tblPr>
      <w:tblGrid>
        <w:gridCol w:w="824"/>
        <w:gridCol w:w="724"/>
        <w:gridCol w:w="732"/>
        <w:gridCol w:w="300"/>
        <w:gridCol w:w="300"/>
        <w:gridCol w:w="301"/>
        <w:gridCol w:w="504"/>
        <w:gridCol w:w="504"/>
        <w:gridCol w:w="506"/>
        <w:gridCol w:w="409"/>
        <w:gridCol w:w="409"/>
        <w:gridCol w:w="411"/>
        <w:gridCol w:w="554"/>
        <w:gridCol w:w="554"/>
        <w:gridCol w:w="556"/>
        <w:gridCol w:w="236"/>
        <w:gridCol w:w="236"/>
        <w:gridCol w:w="339"/>
      </w:tblGrid>
      <w:tr>
        <w:trPr/>
        <w:tc>
          <w:tcPr>
            <w:tcW w:w="8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Metric</w:t>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Weighting</w:t>
            </w:r>
          </w:p>
        </w:tc>
        <w:tc>
          <w:tcPr>
            <w:tcW w:w="15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Minimum (75%)</w:t>
            </w:r>
          </w:p>
        </w:tc>
        <w:tc>
          <w:tcPr>
            <w:tcW w:w="12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Target (100%)</w:t>
            </w:r>
          </w:p>
        </w:tc>
        <w:tc>
          <w:tcPr>
            <w:tcW w:w="16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Maximum (125%)</w:t>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Actual</w:t>
            </w:r>
          </w:p>
        </w:tc>
      </w:tr>
      <w:tr>
        <w:trPr/>
        <w:tc>
          <w:tcPr>
            <w:tcW w:w="22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901" w:type="dxa"/>
            <w:gridSpan w:val="3"/>
            <w:tcBorders/>
            <w:shd w:fill="FFFFFF"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514" w:type="dxa"/>
            <w:gridSpan w:val="3"/>
            <w:tcBorders/>
            <w:shd w:fill="FFFFFF"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$271M</w:t>
            </w:r>
          </w:p>
        </w:tc>
        <w:tc>
          <w:tcPr>
            <w:tcW w:w="1229" w:type="dxa"/>
            <w:gridSpan w:val="3"/>
            <w:tcBorders/>
            <w:shd w:fill="FFFFFF"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$284M</w:t>
            </w:r>
          </w:p>
        </w:tc>
        <w:tc>
          <w:tcPr>
            <w:tcW w:w="1664" w:type="dxa"/>
            <w:gridSpan w:val="3"/>
            <w:tcBorders/>
            <w:shd w:fill="FFFFFF"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$297M</w:t>
            </w:r>
          </w:p>
        </w:tc>
        <w:tc>
          <w:tcPr>
            <w:tcW w:w="811" w:type="dxa"/>
            <w:gridSpan w:val="3"/>
            <w:tcBorders/>
            <w:shd w:fill="FFFFFF"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$296.5M</w:t>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Cash Balance</w:t>
            </w:r>
          </w:p>
        </w:tc>
        <w:tc>
          <w:tcPr>
            <w:tcW w:w="901" w:type="dxa"/>
            <w:gridSpan w:val="3"/>
            <w:tcBorders/>
            <w:shd w:fill="CCEEFF"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14" w:type="dxa"/>
            <w:gridSpan w:val="3"/>
            <w:tcBorders/>
            <w:shd w:fill="CCEEFF"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w:t>
            </w:r>
          </w:p>
        </w:tc>
        <w:tc>
          <w:tcPr>
            <w:tcW w:w="1229" w:type="dxa"/>
            <w:gridSpan w:val="3"/>
            <w:tcBorders/>
            <w:shd w:fill="CCEEFF"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$140M</w:t>
            </w:r>
          </w:p>
        </w:tc>
        <w:tc>
          <w:tcPr>
            <w:tcW w:w="1664" w:type="dxa"/>
            <w:gridSpan w:val="3"/>
            <w:tcBorders/>
            <w:shd w:fill="CCEEFF"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w:t>
            </w:r>
          </w:p>
        </w:tc>
        <w:tc>
          <w:tcPr>
            <w:tcW w:w="811" w:type="dxa"/>
            <w:gridSpan w:val="3"/>
            <w:tcBorders/>
            <w:shd w:fill="CCEEFF"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$179M</w:t>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Pipeline/Product Development</w:t>
            </w:r>
          </w:p>
        </w:tc>
        <w:tc>
          <w:tcPr>
            <w:tcW w:w="901" w:type="dxa"/>
            <w:gridSpan w:val="3"/>
            <w:tcBorders/>
            <w:shd w:fill="FFFFFF"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514" w:type="dxa"/>
            <w:gridSpan w:val="3"/>
            <w:tcBorders/>
            <w:shd w:fill="FFFFFF"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w:t>
            </w:r>
          </w:p>
        </w:tc>
        <w:tc>
          <w:tcPr>
            <w:tcW w:w="1229" w:type="dxa"/>
            <w:gridSpan w:val="3"/>
            <w:tcBorders/>
            <w:shd w:fill="FFFFFF"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w:t>
            </w:r>
          </w:p>
        </w:tc>
        <w:tc>
          <w:tcPr>
            <w:tcW w:w="1664" w:type="dxa"/>
            <w:gridSpan w:val="3"/>
            <w:tcBorders/>
            <w:shd w:fill="FFFFFF"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w:t>
            </w:r>
          </w:p>
        </w:tc>
        <w:tc>
          <w:tcPr>
            <w:tcW w:w="811" w:type="dxa"/>
            <w:gridSpan w:val="3"/>
            <w:tcBorders/>
            <w:shd w:fill="FFFFFF"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w:t>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Clinical/BioPharma</w:t>
            </w:r>
          </w:p>
        </w:tc>
        <w:tc>
          <w:tcPr>
            <w:tcW w:w="901" w:type="dxa"/>
            <w:gridSpan w:val="3"/>
            <w:tcBorders/>
            <w:shd w:fill="CCEEFF"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514" w:type="dxa"/>
            <w:gridSpan w:val="3"/>
            <w:tcBorders/>
            <w:shd w:fill="CCEEFF"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w:t>
            </w:r>
          </w:p>
        </w:tc>
        <w:tc>
          <w:tcPr>
            <w:tcW w:w="1229" w:type="dxa"/>
            <w:gridSpan w:val="3"/>
            <w:tcBorders/>
            <w:shd w:fill="CCEEFF"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w:t>
            </w:r>
          </w:p>
        </w:tc>
        <w:tc>
          <w:tcPr>
            <w:tcW w:w="1664" w:type="dxa"/>
            <w:gridSpan w:val="3"/>
            <w:tcBorders/>
            <w:shd w:fill="CCEEFF"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w:t>
            </w:r>
          </w:p>
        </w:tc>
        <w:tc>
          <w:tcPr>
            <w:tcW w:w="811" w:type="dxa"/>
            <w:gridSpan w:val="3"/>
            <w:tcBorders/>
            <w:shd w:fill="CCEEFF"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w:t>
            </w:r>
          </w:p>
        </w:tc>
      </w:tr>
      <w:tr>
        <w:trPr/>
        <w:tc>
          <w:tcPr>
            <w:tcW w:w="228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514"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229"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our NEOs were compensated under this Veracyte plan. Based on a review of all goals and accomplishments, the independent members of our Board of Directors and Compensation Committee determined that the corporate goals were achieved at 84%, with 20% and 5% achieved in Pipeline/Product Development and Clinical/Biopharma respectively. The Board further determined that it was appropriate to fund the bonus pool, and pay annual cash bonuses to all employees, including NEOs, at a greater achievement rate of 100% of the corporate goals. In making this determination to exercise positive discretion, the Board of Directors and Compensation Committee acknowledged that missed achievements within the “pipeline/</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product development” and “clinical/biopharma” goals were superseded by the Company's extensive achievements (such as, among others, integral strategic portfolio decisions to allocate resources accordingly to drive growth, overcoming major supply chain issues with little impact on patients, successful cultural and infrastructure achievements in furtherance of global integration, and successful adoption and launch of important product differentiators) beyond those laid out at the start of 2022 as well as the outperformance on both established financial metrics. Our NEOs’ earned annual incentives for 2022 were as follows:</w:t>
      </w:r>
    </w:p>
    <w:p>
      <w:pPr>
        <w:pStyle w:val="TextBody"/>
        <w:spacing w:before="120" w:after="120"/>
        <w:ind w:left="0" w:right="0" w:firstLine="720"/>
        <w:jc w:val="both"/>
        <w:rPr/>
      </w:pPr>
      <w:r>
        <w:rPr/>
      </w:r>
    </w:p>
    <w:tbl>
      <w:tblPr>
        <w:tblW w:w="10205" w:type="dxa"/>
        <w:jc w:val="center"/>
        <w:tblInd w:w="0" w:type="dxa"/>
        <w:tblCellMar>
          <w:top w:w="28" w:type="dxa"/>
          <w:left w:w="28" w:type="dxa"/>
          <w:bottom w:w="28" w:type="dxa"/>
          <w:right w:w="28" w:type="dxa"/>
        </w:tblCellMar>
      </w:tblPr>
      <w:tblGrid>
        <w:gridCol w:w="482"/>
        <w:gridCol w:w="408"/>
        <w:gridCol w:w="409"/>
        <w:gridCol w:w="517"/>
        <w:gridCol w:w="365"/>
        <w:gridCol w:w="294"/>
        <w:gridCol w:w="682"/>
        <w:gridCol w:w="662"/>
        <w:gridCol w:w="582"/>
        <w:gridCol w:w="498"/>
        <w:gridCol w:w="361"/>
        <w:gridCol w:w="292"/>
        <w:gridCol w:w="455"/>
        <w:gridCol w:w="455"/>
        <w:gridCol w:w="457"/>
        <w:gridCol w:w="659"/>
        <w:gridCol w:w="659"/>
        <w:gridCol w:w="661"/>
        <w:gridCol w:w="440"/>
        <w:gridCol w:w="353"/>
        <w:gridCol w:w="514"/>
      </w:tblGrid>
      <w:tr>
        <w:trPr/>
        <w:tc>
          <w:tcPr>
            <w:tcW w:w="482"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r>
      <w:tr>
        <w:trPr/>
        <w:tc>
          <w:tcPr>
            <w:tcW w:w="1299" w:type="dxa"/>
            <w:gridSpan w:val="3"/>
            <w:vMerge w:val="restart"/>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Executive</w:t>
            </w:r>
          </w:p>
        </w:tc>
        <w:tc>
          <w:tcPr>
            <w:tcW w:w="4253" w:type="dxa"/>
            <w:gridSpan w:val="9"/>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Original FY 2022 Opportunity</w:t>
            </w:r>
          </w:p>
        </w:tc>
        <w:tc>
          <w:tcPr>
            <w:tcW w:w="4653" w:type="dxa"/>
            <w:gridSpan w:val="9"/>
            <w:tcBorders>
              <w:left w:val="single" w:sz="8" w:space="0" w:color="000000"/>
            </w:tcBorders>
            <w:shd w:fill="auto" w:val="clear"/>
            <w:tcMar>
              <w:top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Actual</w:t>
            </w:r>
          </w:p>
        </w:tc>
      </w:tr>
      <w:tr>
        <w:trPr/>
        <w:tc>
          <w:tcPr>
            <w:tcW w:w="1299" w:type="dxa"/>
            <w:gridSpan w:val="3"/>
            <w:vMerge w:val="continue"/>
            <w:tcBorders/>
            <w:shd w:fill="auto" w:val="clear"/>
            <w:tcMar>
              <w:top w:w="0" w:type="dxa"/>
              <w:left w:w="0" w:type="dxa"/>
              <w:bottom w:w="0" w:type="dxa"/>
              <w:right w:w="0" w:type="dxa"/>
            </w:tcMar>
            <w:vAlign w:val="center"/>
          </w:tcPr>
          <w:p>
            <w:pPr>
              <w:pStyle w:val="Normal"/>
              <w:rPr/>
            </w:pPr>
            <w:r>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2022 Base Salary</w:t>
            </w:r>
          </w:p>
        </w:tc>
        <w:tc>
          <w:tcPr>
            <w:tcW w:w="19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2022 Target Bonus (as a % of base salary)</w:t>
            </w:r>
          </w:p>
        </w:tc>
        <w:tc>
          <w:tcPr>
            <w:tcW w:w="11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Target Bonus ($)</w:t>
            </w:r>
          </w:p>
        </w:tc>
        <w:tc>
          <w:tcPr>
            <w:tcW w:w="136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Corporate Multiplier</w:t>
            </w:r>
          </w:p>
        </w:tc>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Individual Performance Multiplier</w:t>
            </w:r>
          </w:p>
        </w:tc>
        <w:tc>
          <w:tcPr>
            <w:tcW w:w="13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2022 Earned Bonus</w:t>
            </w:r>
          </w:p>
        </w:tc>
      </w:tr>
      <w:tr>
        <w:trPr/>
        <w:tc>
          <w:tcPr>
            <w:tcW w:w="12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color w:val="000000"/>
                <w:sz w:val="20"/>
              </w:rPr>
              <w:t>Marc Stapley</w:t>
            </w:r>
            <w:r>
              <w:rPr>
                <w:rFonts w:ascii="Times New Roman;sans-serif" w:hAnsi="Times New Roman;sans-serif"/>
                <w:b/>
                <w:color w:val="000000"/>
                <w:sz w:val="13"/>
              </w:rPr>
              <w:t>(1)</w:t>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$625,000</w:t>
            </w:r>
          </w:p>
        </w:tc>
        <w:tc>
          <w:tcPr>
            <w:tcW w:w="19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1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$625,000</w:t>
            </w:r>
          </w:p>
        </w:tc>
        <w:tc>
          <w:tcPr>
            <w:tcW w:w="136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3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$625,000</w:t>
            </w:r>
          </w:p>
        </w:tc>
      </w:tr>
      <w:tr>
        <w:trPr/>
        <w:tc>
          <w:tcPr>
            <w:tcW w:w="129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Rebecca Chambers</w:t>
            </w:r>
          </w:p>
        </w:tc>
        <w:tc>
          <w:tcPr>
            <w:tcW w:w="117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$463,500</w:t>
            </w:r>
          </w:p>
        </w:tc>
        <w:tc>
          <w:tcPr>
            <w:tcW w:w="192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15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$254,925</w:t>
            </w:r>
          </w:p>
        </w:tc>
        <w:tc>
          <w:tcPr>
            <w:tcW w:w="1367" w:type="dxa"/>
            <w:gridSpan w:val="3"/>
            <w:tcBorders>
              <w:left w:val="single" w:sz="8" w:space="0" w:color="000000"/>
            </w:tcBorders>
            <w:shd w:fill="auto" w:val="clear"/>
            <w:tcMar>
              <w:top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979"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307"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$305,910</w:t>
            </w:r>
          </w:p>
        </w:tc>
      </w:tr>
      <w:tr>
        <w:trPr/>
        <w:tc>
          <w:tcPr>
            <w:tcW w:w="12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color w:val="000000"/>
                <w:sz w:val="20"/>
              </w:rPr>
              <w:t>Giulia Kennedy</w:t>
            </w:r>
            <w:r>
              <w:rPr>
                <w:rFonts w:ascii="Times New Roman;sans-serif" w:hAnsi="Times New Roman;sans-serif"/>
                <w:b/>
                <w:color w:val="000000"/>
                <w:sz w:val="13"/>
              </w:rPr>
              <w:t>(2)</w:t>
            </w:r>
          </w:p>
        </w:tc>
        <w:tc>
          <w:tcPr>
            <w:tcW w:w="117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192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15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$275,000</w:t>
            </w:r>
          </w:p>
        </w:tc>
        <w:tc>
          <w:tcPr>
            <w:tcW w:w="1367" w:type="dxa"/>
            <w:gridSpan w:val="3"/>
            <w:tcBorders>
              <w:left w:val="single" w:sz="8" w:space="0" w:color="000000"/>
            </w:tcBorders>
            <w:shd w:fill="auto" w:val="clear"/>
            <w:tcMar>
              <w:top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979"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307"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$275,000</w:t>
            </w:r>
          </w:p>
        </w:tc>
      </w:tr>
      <w:tr>
        <w:trPr/>
        <w:tc>
          <w:tcPr>
            <w:tcW w:w="12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color w:val="000000"/>
                <w:sz w:val="20"/>
              </w:rPr>
              <w:t>Annie McGuire</w:t>
            </w:r>
            <w:r>
              <w:rPr>
                <w:rFonts w:ascii="Times New Roman;sans-serif" w:hAnsi="Times New Roman;sans-serif"/>
                <w:b/>
                <w:color w:val="000000"/>
                <w:sz w:val="13"/>
              </w:rPr>
              <w:t>(3)</w:t>
            </w:r>
          </w:p>
        </w:tc>
        <w:tc>
          <w:tcPr>
            <w:tcW w:w="117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$400,000</w:t>
            </w:r>
          </w:p>
        </w:tc>
        <w:tc>
          <w:tcPr>
            <w:tcW w:w="192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15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$160,000</w:t>
            </w:r>
          </w:p>
        </w:tc>
        <w:tc>
          <w:tcPr>
            <w:tcW w:w="1367" w:type="dxa"/>
            <w:gridSpan w:val="3"/>
            <w:tcBorders>
              <w:left w:val="single" w:sz="8" w:space="0" w:color="000000"/>
            </w:tcBorders>
            <w:shd w:fill="auto" w:val="clear"/>
            <w:tcMar>
              <w:top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979"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307"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$154,014</w:t>
            </w:r>
          </w:p>
        </w:tc>
      </w:tr>
      <w:tr>
        <w:trPr/>
        <w:tc>
          <w:tcPr>
            <w:tcW w:w="129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Tina Nova</w:t>
            </w:r>
          </w:p>
        </w:tc>
        <w:tc>
          <w:tcPr>
            <w:tcW w:w="117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192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15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$375,000</w:t>
            </w:r>
          </w:p>
        </w:tc>
        <w:tc>
          <w:tcPr>
            <w:tcW w:w="1367" w:type="dxa"/>
            <w:gridSpan w:val="3"/>
            <w:tcBorders>
              <w:left w:val="single" w:sz="8" w:space="0" w:color="000000"/>
            </w:tcBorders>
            <w:shd w:fill="auto" w:val="clear"/>
            <w:tcMar>
              <w:top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979"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307"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$412,500</w:t>
            </w:r>
          </w:p>
        </w:tc>
      </w:tr>
      <w:tr>
        <w:trPr/>
        <w:tc>
          <w:tcPr>
            <w:tcW w:w="1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1"/>
            <w:tcBorders/>
            <w:shd w:fill="auto" w:val="clear"/>
            <w:tcMar>
              <w:top w:w="0" w:type="dxa"/>
              <w:left w:w="0" w:type="dxa"/>
              <w:bottom w:w="0" w:type="dxa"/>
              <w:right w:w="0" w:type="dxa"/>
            </w:tcMar>
            <w:vAlign w:val="center"/>
          </w:tcPr>
          <w:p>
            <w:pPr>
              <w:pStyle w:val="TableContents"/>
              <w:spacing w:lineRule="auto" w:line="268" w:before="0" w:after="0"/>
              <w:ind w:left="0" w:right="0" w:hanging="18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Mr. Stapley, as executive responsible for our entire business, receives bonuses based entirely on corporate performance without an individual performance multiplier.</w:t>
            </w:r>
          </w:p>
          <w:p>
            <w:pPr>
              <w:pStyle w:val="TableContents"/>
              <w:spacing w:lineRule="auto" w:line="268" w:before="0" w:after="0"/>
              <w:ind w:left="0" w:right="0" w:hanging="18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Ms. Kennedy departed from the company effective December 31, 2022.</w:t>
            </w:r>
          </w:p>
          <w:p>
            <w:pPr>
              <w:pStyle w:val="TableContents"/>
              <w:spacing w:lineRule="auto" w:line="268" w:before="0" w:after="0"/>
              <w:ind w:left="0" w:right="0" w:hanging="90"/>
              <w:jc w:val="left"/>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Ms. McGuire received a pro-rated bonus for the period served in her role.</w:t>
            </w:r>
          </w:p>
        </w:tc>
      </w:tr>
    </w:tbl>
    <w:p>
      <w:pPr>
        <w:pStyle w:val="TextBody"/>
        <w:spacing w:before="0" w:after="0"/>
        <w:rPr/>
      </w:pPr>
      <w:r>
        <w:rPr/>
      </w:r>
    </w:p>
    <w:p>
      <w:pPr>
        <w:pStyle w:val="TextBody"/>
        <w:spacing w:lineRule="auto" w:line="276" w:before="0" w:after="120"/>
        <w:jc w:val="both"/>
        <w:rPr>
          <w:rFonts w:ascii="Times New Roman;sans-serif" w:hAnsi="Times New Roman;sans-serif"/>
          <w:b/>
          <w:color w:val="000000"/>
          <w:sz w:val="20"/>
        </w:rPr>
      </w:pPr>
      <w:r>
        <w:rPr>
          <w:rFonts w:ascii="Times New Roman;sans-serif" w:hAnsi="Times New Roman;sans-serif"/>
          <w:b/>
          <w:color w:val="000000"/>
          <w:sz w:val="20"/>
        </w:rPr>
        <w:t>Equity Compensation</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executive pay is delivered as long-term incentives, or equity awards, which are designed to align executive officers’ interests with stockholder interests, promote retention through the reward of long-term company performance, and encourage ownership in our company. Equity awards are designed to encourage high performance by and long-term tenure for executive officers, thereby strongly aligning executive officers’ interests with the interests of our stockholders. </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grant equity awards in the form of stock options and RSUs. We believe that stock options, which are granted with exercise prices equal to the fair market value of our common stock on the date of grant and vest over a four-year period, provide an appropriate long-term incentive for our executive officers, as the stock options provide value only to the extent that our stock price increases above the exercise price set at the date of grant. Likewise, we believe that RSU awards reward our executive officers with long-term stock price appreciation while simultaneously helping us retain our executive officers, as RSUs provide some value to the recipient even if the market price of our common stock declines following the grant date. In addition, because RSUs are usually granted in smaller amounts than stock options, RSUs allow us to offer a robust equity compensation program while also managing dilution.</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believes that certain targeted PSUs can provide an appropriate long-term incentive for our executive officers, as PSUs reward our executive officers only to the extent certain performance measures aligned with driving increased stockholder value are met. </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2022, the Compensation Committee (and, in the case of our Chief Executive Officer, our Board of Directors), again granted PSUs to certain of our NEOs as a significant portion of their 2022 total equity compensation (“2022 PSUs”). The terms of these 2022 PSUs are described below.</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initially determines the size of equity grants by considering the executive officer’s position and market data of our peer group companies as provided by Aon. The Compensation Committee then takes into consideration each named executive officer’s recent performance history, his or her potential for future responsibility and criticality of his or her work to the long-term success of our company and the retention value of outstanding awards. The Compensation Committee has the discretion to give relative weight to each of these factors as it sets the size of the equity grant to appropriately create an opportunity for reward based on increasing stockholder value. For newly hired or promoted executive officers, the Compensation Committee also takes into consideration the value needed to induce the individual to accept the position and to drive substantial performance.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lineRule="auto" w:line="276" w:before="0" w:after="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2022 Equity Grants</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the independent members of the Board of Directors, on the recommendation of the Compensation Committee, approved annual equity awards to the NEOs to be granted in March consistent with past practice, in the following amounts:</w:t>
      </w:r>
    </w:p>
    <w:tbl>
      <w:tblPr>
        <w:tblW w:w="10205" w:type="dxa"/>
        <w:jc w:val="center"/>
        <w:tblInd w:w="0" w:type="dxa"/>
        <w:tblCellMar>
          <w:top w:w="28" w:type="dxa"/>
          <w:left w:w="28" w:type="dxa"/>
          <w:bottom w:w="28" w:type="dxa"/>
          <w:right w:w="28" w:type="dxa"/>
        </w:tblCellMar>
      </w:tblPr>
      <w:tblGrid>
        <w:gridCol w:w="1461"/>
        <w:gridCol w:w="1273"/>
        <w:gridCol w:w="1286"/>
        <w:gridCol w:w="1001"/>
        <w:gridCol w:w="1001"/>
        <w:gridCol w:w="1005"/>
        <w:gridCol w:w="506"/>
        <w:gridCol w:w="506"/>
        <w:gridCol w:w="517"/>
        <w:gridCol w:w="478"/>
        <w:gridCol w:w="478"/>
        <w:gridCol w:w="693"/>
      </w:tblGrid>
      <w:tr>
        <w:trPr/>
        <w:tc>
          <w:tcPr>
            <w:tcW w:w="1461"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Executive</w:t>
            </w:r>
          </w:p>
        </w:tc>
        <w:tc>
          <w:tcPr>
            <w:tcW w:w="30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Stock Options</w:t>
              <w:br/>
              <w:t>(#)</w:t>
            </w:r>
          </w:p>
        </w:tc>
        <w:tc>
          <w:tcPr>
            <w:tcW w:w="15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RSUs</w:t>
              <w:br/>
              <w:t>(#)</w:t>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PSUs</w:t>
              <w:br/>
              <w:t>(#)</w:t>
            </w:r>
          </w:p>
        </w:tc>
      </w:tr>
      <w:tr>
        <w:trPr/>
        <w:tc>
          <w:tcPr>
            <w:tcW w:w="4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 Stapley</w:t>
            </w:r>
          </w:p>
        </w:tc>
        <w:tc>
          <w:tcPr>
            <w:tcW w:w="30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103,026</w:t>
            </w:r>
          </w:p>
        </w:tc>
        <w:tc>
          <w:tcPr>
            <w:tcW w:w="15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56,537</w:t>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28,268</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Rebecca Chambers</w:t>
            </w:r>
          </w:p>
        </w:tc>
        <w:tc>
          <w:tcPr>
            <w:tcW w:w="30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37,773</w:t>
            </w:r>
          </w:p>
        </w:tc>
        <w:tc>
          <w:tcPr>
            <w:tcW w:w="1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20,728</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10,364</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Giulia Kennedy</w:t>
            </w:r>
            <w:r>
              <w:rPr>
                <w:rFonts w:ascii="Times New Roman;sans-serif" w:hAnsi="Times New Roman;sans-serif"/>
                <w:b/>
                <w:color w:val="000000"/>
                <w:sz w:val="12"/>
              </w:rPr>
              <w:t>(1)</w:t>
            </w:r>
          </w:p>
        </w:tc>
        <w:tc>
          <w:tcPr>
            <w:tcW w:w="30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77,287</w:t>
            </w:r>
          </w:p>
        </w:tc>
        <w:tc>
          <w:tcPr>
            <w:tcW w:w="1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42,412</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21,206</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Annie McGuire</w:t>
            </w:r>
            <w:r>
              <w:rPr>
                <w:rFonts w:ascii="Times New Roman;sans-serif" w:hAnsi="Times New Roman;sans-serif"/>
                <w:b/>
                <w:color w:val="000000"/>
                <w:sz w:val="12"/>
              </w:rPr>
              <w:t>(2)</w:t>
            </w:r>
          </w:p>
        </w:tc>
        <w:tc>
          <w:tcPr>
            <w:tcW w:w="30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42,175</w:t>
            </w:r>
          </w:p>
        </w:tc>
        <w:tc>
          <w:tcPr>
            <w:tcW w:w="1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22,855</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Tina Nova</w:t>
            </w:r>
          </w:p>
        </w:tc>
        <w:tc>
          <w:tcPr>
            <w:tcW w:w="30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103,043</w:t>
            </w:r>
          </w:p>
        </w:tc>
        <w:tc>
          <w:tcPr>
            <w:tcW w:w="1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56,546</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28,273</w:t>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52" w:before="0" w:after="60"/>
              <w:ind w:left="0" w:right="0" w:hanging="18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Ms. Kennedy departed from the company effective December 31, 2022.</w:t>
            </w:r>
          </w:p>
          <w:p>
            <w:pPr>
              <w:pStyle w:val="TableContents"/>
              <w:spacing w:lineRule="auto" w:line="252" w:before="0" w:after="60"/>
              <w:ind w:left="0" w:right="0" w:hanging="18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Ms. McGuire was granted her equity awards on February 28, 2022 in connection with the commencement of her employment as our General Counsel.</w:t>
            </w:r>
          </w:p>
        </w:tc>
      </w:tr>
    </w:tbl>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half of 2022, our sector experienced a great deal of market uncertainty including stock price volatility. At the same time, the ongoing talent challenges in the diagnostic sector, both for attracting and retaining key experienced leaders with specific business and technical capabilities and more broadly, began to materialize via escalating turnover in the market. The Compensation Committee proactively took action in evaluating the retention risk at the leadership level, including the NEOs, to develop a strategy and approach that was cost-effective, responsible to shareholders and provided the incentive to top talent to remain with the company. The Compensation Committee accordingly provided the CFO, CSO and General Counsel with a one-time grant of stock options and RSUs due to their new hire stock options being significantly underwater as a result of the broader macro market dynamics even after a strong performance year by the company. Not only were the new hire stock options underwater or without retention value, the intended compensation value delivered via time-vesting RSUs was also substantially below the intended compensation value. For the other NEOs, the Committee also evaluated the retention risk and determined that the holistic nature of their equity holdings were sufficiently retentive, and determined to not make any additional equity grants at that time. The following grants were made to our NEOs:</w:t>
      </w:r>
    </w:p>
    <w:tbl>
      <w:tblPr>
        <w:tblW w:w="5548" w:type="dxa"/>
        <w:jc w:val="center"/>
        <w:tblInd w:w="0" w:type="dxa"/>
        <w:tblCellMar>
          <w:top w:w="28" w:type="dxa"/>
          <w:left w:w="28" w:type="dxa"/>
          <w:bottom w:w="28" w:type="dxa"/>
          <w:right w:w="28" w:type="dxa"/>
        </w:tblCellMar>
      </w:tblPr>
      <w:tblGrid>
        <w:gridCol w:w="935"/>
        <w:gridCol w:w="817"/>
        <w:gridCol w:w="828"/>
        <w:gridCol w:w="642"/>
        <w:gridCol w:w="642"/>
        <w:gridCol w:w="645"/>
        <w:gridCol w:w="304"/>
        <w:gridCol w:w="304"/>
        <w:gridCol w:w="431"/>
      </w:tblGrid>
      <w:tr>
        <w:trPr/>
        <w:tc>
          <w:tcPr>
            <w:tcW w:w="935"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Executive</w:t>
            </w:r>
          </w:p>
        </w:tc>
        <w:tc>
          <w:tcPr>
            <w:tcW w:w="19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Stock Options</w:t>
              <w:br/>
              <w:t>(#)</w:t>
            </w:r>
          </w:p>
        </w:tc>
        <w:tc>
          <w:tcPr>
            <w:tcW w:w="1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RSUs</w:t>
              <w:br/>
              <w:t>(#)</w:t>
            </w:r>
          </w:p>
        </w:tc>
      </w:tr>
      <w:tr>
        <w:trPr/>
        <w:tc>
          <w:tcPr>
            <w:tcW w:w="25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Rebecca Chambers</w:t>
            </w:r>
          </w:p>
        </w:tc>
        <w:tc>
          <w:tcPr>
            <w:tcW w:w="19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36,496</w:t>
            </w:r>
          </w:p>
        </w:tc>
        <w:tc>
          <w:tcPr>
            <w:tcW w:w="1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21,404</w:t>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Giulia Kennedy(1)</w:t>
            </w:r>
          </w:p>
        </w:tc>
        <w:tc>
          <w:tcPr>
            <w:tcW w:w="1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18,248</w:t>
            </w:r>
          </w:p>
        </w:tc>
        <w:tc>
          <w:tcPr>
            <w:tcW w:w="10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10,702</w:t>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Annie McGuire</w:t>
            </w:r>
          </w:p>
        </w:tc>
        <w:tc>
          <w:tcPr>
            <w:tcW w:w="1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18,248</w:t>
            </w:r>
          </w:p>
        </w:tc>
        <w:tc>
          <w:tcPr>
            <w:tcW w:w="10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10,702</w:t>
            </w:r>
          </w:p>
        </w:tc>
      </w:tr>
      <w:tr>
        <w:trPr/>
        <w:tc>
          <w:tcPr>
            <w:tcW w:w="5548"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 Ms. Kennedy departed from the company effective December 31, 2022. </w:t>
            </w:r>
          </w:p>
        </w:tc>
      </w:tr>
    </w:tbl>
    <w:p>
      <w:pPr>
        <w:pStyle w:val="TextBody"/>
        <w:spacing w:before="120" w:after="120"/>
        <w:ind w:left="0" w:right="0" w:firstLine="720"/>
        <w:jc w:val="both"/>
        <w:rPr/>
      </w:pPr>
      <w:r>
        <w:rPr/>
      </w:r>
    </w:p>
    <w:p>
      <w:pPr>
        <w:pStyle w:val="TextBody"/>
        <w:spacing w:lineRule="auto" w:line="288" w:before="120" w:after="120"/>
        <w:ind w:left="0" w:right="0" w:firstLine="720"/>
        <w:jc w:val="both"/>
        <w:rPr/>
      </w:pPr>
      <w:r>
        <w:rPr>
          <w:rFonts w:ascii="Times New Roman;sans-serif" w:hAnsi="Times New Roman;sans-serif"/>
          <w:b w:val="false"/>
          <w:i/>
          <w:color w:val="000000"/>
          <w:sz w:val="20"/>
        </w:rPr>
        <w:t>Time-Based Vesting Schedules</w:t>
      </w:r>
      <w:r>
        <w:rPr>
          <w:color w:val="000000"/>
        </w:rPr>
        <w:t xml:space="preserve"> </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annual option awards granted in March 2022 vest and become exercisable as to 25% of the shares on the first anniversary of the grant date, and the remaining shares vest at a rate of 1/48th of the total number of shares subject to the award for each month of continuous service thereafter (until the fourth anniversary of the date of grant). </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annual RSU awards granted in March 2022 vest as to 1/4 on the first anniversary of March 2, 2022 and then in equal quarterly installments over the following 12 quarters, based on continuing service on each vesting date (until the fourth anniversary of the date of grant).</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one-time Option retention awards granted in August 2022 vest and become exercisable as to 1/3rd of the total number of shares subject to the award for each month of continuous service thereafter (until the third anniversary of the date of grant).</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one-time RSU retention awards granted August 2022 vest at a rate of 1/3rd of the total number of RSUs on the one-year anniversary of the vesting commencement date, and vest at a rate of 1/12th of the total number of RSUs on each quarter thereafter (until the third anniversary of the date of grant). The significant reduction in intended value of existing grants to NEOs due to the macro market conditions and the critical need to retain certain of the NEOs led the Compensation Committee to issue these retention grants with a three-year vesting as opposed to four year vesting.</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lineRule="auto" w:line="288" w:before="12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Performance-Based Vesting Schedules</w:t>
      </w:r>
    </w:p>
    <w:p>
      <w:pPr>
        <w:pStyle w:val="TextBody"/>
        <w:spacing w:lineRule="auto" w:line="288" w:before="120" w:after="120"/>
        <w:ind w:left="0" w:right="0" w:firstLine="720"/>
        <w:jc w:val="both"/>
        <w:rPr/>
      </w:pPr>
      <w:r>
        <w:rPr>
          <w:rFonts w:ascii="Times New Roman;sans-serif" w:hAnsi="Times New Roman;sans-serif"/>
          <w:b w:val="false"/>
          <w:color w:val="000000"/>
          <w:sz w:val="20"/>
        </w:rPr>
        <w:t xml:space="preserve">The 2022 PSU awards are split between a two year and three year performance period to reward for growth and execution over time. One-third of the total number of shares subject to the PSU granted in 2022, will be earned if the total revenue for 2023 equals or exceeds a certain threshold and two-thirds of the total number of shares subject to the PSU will be earned if the total revenue for 2024 equals or exceeds a </w:t>
      </w:r>
      <w:r>
        <w:rPr>
          <w:rFonts w:ascii="Times New Roman;sans-serif" w:hAnsi="Times New Roman;sans-serif"/>
          <w:b w:val="false"/>
          <w:color w:val="201F1E"/>
          <w:sz w:val="20"/>
        </w:rPr>
        <w:t>higher</w:t>
      </w:r>
      <w:r>
        <w:rPr>
          <w:color w:val="000000"/>
        </w:rPr>
        <w:t xml:space="preserve"> </w:t>
      </w:r>
      <w:r>
        <w:rPr>
          <w:rFonts w:ascii="Times New Roman;sans-serif" w:hAnsi="Times New Roman;sans-serif"/>
          <w:b w:val="false"/>
          <w:color w:val="000000"/>
          <w:sz w:val="20"/>
        </w:rPr>
        <w:t xml:space="preserve">threshold. The officer must remain in service with the Company on each of these vesting dates to have the opportunity to earn any "achieved" portion of the PSU. The Compensation Committee and Board of Directors believe the company’s primary and immediate focus should be on increased, sustained revenue growth. To that end, in addition to including short-term revenue growth in the annual incentive, the Committee felt the two-year and three-year performance periods were the most appropriate length for our growth strategy and drive toward profitability, and offer a reasonable balance between long-term growth and ongoing focus on medium-term revenue increases given the dynamic changes in the diagnostic and testing market place. For purposes of the 2022 PSU awards, “revenue” means our total revenue calculated in accordance with U.S. Generally Accepted Accounting Principles, as reported in our annual financial statements for the applicable year. </w:t>
      </w:r>
    </w:p>
    <w:p>
      <w:pPr>
        <w:pStyle w:val="TextBody"/>
        <w:spacing w:lineRule="auto" w:line="288" w:before="12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Competitive Harm in Disclosing Thresholds</w:t>
      </w:r>
    </w:p>
    <w:p>
      <w:pPr>
        <w:pStyle w:val="TextBody"/>
        <w:spacing w:lineRule="auto" w:line="288" w:before="120" w:after="120"/>
        <w:ind w:left="0" w:right="0" w:firstLine="720"/>
        <w:jc w:val="both"/>
        <w:rPr/>
      </w:pPr>
      <w:r>
        <w:rPr>
          <w:rFonts w:ascii="Times New Roman;sans-serif" w:hAnsi="Times New Roman;sans-serif"/>
          <w:b w:val="false"/>
          <w:color w:val="201F1E"/>
          <w:sz w:val="20"/>
        </w:rPr>
        <w:t xml:space="preserve">We have not publicly disclosed the specific PSU performance thresholds because we believe advance disclosure of the thresholds could cause significant competitive harm to our business. The thresholds were purposefully set to be more aggressive than our disclosed guidance and long-term financial plan and are fully achievable only by outperforming such guidance and plan. If specific thresholds were disclosed, they could be treated as the Company’s new guidance or </w:t>
      </w:r>
      <w:r>
        <w:rPr>
          <w:rFonts w:ascii="Times New Roman;sans-serif" w:hAnsi="Times New Roman;sans-serif"/>
          <w:b w:val="false"/>
          <w:color w:val="000000"/>
          <w:sz w:val="20"/>
        </w:rPr>
        <w:t>long-term</w:t>
      </w:r>
      <w:r>
        <w:rPr>
          <w:color w:val="201F1E"/>
        </w:rPr>
        <w:t xml:space="preserve"> </w:t>
      </w:r>
      <w:r>
        <w:rPr>
          <w:rFonts w:ascii="Times New Roman;sans-serif" w:hAnsi="Times New Roman;sans-serif"/>
          <w:b w:val="false"/>
          <w:color w:val="201F1E"/>
          <w:sz w:val="20"/>
        </w:rPr>
        <w:t xml:space="preserve">financial plan, which would not align with (i) the Company’s purpose of </w:t>
      </w:r>
      <w:r>
        <w:rPr>
          <w:rFonts w:ascii="Times New Roman;sans-serif" w:hAnsi="Times New Roman;sans-serif"/>
          <w:b w:val="false"/>
          <w:color w:val="000000"/>
          <w:sz w:val="20"/>
        </w:rPr>
        <w:t>using</w:t>
      </w:r>
      <w:r>
        <w:rPr>
          <w:color w:val="201F1E"/>
        </w:rPr>
        <w:t xml:space="preserve"> </w:t>
      </w:r>
      <w:r>
        <w:rPr>
          <w:rFonts w:ascii="Times New Roman;sans-serif" w:hAnsi="Times New Roman;sans-serif"/>
          <w:b w:val="false"/>
          <w:color w:val="201F1E"/>
          <w:sz w:val="20"/>
        </w:rPr>
        <w:t>the PSU performance thresholds to encourage exceptional out performance of our rigorous disclosed guidance and plan, and (ii) how the Company understands the role the PSU performance thresholds have in our long-term business and strategy. Disclosing the specific thresholds could also create a retention risk for our Chief Executive Officer and other Named Executive Officers, who are crucial to the execution of our next phase of growth by giving insight into the retentive value of the PSU awards. Companies competing for our top executive talent could use the thresholds’ rigor and the significant challenge of achieving the full award, depending on how many tranches have been earned and what remains of the performance period, to undercut the value of the PSU awards by offering a sign-on bonus or a more easily achievable compensation package to induce our Named Executive Officers to leave the Company. While we are not disclosing the thresholds in advance, we plan to appropriately disclose applicable achievements in a fiscal year in the following year’s proxy statement.</w:t>
      </w:r>
    </w:p>
    <w:p>
      <w:pPr>
        <w:pStyle w:val="TextBody"/>
        <w:spacing w:before="120" w:after="12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Additional Compensation Practices and Policies</w:t>
      </w:r>
    </w:p>
    <w:p>
      <w:pPr>
        <w:pStyle w:val="TextBody"/>
        <w:spacing w:before="0" w:after="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Hedging, Derivative Securities Transactions, Short Selling, and Pledging</w:t>
      </w:r>
    </w:p>
    <w:p>
      <w:pPr>
        <w:pStyle w:val="TextBody"/>
        <w:spacing w:lineRule="auto" w:line="288" w:before="120" w:after="120"/>
        <w:ind w:left="0" w:right="0" w:firstLine="720"/>
        <w:jc w:val="both"/>
        <w:rPr/>
      </w:pPr>
      <w:r>
        <w:rPr>
          <w:rFonts w:ascii="Times New Roman;sans-serif" w:hAnsi="Times New Roman;sans-serif"/>
          <w:b w:val="false"/>
          <w:color w:val="000000"/>
          <w:sz w:val="20"/>
        </w:rPr>
        <w:t xml:space="preserve">Under our Insider Trading Policy, our employees (including our executive officers) and the non-employee members of our Board of Directors are prohibited from engaging in hedging or monetization transactions involving our securities, such as zero-cost collars and forward sale contracts and </w:t>
      </w:r>
      <w:r>
        <w:rPr>
          <w:rFonts w:ascii="Times New Roman;sans-serif" w:hAnsi="Times New Roman;sans-serif"/>
          <w:b w:val="false"/>
          <w:color w:val="201F1E"/>
          <w:sz w:val="20"/>
        </w:rPr>
        <w:t>may</w:t>
      </w:r>
      <w:r>
        <w:rPr>
          <w:color w:val="000000"/>
        </w:rPr>
        <w:t xml:space="preserve"> </w:t>
      </w:r>
      <w:r>
        <w:rPr>
          <w:rFonts w:ascii="Times New Roman;sans-serif" w:hAnsi="Times New Roman;sans-serif"/>
          <w:b w:val="false"/>
          <w:color w:val="000000"/>
          <w:sz w:val="20"/>
        </w:rPr>
        <w:t>not contribute our securities to exchange funds that could be interpreted as having the effect of hedging in our securities. Further, our employees (including executive officers) and the non-employee members of our Board of Directors are prohibited from engaging in transactions involving options or other derivative securities on our securities, such as puts and calls, whether on an exchange or in any other market and from engaging in short sales of our securities, including short sales “against the box.”</w:t>
      </w:r>
    </w:p>
    <w:p>
      <w:pPr>
        <w:pStyle w:val="TextBody"/>
        <w:spacing w:lineRule="auto" w:line="288" w:before="120" w:after="120"/>
        <w:ind w:left="0" w:right="0" w:firstLine="720"/>
        <w:jc w:val="both"/>
        <w:rPr/>
      </w:pPr>
      <w:r>
        <w:rPr>
          <w:rFonts w:ascii="Times New Roman;sans-serif" w:hAnsi="Times New Roman;sans-serif"/>
          <w:b w:val="false"/>
          <w:color w:val="000000"/>
          <w:sz w:val="20"/>
        </w:rPr>
        <w:t xml:space="preserve">Also, under our Insider Trading Policy, our employees (including our executive officers) and the non-employee members of our Board of Directors are prohibited from using or pledging our securities as collateral in a margin account or as collateral for a loan unless the pledge has been </w:t>
      </w:r>
      <w:r>
        <w:rPr>
          <w:rFonts w:ascii="Times New Roman;sans-serif" w:hAnsi="Times New Roman;sans-serif"/>
          <w:b w:val="false"/>
          <w:color w:val="201F1E"/>
          <w:sz w:val="20"/>
        </w:rPr>
        <w:t>approved</w:t>
      </w:r>
      <w:r>
        <w:rPr>
          <w:color w:val="000000"/>
        </w:rPr>
        <w:t xml:space="preserve"> </w:t>
      </w:r>
      <w:r>
        <w:rPr>
          <w:rFonts w:ascii="Times New Roman;sans-serif" w:hAnsi="Times New Roman;sans-serif"/>
          <w:b w:val="false"/>
          <w:color w:val="000000"/>
          <w:sz w:val="20"/>
        </w:rPr>
        <w:t>by the designated compliance administrator pursuant to the Insider Trading Policy, which approval is limited to situations where the subject individual has demonstrated the financial capacity to repay the loan without resorting to the pledged securities).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Executive and Board Stock Ownership Guidelines</w:t>
      </w:r>
    </w:p>
    <w:p>
      <w:pPr>
        <w:pStyle w:val="TextBody"/>
        <w:spacing w:before="0" w:after="0"/>
        <w:jc w:val="both"/>
        <w:rPr/>
      </w:pPr>
      <w:r>
        <w:rPr/>
      </w:r>
    </w:p>
    <w:p>
      <w:pPr>
        <w:pStyle w:val="TextBody"/>
        <w:spacing w:lineRule="auto" w:line="288" w:before="120" w:after="120"/>
        <w:ind w:left="0" w:right="0" w:firstLine="720"/>
        <w:jc w:val="both"/>
        <w:rPr/>
      </w:pPr>
      <w:r>
        <w:rPr>
          <w:rFonts w:ascii="Times New Roman;sans-serif" w:hAnsi="Times New Roman;sans-serif"/>
          <w:b w:val="false"/>
          <w:color w:val="000000"/>
          <w:sz w:val="20"/>
        </w:rPr>
        <w:t xml:space="preserve">In February 2021, the Board of Directors adopted stock ownership guidelines for our executive officers. Under these guidelines, the Chief Executive Officer and each </w:t>
      </w:r>
      <w:r>
        <w:rPr>
          <w:rFonts w:ascii="Times New Roman;sans-serif" w:hAnsi="Times New Roman;sans-serif"/>
          <w:b w:val="false"/>
          <w:color w:val="201F1E"/>
          <w:sz w:val="20"/>
        </w:rPr>
        <w:t>other</w:t>
      </w:r>
      <w:r>
        <w:rPr>
          <w:color w:val="000000"/>
        </w:rPr>
        <w:t xml:space="preserve"> </w:t>
      </w:r>
      <w:r>
        <w:rPr>
          <w:rFonts w:ascii="Times New Roman;sans-serif" w:hAnsi="Times New Roman;sans-serif"/>
          <w:b w:val="false"/>
          <w:color w:val="000000"/>
          <w:sz w:val="20"/>
        </w:rPr>
        <w:t xml:space="preserve">individual serving as a C-Level executive officer and each member of our Board of Directors must achieve the requirement within five years of becoming subject to the policy. </w:t>
      </w:r>
    </w:p>
    <w:tbl>
      <w:tblPr>
        <w:tblW w:w="7363" w:type="dxa"/>
        <w:jc w:val="center"/>
        <w:tblInd w:w="0" w:type="dxa"/>
        <w:tblCellMar>
          <w:top w:w="28" w:type="dxa"/>
          <w:left w:w="28" w:type="dxa"/>
          <w:bottom w:w="28" w:type="dxa"/>
          <w:right w:w="28" w:type="dxa"/>
        </w:tblCellMar>
      </w:tblPr>
      <w:tblGrid>
        <w:gridCol w:w="1933"/>
        <w:gridCol w:w="1694"/>
        <w:gridCol w:w="1712"/>
        <w:gridCol w:w="593"/>
        <w:gridCol w:w="593"/>
        <w:gridCol w:w="838"/>
      </w:tblGrid>
      <w:tr>
        <w:trPr/>
        <w:tc>
          <w:tcPr>
            <w:tcW w:w="1933" w:type="dxa"/>
            <w:tcBorders/>
            <w:shd w:fill="auto" w:val="clear"/>
            <w:vAlign w:val="center"/>
          </w:tcPr>
          <w:p>
            <w:pPr>
              <w:pStyle w:val="TableContents"/>
              <w:spacing w:before="0" w:after="283"/>
              <w:rPr>
                <w:sz w:val="4"/>
                <w:szCs w:val="4"/>
              </w:rPr>
            </w:pPr>
            <w:r>
              <w:rPr>
                <w:sz w:val="4"/>
                <w:szCs w:val="4"/>
              </w:rPr>
            </w:r>
          </w:p>
        </w:tc>
        <w:tc>
          <w:tcPr>
            <w:tcW w:w="1694"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top w:val="single" w:sz="8" w:space="0" w:color="7F7F7F"/>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c>
          <w:tcPr>
            <w:tcW w:w="2024" w:type="dxa"/>
            <w:gridSpan w:val="3"/>
            <w:tcBorders>
              <w:top w:val="single" w:sz="8" w:space="0" w:color="7F7F7F"/>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Requirement</w:t>
            </w:r>
          </w:p>
        </w:tc>
      </w:tr>
      <w:tr>
        <w:trPr/>
        <w:tc>
          <w:tcPr>
            <w:tcW w:w="5339" w:type="dxa"/>
            <w:gridSpan w:val="3"/>
            <w:tcBorders>
              <w:top w:val="single" w:sz="8" w:space="0" w:color="7F7F7F"/>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c>
          <w:tcPr>
            <w:tcW w:w="2024" w:type="dxa"/>
            <w:gridSpan w:val="3"/>
            <w:tcBorders>
              <w:top w:val="single" w:sz="8" w:space="0" w:color="7F7F7F"/>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3x base salary</w:t>
            </w:r>
          </w:p>
        </w:tc>
      </w:tr>
      <w:tr>
        <w:trPr/>
        <w:tc>
          <w:tcPr>
            <w:tcW w:w="5339" w:type="dxa"/>
            <w:gridSpan w:val="3"/>
            <w:tcBorders>
              <w:top w:val="single" w:sz="8" w:space="0" w:color="7F7F7F"/>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C-Level Executive Officers other than Chief Executive Officer</w:t>
            </w:r>
          </w:p>
        </w:tc>
        <w:tc>
          <w:tcPr>
            <w:tcW w:w="2024" w:type="dxa"/>
            <w:gridSpan w:val="3"/>
            <w:tcBorders>
              <w:top w:val="single" w:sz="8" w:space="0" w:color="7F7F7F"/>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1x base salary</w:t>
            </w:r>
          </w:p>
        </w:tc>
      </w:tr>
      <w:tr>
        <w:trPr/>
        <w:tc>
          <w:tcPr>
            <w:tcW w:w="5339" w:type="dxa"/>
            <w:gridSpan w:val="3"/>
            <w:tcBorders>
              <w:top w:val="single" w:sz="8" w:space="0" w:color="7F7F7F"/>
              <w:bottom w:val="single" w:sz="8" w:space="0" w:color="7F7F7F"/>
            </w:tcBorders>
            <w:shd w:fill="auto" w:val="clear"/>
            <w:tcMar>
              <w:top w:w="30" w:type="dxa"/>
              <w:left w:w="0" w:type="dxa"/>
              <w:bottom w:w="3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Non-Employee Directors</w:t>
            </w:r>
          </w:p>
        </w:tc>
        <w:tc>
          <w:tcPr>
            <w:tcW w:w="2024" w:type="dxa"/>
            <w:gridSpan w:val="3"/>
            <w:tcBorders>
              <w:top w:val="single" w:sz="8" w:space="0" w:color="7F7F7F"/>
              <w:bottom w:val="single" w:sz="8" w:space="0" w:color="7F7F7F"/>
            </w:tcBorders>
            <w:shd w:fill="auto" w:val="clear"/>
            <w:tcMar>
              <w:top w:w="30" w:type="dxa"/>
              <w:left w:w="0" w:type="dxa"/>
              <w:bottom w:w="3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3x annual cash retainer</w:t>
            </w:r>
          </w:p>
        </w:tc>
      </w:tr>
    </w:tbl>
    <w:p>
      <w:pPr>
        <w:pStyle w:val="TextBody"/>
        <w:spacing w:before="0" w:after="0"/>
        <w:ind w:left="0" w:right="0" w:firstLine="360"/>
        <w:jc w:val="both"/>
        <w:rPr/>
      </w:pPr>
      <w:r>
        <w:rPr/>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purposes of determining stock ownership levels, the following forms of equity interests are included: shares owned by the executive officer directly, or held in trust for the benefit of, the executive officer or director or his or her immediate family members residing in same household or through trusts; and the “In-the-Money” value of vested stock option awards. Unvested stock options, unvested restricted stock units and unvested performance stock units are not included. The applicable guidelines must be met within the earliest of five years from: (i) joining Veracyte, (ii) promotion to a C-Level executive officer or (iii) establishment of the guidelines. As of December 31, 2022, all non-employee directors and all of our current executive officers who are subject to these requirements were in compliance with our stock ownership guidelines, other than those executive officers whose employment began within the last five years, each of whom has sufficient time remaining to meet the required ownership level.</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Tax and Accounting Considerations</w:t>
      </w:r>
    </w:p>
    <w:p>
      <w:pPr>
        <w:pStyle w:val="TextBody"/>
        <w:spacing w:before="0" w:after="0"/>
        <w:ind w:left="0" w:right="0" w:firstLine="540"/>
        <w:jc w:val="both"/>
        <w:rPr/>
      </w:pPr>
      <w:r>
        <w:rPr/>
      </w:r>
    </w:p>
    <w:p>
      <w:pPr>
        <w:pStyle w:val="TextBody"/>
        <w:spacing w:lineRule="auto" w:line="276" w:before="0" w:after="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Deductibility of Executive Compensation</w:t>
      </w:r>
    </w:p>
    <w:p>
      <w:pPr>
        <w:pStyle w:val="TextBody"/>
        <w:spacing w:before="0" w:after="0"/>
        <w:ind w:left="0" w:right="0" w:firstLine="495"/>
        <w:jc w:val="both"/>
        <w:rPr/>
      </w:pPr>
      <w:r>
        <w:rPr/>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considers the deductibility of executive compensation under Section 162(m) of the Internal Revenue Code in designing, establishing and implementing our executive compensation policies and practices. Section 162(m) imposes limitations on the deductibility for corporate federal income tax purposes of compensation in excess of $1.0 million paid to any person who has served as chief executive officer, chief financial officer and each of the three next most highly compensated executive officers of a public company. As a result, we expect that compensation awarded to our named executive officers will not be deductible to the extent it is in excess of the $1.0 million threshold. In determining the form and amount of compensation for our named executive officers, the Compensation Committee will continue to consider all elements of the cost of such compensation, including Section 162(m). </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Compensation Committee considers the deductibility of awards as one factor in determining executive compensation, the Compensation Committee also looks at other factors in making its decisions and retains the flexibility to award compensation that it determines to be consistent with the goals of our executive compensation program even if the awards are not deductible by us for tax purposes. </w:t>
      </w:r>
    </w:p>
    <w:p>
      <w:pPr>
        <w:pStyle w:val="TextBody"/>
        <w:spacing w:lineRule="auto" w:line="276" w:before="0" w:after="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Taxation of “Parachute” Payments and Deferred Compensation.</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Sections 280G and 4999 of the Internal Revenue Code provide that named executive officers and directors who hold significant equity interests and certain other service providers may be subject to an excise tax if they receive payments or benefits in connection with a change in control of our Company that exceed certain prescribed limits, and that we (or a successor) may forfeit a deduction on the amounts subject to this additional tax. Section 409A of the Internal Revenue Code imposes significant additional taxes in the event that an employee, including a named executive officer, director, or service provider receives “nonqualified deferred compensation” that does not satisfy the conditions of Section 409A.</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agreed and are not otherwise obligated to provide any named executive officer with a “gross-up” or other reimbursement payment for any tax liability that he or she might owe as a result of the application of Sections 280G, 4999 or 409A of the Internal Revenue Code. </w:t>
      </w:r>
    </w:p>
    <w:p>
      <w:pPr>
        <w:pStyle w:val="TextBody"/>
        <w:spacing w:lineRule="auto" w:line="276" w:before="120" w:after="120"/>
        <w:ind w:left="0" w:right="0" w:firstLine="495"/>
        <w:jc w:val="both"/>
        <w:rPr/>
      </w:pPr>
      <w:r>
        <w:rPr>
          <w:rFonts w:ascii="Times New Roman;sans-serif" w:hAnsi="Times New Roman;sans-serif"/>
          <w:b/>
          <w:color w:val="000000"/>
          <w:sz w:val="20"/>
        </w:rPr>
        <w:t>Accounting for Stock-Based Compensation</w:t>
      </w:r>
      <w:r>
        <w:rPr>
          <w:rFonts w:ascii="Times New Roman;sans-serif" w:hAnsi="Times New Roman;sans-serif"/>
          <w:b w:val="false"/>
          <w:i/>
          <w:color w:val="000000"/>
          <w:sz w:val="20"/>
        </w:rPr>
        <w:t xml:space="preserve">. </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follow the FASB ASC Topic 718 for our stock-based compensation awards. ASC 718 requires companies to calculate the grant date “fair value” of their stock-based awards using a variety of assumptions. This calculation is performed for accounting purposes and reported in the compensation tables that accompany this CD&amp;A, even though recipients may never realize any value from their awards. ASC 718 also requires companies to recognize the compensation cost of their stock-based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awards in their statements of operations over the period that the recipient of the award is required to render service in exchange for the award.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Report of the Compensation Committee </w:t>
      </w:r>
    </w:p>
    <w:p>
      <w:pPr>
        <w:pStyle w:val="TextBody"/>
        <w:spacing w:before="0" w:after="0"/>
        <w:ind w:left="0" w:right="0" w:firstLine="495"/>
        <w:jc w:val="both"/>
        <w:rPr/>
      </w:pPr>
      <w:r>
        <w:rPr/>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of the Compensation Committee is required by the SEC and, in accordance with the SEC’s rules, will not be deemed to be part of or incorporated by reference by any general statement incorporating by reference this Proxy Statement into any filing under the Securities Act of 1933, as amended, or under the Securities Exchange Act of 1934, as amended, except to the extent that we specifically incorporate this information by reference, and will not otherwise be deemed “soliciting material” or “filed” under either the Securities Act or the Exchange Act.</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reviewed and discussed with management the Compensation Discussion and Analysis required by Securities and Exchange Commission regulations. Based on its review and discussions, the Compensation Committee recommended to the Board of Directors that the Compensation Discussion and Analysis be included in this proxy statement and, through incorporation by reference, in our Annual Report on Form 10-K for the fiscal year ended December 31, 2022.</w:t>
      </w:r>
    </w:p>
    <w:p>
      <w:pPr>
        <w:pStyle w:val="TextBody"/>
        <w:spacing w:before="0" w:after="0"/>
        <w:ind w:left="0" w:right="0" w:firstLine="720"/>
        <w:jc w:val="both"/>
        <w:rPr/>
      </w:pPr>
      <w:r>
        <w:rPr/>
      </w:r>
    </w:p>
    <w:tbl>
      <w:tblPr>
        <w:tblW w:w="5805" w:type="dxa"/>
        <w:jc w:val="left"/>
        <w:tblInd w:w="0" w:type="dxa"/>
        <w:tblCellMar>
          <w:top w:w="28" w:type="dxa"/>
          <w:left w:w="28" w:type="dxa"/>
          <w:bottom w:w="28" w:type="dxa"/>
          <w:right w:w="28" w:type="dxa"/>
        </w:tblCellMar>
      </w:tblPr>
      <w:tblGrid>
        <w:gridCol w:w="1856"/>
        <w:gridCol w:w="1633"/>
        <w:gridCol w:w="2316"/>
      </w:tblGrid>
      <w:tr>
        <w:trPr/>
        <w:tc>
          <w:tcPr>
            <w:tcW w:w="1856" w:type="dxa"/>
            <w:tcBorders/>
            <w:shd w:fill="auto" w:val="clear"/>
            <w:vAlign w:val="center"/>
          </w:tcPr>
          <w:p>
            <w:pPr>
              <w:pStyle w:val="TableContents"/>
              <w:spacing w:before="0" w:after="283"/>
              <w:rPr>
                <w:sz w:val="4"/>
                <w:szCs w:val="4"/>
              </w:rPr>
            </w:pPr>
            <w:r>
              <w:rPr>
                <w:sz w:val="4"/>
                <w:szCs w:val="4"/>
              </w:rPr>
            </w:r>
          </w:p>
        </w:tc>
        <w:tc>
          <w:tcPr>
            <w:tcW w:w="1633" w:type="dxa"/>
            <w:tcBorders/>
            <w:shd w:fill="auto" w:val="clear"/>
            <w:vAlign w:val="center"/>
          </w:tcPr>
          <w:p>
            <w:pPr>
              <w:pStyle w:val="TableContents"/>
              <w:spacing w:before="0" w:after="283"/>
              <w:rPr>
                <w:sz w:val="4"/>
                <w:szCs w:val="4"/>
              </w:rPr>
            </w:pPr>
            <w:r>
              <w:rPr>
                <w:sz w:val="4"/>
                <w:szCs w:val="4"/>
              </w:rPr>
            </w:r>
          </w:p>
        </w:tc>
        <w:tc>
          <w:tcPr>
            <w:tcW w:w="2316" w:type="dxa"/>
            <w:tcBorders/>
            <w:shd w:fill="auto" w:val="clear"/>
            <w:vAlign w:val="center"/>
          </w:tcPr>
          <w:p>
            <w:pPr>
              <w:pStyle w:val="TableContents"/>
              <w:spacing w:before="0" w:after="283"/>
              <w:rPr>
                <w:sz w:val="4"/>
                <w:szCs w:val="4"/>
              </w:rPr>
            </w:pPr>
            <w:r>
              <w:rPr>
                <w:sz w:val="4"/>
                <w:szCs w:val="4"/>
              </w:rPr>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Submitted by The Compensation Committee of the Board of Directors</w:t>
            </w:r>
          </w:p>
        </w:tc>
      </w:tr>
      <w:tr>
        <w:trPr/>
        <w:tc>
          <w:tcPr>
            <w:tcW w:w="5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Karin Eastham (Chair)</w:t>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Epstein M.D., M.S.</w:t>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Jens Holstein</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spacing w:lineRule="auto" w:line="288" w:before="0" w:after="3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concerning compensation awarded to, earned by, or paid to each of our named executive officers for 2020, 2021 and 2022.</w:t>
      </w:r>
    </w:p>
    <w:tbl>
      <w:tblPr>
        <w:tblW w:w="10205" w:type="dxa"/>
        <w:jc w:val="center"/>
        <w:tblInd w:w="0" w:type="dxa"/>
        <w:tblCellMar>
          <w:top w:w="28" w:type="dxa"/>
          <w:left w:w="28" w:type="dxa"/>
          <w:bottom w:w="28" w:type="dxa"/>
          <w:right w:w="28" w:type="dxa"/>
        </w:tblCellMar>
      </w:tblPr>
      <w:tblGrid>
        <w:gridCol w:w="160"/>
        <w:gridCol w:w="128"/>
        <w:gridCol w:w="128"/>
        <w:gridCol w:w="256"/>
        <w:gridCol w:w="256"/>
        <w:gridCol w:w="259"/>
        <w:gridCol w:w="268"/>
        <w:gridCol w:w="268"/>
        <w:gridCol w:w="169"/>
        <w:gridCol w:w="378"/>
        <w:gridCol w:w="378"/>
        <w:gridCol w:w="227"/>
        <w:gridCol w:w="458"/>
        <w:gridCol w:w="308"/>
        <w:gridCol w:w="230"/>
        <w:gridCol w:w="521"/>
        <w:gridCol w:w="399"/>
        <w:gridCol w:w="293"/>
        <w:gridCol w:w="558"/>
        <w:gridCol w:w="378"/>
        <w:gridCol w:w="301"/>
        <w:gridCol w:w="425"/>
        <w:gridCol w:w="425"/>
        <w:gridCol w:w="427"/>
        <w:gridCol w:w="478"/>
        <w:gridCol w:w="478"/>
        <w:gridCol w:w="480"/>
        <w:gridCol w:w="442"/>
        <w:gridCol w:w="443"/>
        <w:gridCol w:w="286"/>
      </w:tblGrid>
      <w:tr>
        <w:trPr/>
        <w:tc>
          <w:tcPr>
            <w:tcW w:w="16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1187"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Name and Principal Position</w:t>
            </w:r>
          </w:p>
        </w:tc>
        <w:tc>
          <w:tcPr>
            <w:tcW w:w="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w:t>
            </w:r>
          </w:p>
        </w:tc>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Salary ($)</w:t>
            </w:r>
          </w:p>
        </w:tc>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Bonus ($)(1)</w:t>
            </w:r>
          </w:p>
        </w:tc>
        <w:tc>
          <w:tcPr>
            <w:tcW w:w="1213"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Stock Awards ($)(2)</w:t>
            </w:r>
          </w:p>
        </w:tc>
        <w:tc>
          <w:tcPr>
            <w:tcW w:w="1237"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Option Awards ($)(2)</w:t>
            </w:r>
          </w:p>
        </w:tc>
        <w:tc>
          <w:tcPr>
            <w:tcW w:w="1277"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Non-Equity</w:t>
            </w:r>
          </w:p>
          <w:p>
            <w:pPr>
              <w:pStyle w:val="TableContents"/>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Incentive Plan</w:t>
            </w:r>
          </w:p>
          <w:p>
            <w:pPr>
              <w:pStyle w:val="TableContents"/>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Compensation ($)(3)</w:t>
            </w:r>
          </w:p>
        </w:tc>
        <w:tc>
          <w:tcPr>
            <w:tcW w:w="1436"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All Other Compensation ($)(4)</w:t>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Total ($)</w:t>
            </w:r>
          </w:p>
        </w:tc>
      </w:tr>
      <w:tr>
        <w:trPr/>
        <w:tc>
          <w:tcPr>
            <w:tcW w:w="118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Marc Stapley</w:t>
            </w:r>
          </w:p>
        </w:tc>
        <w:tc>
          <w:tcPr>
            <w:tcW w:w="7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2022</w:t>
            </w:r>
          </w:p>
        </w:tc>
        <w:tc>
          <w:tcPr>
            <w:tcW w:w="75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625,000 </w:t>
            </w:r>
          </w:p>
        </w:tc>
        <w:tc>
          <w:tcPr>
            <w:tcW w:w="22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2,206,626 </w:t>
            </w:r>
          </w:p>
        </w:tc>
        <w:tc>
          <w:tcPr>
            <w:tcW w:w="29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1,475,796 </w:t>
            </w:r>
          </w:p>
        </w:tc>
        <w:tc>
          <w:tcPr>
            <w:tcW w:w="30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625,000 </w:t>
            </w:r>
          </w:p>
        </w:tc>
        <w:tc>
          <w:tcPr>
            <w:tcW w:w="42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3,000 </w:t>
            </w:r>
          </w:p>
        </w:tc>
        <w:tc>
          <w:tcPr>
            <w:tcW w:w="48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4,935,422 </w:t>
            </w:r>
          </w:p>
        </w:tc>
        <w:tc>
          <w:tcPr>
            <w:tcW w:w="2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Chief Executive Officer</w:t>
            </w:r>
          </w:p>
        </w:tc>
        <w:tc>
          <w:tcPr>
            <w:tcW w:w="7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2021</w:t>
            </w:r>
          </w:p>
        </w:tc>
        <w:tc>
          <w:tcPr>
            <w:tcW w:w="7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350,000 </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2,569,723 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2,521,717 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297,500 </w:t>
            </w:r>
          </w:p>
        </w:tc>
        <w:tc>
          <w:tcPr>
            <w:tcW w:w="4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3,000 </w:t>
            </w:r>
          </w:p>
        </w:tc>
        <w:tc>
          <w:tcPr>
            <w:tcW w:w="4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5,741,940 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Rebecca Chambers</w:t>
            </w:r>
          </w:p>
        </w:tc>
        <w:tc>
          <w:tcPr>
            <w:tcW w:w="5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2022 </w:t>
            </w:r>
          </w:p>
        </w:tc>
        <w:tc>
          <w:tcPr>
            <w:tcW w:w="1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463,500 </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1,406,185 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1,144,161 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305,910 </w:t>
            </w:r>
          </w:p>
        </w:tc>
        <w:tc>
          <w:tcPr>
            <w:tcW w:w="4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3,000 </w:t>
            </w:r>
          </w:p>
        </w:tc>
        <w:tc>
          <w:tcPr>
            <w:tcW w:w="4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3,322,756 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Chief Financial Officer</w:t>
            </w:r>
          </w:p>
        </w:tc>
        <w:tc>
          <w:tcPr>
            <w:tcW w:w="5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2021 </w:t>
            </w:r>
          </w:p>
        </w:tc>
        <w:tc>
          <w:tcPr>
            <w:tcW w:w="1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204,807 </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100,000 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1,741,684 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1,237,510 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95,036 </w:t>
            </w:r>
          </w:p>
        </w:tc>
        <w:tc>
          <w:tcPr>
            <w:tcW w:w="4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3,000 </w:t>
            </w:r>
          </w:p>
        </w:tc>
        <w:tc>
          <w:tcPr>
            <w:tcW w:w="4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3,382,037 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Giulia C. Kennedy(5)</w:t>
            </w:r>
          </w:p>
        </w:tc>
        <w:tc>
          <w:tcPr>
            <w:tcW w:w="5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2022 </w:t>
            </w:r>
          </w:p>
        </w:tc>
        <w:tc>
          <w:tcPr>
            <w:tcW w:w="1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500,000 </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1,953,926 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1,408,639 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670,998 </w:t>
            </w:r>
          </w:p>
        </w:tc>
        <w:tc>
          <w:tcPr>
            <w:tcW w:w="4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4,533,563 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7" w:type="dxa"/>
            <w:gridSpan w:val="6"/>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Former Global Chief Scientific and Chief Medical Officer</w:t>
            </w:r>
          </w:p>
        </w:tc>
        <w:tc>
          <w:tcPr>
            <w:tcW w:w="5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2021 </w:t>
            </w:r>
          </w:p>
        </w:tc>
        <w:tc>
          <w:tcPr>
            <w:tcW w:w="1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469,050 </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1,225,763 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719,605 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219,281 </w:t>
            </w:r>
          </w:p>
        </w:tc>
        <w:tc>
          <w:tcPr>
            <w:tcW w:w="4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3,000 </w:t>
            </w:r>
          </w:p>
        </w:tc>
        <w:tc>
          <w:tcPr>
            <w:tcW w:w="4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2,636,699 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7" w:type="dxa"/>
            <w:gridSpan w:val="6"/>
            <w:vMerge w:val="continue"/>
            <w:tcBorders/>
            <w:shd w:fill="auto" w:val="clear"/>
            <w:tcMar>
              <w:top w:w="0" w:type="dxa"/>
              <w:left w:w="0" w:type="dxa"/>
              <w:bottom w:w="0" w:type="dxa"/>
              <w:right w:w="0" w:type="dxa"/>
            </w:tcMar>
            <w:vAlign w:val="center"/>
          </w:tcPr>
          <w:p>
            <w:pPr>
              <w:pStyle w:val="Normal"/>
              <w:rPr/>
            </w:pPr>
            <w:r>
              <w:rPr/>
            </w:r>
          </w:p>
        </w:tc>
        <w:tc>
          <w:tcPr>
            <w:tcW w:w="5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2020 </w:t>
            </w:r>
          </w:p>
        </w:tc>
        <w:tc>
          <w:tcPr>
            <w:tcW w:w="1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451,000 </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1,950 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304,245 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863,315 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248,050 </w:t>
            </w:r>
          </w:p>
        </w:tc>
        <w:tc>
          <w:tcPr>
            <w:tcW w:w="4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2,000 </w:t>
            </w:r>
          </w:p>
        </w:tc>
        <w:tc>
          <w:tcPr>
            <w:tcW w:w="4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1,870,560 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Annie McGuire</w:t>
            </w:r>
          </w:p>
        </w:tc>
        <w:tc>
          <w:tcPr>
            <w:tcW w:w="5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2022 </w:t>
            </w:r>
          </w:p>
        </w:tc>
        <w:tc>
          <w:tcPr>
            <w:tcW w:w="1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334,872 </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933,955 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946,422 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154,041 </w:t>
            </w:r>
          </w:p>
        </w:tc>
        <w:tc>
          <w:tcPr>
            <w:tcW w:w="4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77,765 </w:t>
            </w:r>
          </w:p>
        </w:tc>
        <w:tc>
          <w:tcPr>
            <w:tcW w:w="4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2,447,055 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General Counsel and Chief People Officer</w:t>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Tina Nova</w:t>
            </w:r>
          </w:p>
        </w:tc>
        <w:tc>
          <w:tcPr>
            <w:tcW w:w="5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2022 </w:t>
            </w:r>
          </w:p>
        </w:tc>
        <w:tc>
          <w:tcPr>
            <w:tcW w:w="1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500,000 </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2,206,990 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1,476,039 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412,500 </w:t>
            </w:r>
          </w:p>
        </w:tc>
        <w:tc>
          <w:tcPr>
            <w:tcW w:w="4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3,000 </w:t>
            </w:r>
          </w:p>
        </w:tc>
        <w:tc>
          <w:tcPr>
            <w:tcW w:w="4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4,598,529 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General Manager, Decipher Urologic Cancers</w:t>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789" w:type="dxa"/>
            <w:gridSpan w:val="27"/>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The amounts in this column represent (1) bonuses awarded to Ms. Kennedy at the discretion of our Board of Directors above the amounts earned by meeting the performance measures established under our 2020 Bonus Plan and (2) a sign-on bonus of $100,000 paid to Ms. Chambers in 2021.</w:t>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9789" w:type="dxa"/>
            <w:gridSpan w:val="27"/>
            <w:tcBorders/>
            <w:shd w:fill="auto" w:val="clear"/>
            <w:tcMar>
              <w:top w:w="0" w:type="dxa"/>
              <w:left w:w="0" w:type="dxa"/>
              <w:bottom w:w="0" w:type="dxa"/>
              <w:right w:w="0" w:type="dxa"/>
            </w:tcMar>
            <w:vAlign w:val="center"/>
          </w:tcPr>
          <w:p>
            <w:pPr>
              <w:pStyle w:val="TableContents"/>
              <w:spacing w:lineRule="auto" w:line="240" w:before="0" w:after="240"/>
              <w:jc w:val="both"/>
              <w:rPr>
                <w:rFonts w:ascii="Times New Roman;sans-serif" w:hAnsi="Times New Roman;sans-serif"/>
                <w:b w:val="false"/>
                <w:color w:val="000000"/>
                <w:sz w:val="14"/>
              </w:rPr>
            </w:pPr>
            <w:r>
              <w:rPr>
                <w:rFonts w:ascii="Times New Roman;sans-serif" w:hAnsi="Times New Roman;sans-serif"/>
                <w:b w:val="false"/>
                <w:color w:val="000000"/>
                <w:sz w:val="14"/>
              </w:rPr>
              <w:t>Amounts represent the aggregate fair value of the awards computed as of the grant date of each award in accordance with Topic 718 for financial reporting purposes, rather than amounts paid to or realized by the named individual. Our assumptions with respect to the calculation of these values are set forth in the Notes to Financial Statements included in our Annual Report on Form 10-K for the year ended December 31, 2022. There can be no assurance that option awards will be exercised or that RSUs will settle (in which case no value will be realized by the individual) or that the value on exercise of options or settlement of RSUs will approximate the fair value as computed in accordance with Topic 718. We computed the grant date fair value of PSU awards based on our achievement of the PSU awards' performance conditions at 100% of target. If the PSUs were instead valued based on the maximum outcome of the applicable performance condition (i.e., based on maximum level performance), the total amount for the PSU awards reported in this column for 2022 would increase as follows: Mr. Stapley from $735,533 to $919,417, Ms. Chambers from $269,671 to $337,089, Ms. Kennedy from $551,780 to $689,725, and Ms. Nova from $735,663 to $919,579.</w:t>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9789" w:type="dxa"/>
            <w:gridSpan w:val="27"/>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The amounts reported in the Non-Equity Incentive Plan Compensation column for 2022 represent annual cash bonuses paid to the Named Executive Officers as described in “—Compensation Discussion and Analysis—2022 Annual Cash Incentives.”</w:t>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9789" w:type="dxa"/>
            <w:gridSpan w:val="27"/>
            <w:tcBorders/>
            <w:shd w:fill="auto" w:val="clear"/>
            <w:tcMar>
              <w:top w:w="0" w:type="dxa"/>
              <w:left w:w="0" w:type="dxa"/>
              <w:bottom w:w="0" w:type="dxa"/>
              <w:right w:w="0" w:type="dxa"/>
            </w:tcMar>
            <w:vAlign w:val="center"/>
          </w:tcPr>
          <w:p>
            <w:pPr>
              <w:pStyle w:val="TableContents"/>
              <w:spacing w:lineRule="auto" w:line="240" w:before="0" w:after="240"/>
              <w:jc w:val="both"/>
              <w:rPr>
                <w:rFonts w:ascii="Times New Roman;sans-serif" w:hAnsi="Times New Roman;sans-serif"/>
                <w:b w:val="false"/>
                <w:color w:val="000000"/>
                <w:sz w:val="14"/>
              </w:rPr>
            </w:pPr>
            <w:r>
              <w:rPr>
                <w:rFonts w:ascii="Times New Roman;sans-serif" w:hAnsi="Times New Roman;sans-serif"/>
                <w:b w:val="false"/>
                <w:color w:val="000000"/>
                <w:sz w:val="14"/>
              </w:rPr>
              <w:t>Other income includes matching contributions to 401(k) plans in an amount up to $3,000 per year for 2022 and 2021 and $2,000 per year for 2020. Other income for Ms. McGuire also includes assistance with housing expenses and tax gross-up paid for such expenses, pursuant to the terms of her employment agreement, totaling $74,765 for 2022. Ms. Kennedy departed from our company on December 31, 2022 and her other income also includes $275,000 of annual performance bonus, $250,000 of severance, $100,000 cash bonus, and $42,998 of COBRA payments.</w:t>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9789" w:type="dxa"/>
            <w:gridSpan w:val="27"/>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 xml:space="preserve">Ms. Kennedy departed from the company effective December 31, 2022. </w:t>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Grants of Plan-Based Awards Table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concerning each grant of an award made in 2022 for each of our named executive officers under any plan. This information supplements the information about these awards set forth in the Summary Compensation Table.</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382"/>
        <w:gridCol w:w="243"/>
        <w:gridCol w:w="213"/>
        <w:gridCol w:w="309"/>
        <w:gridCol w:w="207"/>
        <w:gridCol w:w="208"/>
        <w:gridCol w:w="189"/>
        <w:gridCol w:w="189"/>
        <w:gridCol w:w="190"/>
        <w:gridCol w:w="467"/>
        <w:gridCol w:w="364"/>
        <w:gridCol w:w="365"/>
        <w:gridCol w:w="547"/>
        <w:gridCol w:w="184"/>
        <w:gridCol w:w="123"/>
        <w:gridCol w:w="539"/>
        <w:gridCol w:w="123"/>
        <w:gridCol w:w="123"/>
        <w:gridCol w:w="547"/>
        <w:gridCol w:w="199"/>
        <w:gridCol w:w="123"/>
        <w:gridCol w:w="445"/>
        <w:gridCol w:w="283"/>
        <w:gridCol w:w="284"/>
        <w:gridCol w:w="474"/>
        <w:gridCol w:w="352"/>
        <w:gridCol w:w="353"/>
        <w:gridCol w:w="347"/>
        <w:gridCol w:w="273"/>
        <w:gridCol w:w="274"/>
        <w:gridCol w:w="687"/>
        <w:gridCol w:w="240"/>
        <w:gridCol w:w="359"/>
      </w:tblGrid>
      <w:tr>
        <w:trPr/>
        <w:tc>
          <w:tcPr>
            <w:tcW w:w="382"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Future Payouts Under Non-Equity Incentive Plan Awards (1)($)</w:t>
            </w:r>
          </w:p>
        </w:tc>
        <w:tc>
          <w:tcPr>
            <w:tcW w:w="250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Future Payouts Under Equity Incentive Plan Awards(2)</w:t>
            </w:r>
          </w:p>
        </w:tc>
        <w:tc>
          <w:tcPr>
            <w:tcW w:w="101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Stock Awards: Number of Shares of Stock or Units (#)</w:t>
            </w:r>
          </w:p>
        </w:tc>
        <w:tc>
          <w:tcPr>
            <w:tcW w:w="117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Option Awards: Number of Securities Underlying Options (#)</w:t>
            </w:r>
          </w:p>
        </w:tc>
        <w:tc>
          <w:tcPr>
            <w:tcW w:w="89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Exercise or Base Price of Option Awards ($/Share)</w:t>
            </w:r>
          </w:p>
        </w:tc>
        <w:tc>
          <w:tcPr>
            <w:tcW w:w="12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Fair Value of Stock and Option Awards ($)(3)</w:t>
            </w:r>
          </w:p>
        </w:tc>
      </w:tr>
      <w:tr>
        <w:trPr/>
        <w:tc>
          <w:tcPr>
            <w:tcW w:w="8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Type of Award</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1196" w:type="dxa"/>
            <w:gridSpan w:val="3"/>
            <w:vMerge w:val="continue"/>
            <w:tcBorders/>
            <w:shd w:fill="auto" w:val="clear"/>
            <w:tcMar>
              <w:top w:w="0" w:type="dxa"/>
              <w:left w:w="0" w:type="dxa"/>
              <w:bottom w:w="0" w:type="dxa"/>
              <w:right w:w="0" w:type="dxa"/>
            </w:tcMar>
            <w:vAlign w:val="center"/>
          </w:tcPr>
          <w:p>
            <w:pPr>
              <w:pStyle w:val="Normal"/>
              <w:rPr/>
            </w:pPr>
            <w:r>
              <w:rPr/>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Threshold (#)</w:t>
            </w:r>
          </w:p>
        </w:tc>
        <w:tc>
          <w:tcPr>
            <w:tcW w:w="7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Target (#)</w:t>
            </w:r>
          </w:p>
        </w:tc>
        <w:tc>
          <w:tcPr>
            <w:tcW w:w="8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w:t>
            </w:r>
          </w:p>
        </w:tc>
        <w:tc>
          <w:tcPr>
            <w:tcW w:w="1012" w:type="dxa"/>
            <w:gridSpan w:val="3"/>
            <w:vMerge w:val="continue"/>
            <w:tcBorders/>
            <w:shd w:fill="auto" w:val="clear"/>
            <w:tcMar>
              <w:top w:w="0" w:type="dxa"/>
              <w:left w:w="0" w:type="dxa"/>
              <w:bottom w:w="0" w:type="dxa"/>
              <w:right w:w="0" w:type="dxa"/>
            </w:tcMar>
            <w:vAlign w:val="center"/>
          </w:tcPr>
          <w:p>
            <w:pPr>
              <w:pStyle w:val="Normal"/>
              <w:rPr/>
            </w:pPr>
            <w:r>
              <w:rPr/>
            </w:r>
          </w:p>
        </w:tc>
        <w:tc>
          <w:tcPr>
            <w:tcW w:w="1179" w:type="dxa"/>
            <w:gridSpan w:val="3"/>
            <w:vMerge w:val="continue"/>
            <w:tcBorders/>
            <w:shd w:fill="auto" w:val="clear"/>
            <w:tcMar>
              <w:top w:w="0" w:type="dxa"/>
              <w:left w:w="0" w:type="dxa"/>
              <w:bottom w:w="0" w:type="dxa"/>
              <w:right w:w="0" w:type="dxa"/>
            </w:tcMar>
            <w:vAlign w:val="center"/>
          </w:tcPr>
          <w:p>
            <w:pPr>
              <w:pStyle w:val="Normal"/>
              <w:rPr/>
            </w:pPr>
            <w:r>
              <w:rPr/>
            </w:r>
          </w:p>
        </w:tc>
        <w:tc>
          <w:tcPr>
            <w:tcW w:w="894" w:type="dxa"/>
            <w:gridSpan w:val="3"/>
            <w:vMerge w:val="continue"/>
            <w:tcBorders/>
            <w:shd w:fill="auto" w:val="clear"/>
            <w:tcMar>
              <w:top w:w="0" w:type="dxa"/>
              <w:left w:w="0" w:type="dxa"/>
              <w:bottom w:w="0" w:type="dxa"/>
              <w:right w:w="0" w:type="dxa"/>
            </w:tcMar>
            <w:vAlign w:val="center"/>
          </w:tcPr>
          <w:p>
            <w:pPr>
              <w:pStyle w:val="Normal"/>
              <w:rPr/>
            </w:pPr>
            <w:r>
              <w:rPr/>
            </w:r>
          </w:p>
        </w:tc>
        <w:tc>
          <w:tcPr>
            <w:tcW w:w="12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8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 Stapley</w:t>
            </w:r>
          </w:p>
        </w:tc>
        <w:tc>
          <w:tcPr>
            <w:tcW w:w="7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5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625,000 </w:t>
            </w:r>
          </w:p>
        </w:tc>
        <w:tc>
          <w:tcPr>
            <w:tcW w:w="3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Options(4)</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103,026 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26.02 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1,475,796 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RSUs(5)</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56,537 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1,471,093 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PSUs(6)</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21,201 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28,268 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35,335 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735,533 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Rebecca Chambers</w:t>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254,925 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vMerge w:val="continue"/>
            <w:tcBorders/>
            <w:shd w:fill="auto" w:val="clear"/>
            <w:tcMar>
              <w:top w:w="0" w:type="dxa"/>
              <w:left w:w="0" w:type="dxa"/>
              <w:bottom w:w="0" w:type="dxa"/>
              <w:right w:w="0" w:type="dxa"/>
            </w:tcMar>
            <w:vAlign w:val="center"/>
          </w:tcPr>
          <w:p>
            <w:pPr>
              <w:pStyle w:val="Normal"/>
              <w:rPr/>
            </w:pPr>
            <w:r>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Options(4)</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37,773 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26.02 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541,079 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Options(7)</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8/5/2022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36,496 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27.90 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603,082 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RSUs(5)</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20,728 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539,343 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RSUs(8)</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8/5/2022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21,404 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597,172 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PSUs(6)</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7,773 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10,364 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12,955 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269,671 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Giulia C. Kennedy(9)</w:t>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275,000 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vMerge w:val="continue"/>
            <w:tcBorders/>
            <w:shd w:fill="auto" w:val="clear"/>
            <w:tcMar>
              <w:top w:w="0" w:type="dxa"/>
              <w:left w:w="0" w:type="dxa"/>
              <w:bottom w:w="0" w:type="dxa"/>
              <w:right w:w="0" w:type="dxa"/>
            </w:tcMar>
            <w:vAlign w:val="center"/>
          </w:tcPr>
          <w:p>
            <w:pPr>
              <w:pStyle w:val="Normal"/>
              <w:rPr/>
            </w:pPr>
            <w:r>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Options(4)</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77,287 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26.02 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1,107,098 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Options(7)</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8/5/2022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18,248 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27.90 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301,541 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RSUs(5)</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42,412 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1,103,560 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RSUs(8)</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8/5/2022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10,702 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298,586 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PSUs(6)</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15,905 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21,206 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26,508 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551,780 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Annie McGuire</w:t>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160,000 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vMerge w:val="continue"/>
            <w:tcBorders/>
            <w:shd w:fill="auto" w:val="clear"/>
            <w:tcMar>
              <w:top w:w="0" w:type="dxa"/>
              <w:left w:w="0" w:type="dxa"/>
              <w:bottom w:w="0" w:type="dxa"/>
              <w:right w:w="0" w:type="dxa"/>
            </w:tcMar>
            <w:vAlign w:val="center"/>
          </w:tcPr>
          <w:p>
            <w:pPr>
              <w:pStyle w:val="Normal"/>
              <w:rPr/>
            </w:pPr>
            <w:r>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Options(4)</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42,175 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27.80 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644,881 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Options(7)</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8/5/2022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18,248 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27.90 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301,541 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RSUs(5)</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22,855 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635,369 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RSUs(8)</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8/5/2022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10,702 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298,586 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Tina Nova</w:t>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160,000 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Options(4)</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103,043 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26.02 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1,476,039 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RSUs(5)</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56,546 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1,471,327 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PSUs(6)</w:t>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21,205 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28,273 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35,341 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735,663 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Reflects target bonus amounts for 2022 performance under our 2022 bonus plan, as described in “—Compensation Discussion and Analysis-2022 Bonus Plan Awards.” These amounts do not necessarily correspond to the actual amounts that were received by our named executive officers. 2022 bonus plan awards did not provide for threshold or maximum amounts.</w:t>
            </w:r>
          </w:p>
        </w:tc>
      </w:tr>
      <w:tr>
        <w:trPr/>
        <w:tc>
          <w:tcPr>
            <w:tcW w:w="10205" w:type="dxa"/>
            <w:gridSpan w:val="3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Reflects target amounts for 2022 PSUs awards, as described in “—Compensation Discussion and Analysis—Equity Compensation.” 2022 PSUs vest between 75% and 125% of the total grant based on the achievement of the performance metrics.</w:t>
            </w:r>
          </w:p>
        </w:tc>
      </w:tr>
      <w:tr>
        <w:trPr/>
        <w:tc>
          <w:tcPr>
            <w:tcW w:w="10205" w:type="dxa"/>
            <w:gridSpan w:val="3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(3) The amounts reported in this column represent the grant date fair value of each award as computed in accordance with ASC 718. Note that the amounts reported in these columns reflect the accounting cost for these awards and do not correspond to the actual economic value that may be received by our named executive officers from the awards.</w:t>
            </w:r>
          </w:p>
        </w:tc>
      </w:tr>
      <w:tr>
        <w:trPr/>
        <w:tc>
          <w:tcPr>
            <w:tcW w:w="10205" w:type="dxa"/>
            <w:gridSpan w:val="3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(4) The stock option vests at a rate of 1/4th of the total number of shares of common stock underlying the stock option on the one-year anniversary of the vesting commencement date, and vests at a rate of 1/48th of the total number of shares of common stock underlying the stock option each month following such one-year anniversary. The stock option is subject to acceleration upon certain events as described in “—Potential Payments upon Termination or Change in Control.”</w:t>
            </w:r>
          </w:p>
        </w:tc>
      </w:tr>
      <w:tr>
        <w:trPr/>
        <w:tc>
          <w:tcPr>
            <w:tcW w:w="10205" w:type="dxa"/>
            <w:gridSpan w:val="3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(5) The RSUs vest at a rate of 1/4th of the total number of RSUs on the one-year anniversary of the vesting commencement date, and vest at a rate of 1/16th of the total number of RSUs on each quarter thereafter. The RSUs are subject to acceleration upon certain events as described in “—Potential Payments upon Termination or Change in Control.”</w:t>
            </w:r>
          </w:p>
        </w:tc>
      </w:tr>
      <w:tr>
        <w:trPr/>
        <w:tc>
          <w:tcPr>
            <w:tcW w:w="10205" w:type="dxa"/>
            <w:gridSpan w:val="3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(6) 1/3 of the total number of PSUs will vest subject to and upon the certification of achievement of the performance metric for the performance period ending December 31, 2023 and 2/3 of the total number of PSUs will vest subject to and upon the certification of achievement of the performance metric for the performance period ending December 31, 2024 and the continued service of the applicable executive. The PSUs are subject to acceleration upon certain events as described in “—Potential Payments upon Termination or Change in Control.”</w:t>
            </w:r>
          </w:p>
        </w:tc>
      </w:tr>
      <w:tr>
        <w:trPr/>
        <w:tc>
          <w:tcPr>
            <w:tcW w:w="10205" w:type="dxa"/>
            <w:gridSpan w:val="3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(7) The stock option vests at a rate of 1/3rd of the total number of shares of common stock underlying the stock option on the one-year anniversary of the vesting commencement date, and vests at a rate of 1/36th of the total number of shares of common stock underlying the stock option each month following such one-year anniversary. The stock option is subject to acceleration upon certain events as described in “—Potential Payments upon Termination or Change in Control.”</w:t>
            </w:r>
          </w:p>
        </w:tc>
      </w:tr>
      <w:tr>
        <w:trPr/>
        <w:tc>
          <w:tcPr>
            <w:tcW w:w="10205" w:type="dxa"/>
            <w:gridSpan w:val="3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(8) The RSUs vest at a rate of 1/3rd of the total number of RSUs on the one-year anniversary of the vesting commencement date, and vest at a rate of 1/12th of the total number of RSUs on each quarter thereafter. The RSUs are subject to acceleration upon certain events as described in “—Potential Payments upon Termination or Change in Control.”</w:t>
            </w:r>
          </w:p>
        </w:tc>
      </w:tr>
      <w:tr>
        <w:trPr/>
        <w:tc>
          <w:tcPr>
            <w:tcW w:w="10205" w:type="dxa"/>
            <w:gridSpan w:val="3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(9) Ms. Kennedy departed from the company effective December 31, 2022. </w:t>
            </w:r>
          </w:p>
        </w:tc>
      </w:tr>
    </w:tbl>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2022 Outstanding Equity Awards at Fiscal Year-End</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concerning the outstanding and unexercised stock options, outstanding RSUs and outstanding PSUs that have not vested for each named executive officer as of December 31, 2022.</w:t>
      </w:r>
    </w:p>
    <w:tbl>
      <w:tblPr>
        <w:tblW w:w="10205" w:type="dxa"/>
        <w:jc w:val="center"/>
        <w:tblInd w:w="0" w:type="dxa"/>
        <w:tblCellMar>
          <w:top w:w="28" w:type="dxa"/>
          <w:left w:w="28" w:type="dxa"/>
          <w:bottom w:w="28" w:type="dxa"/>
          <w:right w:w="28" w:type="dxa"/>
        </w:tblCellMar>
      </w:tblPr>
      <w:tblGrid>
        <w:gridCol w:w="376"/>
        <w:gridCol w:w="238"/>
        <w:gridCol w:w="208"/>
        <w:gridCol w:w="187"/>
        <w:gridCol w:w="187"/>
        <w:gridCol w:w="188"/>
        <w:gridCol w:w="208"/>
        <w:gridCol w:w="199"/>
        <w:gridCol w:w="199"/>
        <w:gridCol w:w="199"/>
        <w:gridCol w:w="199"/>
        <w:gridCol w:w="203"/>
        <w:gridCol w:w="260"/>
        <w:gridCol w:w="217"/>
        <w:gridCol w:w="214"/>
        <w:gridCol w:w="185"/>
        <w:gridCol w:w="185"/>
        <w:gridCol w:w="186"/>
        <w:gridCol w:w="235"/>
        <w:gridCol w:w="235"/>
        <w:gridCol w:w="236"/>
        <w:gridCol w:w="295"/>
        <w:gridCol w:w="295"/>
        <w:gridCol w:w="296"/>
        <w:gridCol w:w="109"/>
        <w:gridCol w:w="109"/>
        <w:gridCol w:w="109"/>
        <w:gridCol w:w="256"/>
        <w:gridCol w:w="256"/>
        <w:gridCol w:w="257"/>
        <w:gridCol w:w="701"/>
        <w:gridCol w:w="124"/>
        <w:gridCol w:w="124"/>
        <w:gridCol w:w="124"/>
        <w:gridCol w:w="124"/>
        <w:gridCol w:w="124"/>
        <w:gridCol w:w="313"/>
        <w:gridCol w:w="313"/>
        <w:gridCol w:w="315"/>
        <w:gridCol w:w="534"/>
        <w:gridCol w:w="160"/>
        <w:gridCol w:w="160"/>
        <w:gridCol w:w="160"/>
        <w:gridCol w:w="160"/>
        <w:gridCol w:w="243"/>
      </w:tblGrid>
      <w:tr>
        <w:trPr/>
        <w:tc>
          <w:tcPr>
            <w:tcW w:w="37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6" w:type="dxa"/>
            <w:gridSpan w:val="18"/>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8" w:type="dxa"/>
            <w:gridSpan w:val="18"/>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822"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562"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120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Number of Securities</w:t>
            </w:r>
          </w:p>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Underlying Unexercised</w:t>
            </w:r>
          </w:p>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Options (#) Exercisable</w:t>
            </w:r>
          </w:p>
        </w:tc>
        <w:tc>
          <w:tcPr>
            <w:tcW w:w="124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Securities</w:t>
            </w:r>
          </w:p>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Underlying</w:t>
            </w:r>
          </w:p>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Options (#)</w:t>
            </w:r>
          </w:p>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Unexercisable (1)</w:t>
            </w:r>
          </w:p>
        </w:tc>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Price ($)</w:t>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Expiration</w:t>
            </w:r>
          </w:p>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Number of Shares or Units of Stock That Have Not Vested (#)</w:t>
            </w:r>
          </w:p>
        </w:tc>
        <w:tc>
          <w:tcPr>
            <w:tcW w:w="1321"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Market Value of Shares or Units of Stock That Have Not Vested ($)(3)</w:t>
            </w:r>
          </w:p>
        </w:tc>
        <w:tc>
          <w:tcPr>
            <w:tcW w:w="9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Equity Incentive Plan Awards: Number of Unearned Shares or Units of Stock That Have Not Vested </w:t>
              <w:br/>
              <w:t>(#) (4)</w:t>
            </w:r>
          </w:p>
        </w:tc>
        <w:tc>
          <w:tcPr>
            <w:tcW w:w="141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Incentive Plan Awards: Market Value or Payout Value of Unearned Shares or Units of Stock That Have Not Vested ($) (4)</w:t>
            </w:r>
          </w:p>
        </w:tc>
      </w:tr>
      <w:tr>
        <w:trPr/>
        <w:tc>
          <w:tcPr>
            <w:tcW w:w="8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 Stapley</w:t>
            </w:r>
          </w:p>
        </w:tc>
        <w:tc>
          <w:tcPr>
            <w:tcW w:w="5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6/1/2021</w:t>
            </w:r>
          </w:p>
        </w:tc>
        <w:tc>
          <w:tcPr>
            <w:tcW w:w="6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51,768</w:t>
            </w:r>
          </w:p>
        </w:tc>
        <w:tc>
          <w:tcPr>
            <w:tcW w:w="6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86,283</w:t>
            </w:r>
          </w:p>
        </w:tc>
        <w:tc>
          <w:tcPr>
            <w:tcW w:w="5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$36.60</w:t>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6/1/2031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29,255</w:t>
            </w:r>
          </w:p>
        </w:tc>
        <w:tc>
          <w:tcPr>
            <w:tcW w:w="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$694,221</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23,404</w:t>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$555,377</w:t>
            </w:r>
          </w:p>
        </w:tc>
        <w:tc>
          <w:tcPr>
            <w:tcW w:w="5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103,026</w:t>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$26.02</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56,537</w:t>
            </w:r>
          </w:p>
        </w:tc>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$1,341,623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28,268</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$670,800</w:t>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Rebecca Chambers</w:t>
            </w:r>
          </w:p>
        </w:tc>
        <w:tc>
          <w:tcPr>
            <w:tcW w:w="5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7/19/2021</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23,729</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43,271</w:t>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$36.59</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7/19/2031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23,375</w:t>
            </w:r>
          </w:p>
        </w:tc>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$554,689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13,600</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$322,728</w:t>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vMerge w:val="continue"/>
            <w:tcBorders/>
            <w:shd w:fill="auto" w:val="clear"/>
            <w:tcMar>
              <w:top w:w="0" w:type="dxa"/>
              <w:left w:w="0" w:type="dxa"/>
              <w:bottom w:w="0" w:type="dxa"/>
              <w:right w:w="0" w:type="dxa"/>
            </w:tcMar>
            <w:vAlign w:val="center"/>
          </w:tcPr>
          <w:p>
            <w:pPr>
              <w:pStyle w:val="Normal"/>
              <w:rPr/>
            </w:pPr>
            <w:r>
              <w:rPr/>
            </w:r>
          </w:p>
        </w:tc>
        <w:tc>
          <w:tcPr>
            <w:tcW w:w="5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37,773</w:t>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$26.02</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20,728</w:t>
            </w:r>
          </w:p>
        </w:tc>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$491,875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10,364</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$245,938</w:t>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8/5/2022</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36,496</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$27.90</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21,404</w:t>
            </w:r>
          </w:p>
        </w:tc>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$507,917</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Giulia C. Kennedy</w:t>
            </w:r>
          </w:p>
        </w:tc>
        <w:tc>
          <w:tcPr>
            <w:tcW w:w="5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2/28/2019</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16,250</w:t>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2/27/2029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vMerge w:val="continue"/>
            <w:tcBorders/>
            <w:shd w:fill="auto" w:val="clear"/>
            <w:tcMar>
              <w:top w:w="0" w:type="dxa"/>
              <w:left w:w="0" w:type="dxa"/>
              <w:bottom w:w="0" w:type="dxa"/>
              <w:right w:w="0" w:type="dxa"/>
            </w:tcMar>
            <w:vAlign w:val="center"/>
          </w:tcPr>
          <w:p>
            <w:pPr>
              <w:pStyle w:val="Normal"/>
              <w:rPr/>
            </w:pPr>
            <w:r>
              <w:rPr/>
            </w:r>
          </w:p>
        </w:tc>
        <w:tc>
          <w:tcPr>
            <w:tcW w:w="5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2/28/2020</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18,958</w:t>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$24.69</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2/27/2030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2/26/2021</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11,458</w:t>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$58.60</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2/26/2031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Annie McGuire</w:t>
            </w:r>
          </w:p>
        </w:tc>
        <w:tc>
          <w:tcPr>
            <w:tcW w:w="5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2/28/2022</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42,175</w:t>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$27.80</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2/28/2032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22,855</w:t>
            </w:r>
          </w:p>
        </w:tc>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$542,349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vMerge w:val="continue"/>
            <w:tcBorders/>
            <w:shd w:fill="auto" w:val="clear"/>
            <w:tcMar>
              <w:top w:w="0" w:type="dxa"/>
              <w:left w:w="0" w:type="dxa"/>
              <w:bottom w:w="0" w:type="dxa"/>
              <w:right w:w="0" w:type="dxa"/>
            </w:tcMar>
            <w:vAlign w:val="center"/>
          </w:tcPr>
          <w:p>
            <w:pPr>
              <w:pStyle w:val="Normal"/>
              <w:rPr/>
            </w:pPr>
            <w:r>
              <w:rPr/>
            </w:r>
          </w:p>
        </w:tc>
        <w:tc>
          <w:tcPr>
            <w:tcW w:w="5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8/5/2022</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18,248</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$27.90</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10,702</w:t>
            </w:r>
          </w:p>
        </w:tc>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$253,958</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Tina Nova</w:t>
            </w:r>
          </w:p>
        </w:tc>
        <w:tc>
          <w:tcPr>
            <w:tcW w:w="5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11/12/2015</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35,000</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$6.14</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6/20/2016</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$5.28</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6/7/2017</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$7.94</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6/7/2018</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$7.60</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6/6/2028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6/12/2019</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$27.01</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6/11/2029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37,773</w:t>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$26.02</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56,546</w:t>
            </w:r>
          </w:p>
        </w:tc>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$1,341,837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28,273</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$670,918</w:t>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24"/>
        <w:gridCol w:w="109"/>
        <w:gridCol w:w="109"/>
        <w:gridCol w:w="2889"/>
        <w:gridCol w:w="2889"/>
        <w:gridCol w:w="408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408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Except as otherwise noted, options become exercisable as to 25% of the shares on the first anniversary of the vesting commencement date, and the remaining shares vest at a rate of 1/48th of the total number of shares subject to the options each month thereafter. The options have a term of ten years, subject to earlier termination upon termination of employment. The options are subject to acceleration upon certain specified events; for more information, see “—Potential Payments upon Termination or Change in Control” below.</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stock option vests at a rate of 1/3rd of the total number of shares of common stock underlying the stock option on the one-year anniversary of the vesting commencement date, and vests at a rate of 1/36th of the total number of shares of common stock underlying the stock option each month following such one-year anniversary. The stock option is subject to acceleration upon certain events as described in “—Potential Payments upon Termination or Change in Control” below.</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Based on a price of $23.73 per share, which was the closing price per share of our common stock as reported by The Nasdaq Global Market on December 30, 2022. Except as otherwise noted, RSUs vest and settle as to 25% of the units on the first anniversary of the vesting commencement date, and the remaining RSUs vest and settle at a rate of 1/16th of the total number of shares subject to the units each quarter thereafter. The RSUs are subject to acceleration upon certain specified events; for more information, see “—Potential Payments upon Termination or Change in Control” below.</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24"/>
        <w:gridCol w:w="109"/>
        <w:gridCol w:w="109"/>
        <w:gridCol w:w="2985"/>
        <w:gridCol w:w="2848"/>
        <w:gridCol w:w="403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5" w:type="dxa"/>
            <w:tcBorders/>
            <w:shd w:fill="auto" w:val="clear"/>
            <w:vAlign w:val="center"/>
          </w:tcPr>
          <w:p>
            <w:pPr>
              <w:pStyle w:val="TableContents"/>
              <w:spacing w:before="0" w:after="283"/>
              <w:rPr>
                <w:sz w:val="4"/>
                <w:szCs w:val="4"/>
              </w:rPr>
            </w:pPr>
            <w:r>
              <w:rPr>
                <w:sz w:val="4"/>
                <w:szCs w:val="4"/>
              </w:rPr>
            </w:r>
          </w:p>
        </w:tc>
        <w:tc>
          <w:tcPr>
            <w:tcW w:w="2848" w:type="dxa"/>
            <w:tcBorders/>
            <w:shd w:fill="auto" w:val="clear"/>
            <w:vAlign w:val="center"/>
          </w:tcPr>
          <w:p>
            <w:pPr>
              <w:pStyle w:val="TableContents"/>
              <w:spacing w:before="0" w:after="283"/>
              <w:rPr>
                <w:sz w:val="4"/>
                <w:szCs w:val="4"/>
              </w:rPr>
            </w:pPr>
            <w:r>
              <w:rPr>
                <w:sz w:val="4"/>
                <w:szCs w:val="4"/>
              </w:rPr>
            </w:r>
          </w:p>
        </w:tc>
        <w:tc>
          <w:tcPr>
            <w:tcW w:w="403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Based on a price of $23.73 per share, which was the closing price per share of our common stock as reported by The Nasdaq Global Market on December 30, 2022 and assuming the PSU awards' performance conditions are achieved at 100% of target. For the 2022 PSUs, 1/3 of the total number of PSUs will vest subject to and upon certification of achievement of the performance metric for the performance period ending December 31, 2023 and 2/3 of the total number of PSUs will vest subject to and upon the certification of achievement of the performance metric for the performance period ending December 31, 2024 and the continued service of the applicable executive. The 2022 PSUs vest between 75% and 125% of the total grant based on the achievement of the performance metrics. If the 2022 PSUs were instead valued based on the maximum outcome of the applicable performance condition (i.e., based on maximum level performance), the total amount for the 2022 PSU awards reported in this column as of December 31, 2022 would increase as follows: Mr. Stapley from $670,800 to $838,500, Ms. Chambers from $245,938 to $307,422, and Ms. Nova from $670,918 to $838,648. The 2021 PSUs do not have staggered levels of achievement. The PSUs are subject to acceleration upon certain specified events; for more information, see “—Potential Payments upon Termination or Change in Control” below.</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RSUs vest at a rate of 1/3rd of the total number of RSUs on the one-year anniversary of the vesting commencement date, and vest at a rate of 1/12th of the total number of RSUs on each quarter thereafter. The RSUs are subject to acceleration upon certain events as described in “—Potential Payments upon Termination or Change in Control” below.</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Ms. Kennedy departed from the company effective December 31, 2022. Pursuant to the terms of the stock option awards, the outstanding vested options expire three months after the termination of her service.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Option Exercises and Stock Vested Table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for each of our named executive officers, the number of shares of our common stock acquired upon the exercise of stock options or vesting and settlement of RSUs and PSUs during 2022 and the aggregate value realized upon the exercise of stock options and the vesting and settlement of RSUs and PSUs.</w:t>
      </w:r>
    </w:p>
    <w:p>
      <w:pPr>
        <w:pStyle w:val="TextBody"/>
        <w:spacing w:before="0" w:after="0"/>
        <w:jc w:val="both"/>
        <w:rPr/>
      </w:pPr>
      <w:r>
        <w:rPr/>
      </w:r>
    </w:p>
    <w:tbl>
      <w:tblPr>
        <w:tblW w:w="10205" w:type="dxa"/>
        <w:jc w:val="center"/>
        <w:tblInd w:w="0" w:type="dxa"/>
        <w:tblCellMar>
          <w:top w:w="28" w:type="dxa"/>
          <w:left w:w="28" w:type="dxa"/>
          <w:bottom w:w="28" w:type="dxa"/>
          <w:right w:w="28" w:type="dxa"/>
        </w:tblCellMar>
      </w:tblPr>
      <w:tblGrid>
        <w:gridCol w:w="479"/>
        <w:gridCol w:w="385"/>
        <w:gridCol w:w="373"/>
        <w:gridCol w:w="792"/>
        <w:gridCol w:w="775"/>
        <w:gridCol w:w="779"/>
        <w:gridCol w:w="687"/>
        <w:gridCol w:w="625"/>
        <w:gridCol w:w="635"/>
        <w:gridCol w:w="109"/>
        <w:gridCol w:w="109"/>
        <w:gridCol w:w="109"/>
        <w:gridCol w:w="813"/>
        <w:gridCol w:w="763"/>
        <w:gridCol w:w="766"/>
        <w:gridCol w:w="659"/>
        <w:gridCol w:w="553"/>
        <w:gridCol w:w="794"/>
      </w:tblGrid>
      <w:tr>
        <w:trPr/>
        <w:tc>
          <w:tcPr>
            <w:tcW w:w="47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r>
      <w:tr>
        <w:trPr/>
        <w:tc>
          <w:tcPr>
            <w:tcW w:w="1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12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2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Acquired on Exercise (#)</w:t>
            </w:r>
          </w:p>
        </w:tc>
        <w:tc>
          <w:tcPr>
            <w:tcW w:w="19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Realized on Exercise ($)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Acquired on Vesting (#)</w:t>
            </w:r>
          </w:p>
        </w:tc>
        <w:tc>
          <w:tcPr>
            <w:tcW w:w="2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Realized on Vesting ($) (2)</w:t>
            </w:r>
          </w:p>
        </w:tc>
      </w:tr>
      <w:tr>
        <w:trPr/>
        <w:tc>
          <w:tcPr>
            <w:tcW w:w="12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 Stapley</w:t>
            </w:r>
          </w:p>
        </w:tc>
        <w:tc>
          <w:tcPr>
            <w:tcW w:w="15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17,552 </w:t>
            </w:r>
          </w:p>
        </w:tc>
        <w:tc>
          <w:tcPr>
            <w:tcW w:w="7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354,674 </w:t>
            </w:r>
          </w:p>
        </w:tc>
        <w:tc>
          <w:tcPr>
            <w:tcW w:w="7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Rebecca Chambers</w:t>
            </w:r>
          </w:p>
        </w:tc>
        <w:tc>
          <w:tcPr>
            <w:tcW w:w="15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10,625 </w:t>
            </w:r>
          </w:p>
        </w:tc>
        <w:tc>
          <w:tcPr>
            <w:tcW w:w="7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224,952 </w:t>
            </w:r>
          </w:p>
        </w:tc>
        <w:tc>
          <w:tcPr>
            <w:tcW w:w="7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Giulia Kennedy(3)</w:t>
            </w:r>
          </w:p>
        </w:tc>
        <w:tc>
          <w:tcPr>
            <w:tcW w:w="15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4,414 </w:t>
            </w:r>
          </w:p>
        </w:tc>
        <w:tc>
          <w:tcPr>
            <w:tcW w:w="7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84,358 </w:t>
            </w:r>
          </w:p>
        </w:tc>
        <w:tc>
          <w:tcPr>
            <w:tcW w:w="6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35,056 </w:t>
            </w:r>
          </w:p>
        </w:tc>
        <w:tc>
          <w:tcPr>
            <w:tcW w:w="7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941,493 </w:t>
            </w:r>
          </w:p>
        </w:tc>
        <w:tc>
          <w:tcPr>
            <w:tcW w:w="7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Annie McGuire</w:t>
            </w:r>
          </w:p>
        </w:tc>
        <w:tc>
          <w:tcPr>
            <w:tcW w:w="15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Tina Nova</w:t>
            </w:r>
          </w:p>
        </w:tc>
        <w:tc>
          <w:tcPr>
            <w:tcW w:w="15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7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835,200 </w:t>
            </w:r>
          </w:p>
        </w:tc>
        <w:tc>
          <w:tcPr>
            <w:tcW w:w="7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24"/>
        <w:gridCol w:w="109"/>
        <w:gridCol w:w="109"/>
        <w:gridCol w:w="2884"/>
        <w:gridCol w:w="2879"/>
        <w:gridCol w:w="410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79" w:type="dxa"/>
            <w:tcBorders/>
            <w:shd w:fill="auto" w:val="clear"/>
            <w:vAlign w:val="center"/>
          </w:tcPr>
          <w:p>
            <w:pPr>
              <w:pStyle w:val="TableContents"/>
              <w:spacing w:before="0" w:after="283"/>
              <w:rPr>
                <w:sz w:val="4"/>
                <w:szCs w:val="4"/>
              </w:rPr>
            </w:pPr>
            <w:r>
              <w:rPr>
                <w:sz w:val="4"/>
                <w:szCs w:val="4"/>
              </w:rPr>
            </w:r>
          </w:p>
        </w:tc>
        <w:tc>
          <w:tcPr>
            <w:tcW w:w="410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value realized on exercise is calculated as the difference between the fair market value of our common stock on the date of exercise and the applicable exercise price of those options.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aggregate value realized upon the vesting and settlement of an RSU or PSU is based on the closing price on the Nasdaq Global Market of a share of common stock on the date prior to the day of vesting.</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Ms. Kennedy departed from the company effective December 31, 2022. </w:t>
            </w:r>
          </w:p>
        </w:tc>
      </w:tr>
    </w:tbl>
    <w:p>
      <w:pPr>
        <w:pStyle w:val="TextBody"/>
        <w:spacing w:before="0" w:after="0"/>
        <w:ind w:left="0" w:right="0" w:firstLine="72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Employment or Letter Agreements</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Marc Stapley</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entered into an employment agreement with Mr. Stapley, our Chief Executive Officer, on May 7, 2021. The agreement provides for base salary, subject to periodic review. Under the employment agreement, Mr. Stapley is also eligible to earn a bonus based on criteria and terms and conditions as may be established by our Board of Directors as well as a grant of restricted stock, stock options and performance-based stock units. We have also entered into a change of control and severance agreement with Mr. Stapley that provides for certain payments and benefits upon a qualifying termination of employment. See “—Potential Payments upon Termination or Change in Control” below for more information. </w:t>
      </w:r>
    </w:p>
    <w:p>
      <w:pPr>
        <w:pStyle w:val="TextBody"/>
        <w:spacing w:before="0" w:after="0"/>
        <w:ind w:left="0" w:right="0" w:firstLine="72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Rebecca Chambers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entered into an amended and restated offer letter with Ms. Chambers, our Chief Financial Officer, on August 15, 2021. The letter provides for base salary, subject to periodic review. Under the employment agreement, Ms. Chambers is also eligible to earn a bonus based on criteria and terms and conditions as may be established by our Board of Directors, as well as a grant of restricted stock units, stock options and performance-based stock units. We have also entered into a change of control and severance agreement with Ms. Chambers that provides for certain payments and benefits upon a qualifying termination of employment. See “—Potential Payments upon Termination or Change in Control” below for more information.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rPr/>
      </w:pPr>
      <w:r>
        <w:rPr/>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Giulia C. Kennedy</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Ms Kennedy, departed the company December 31, 2022 after a long and successful career of leading the company as its Global Chief Scientific Officer and Chief Medical Officer whereby she was instrumental in developing our innovative products. As part of her departure, the company and Ms. Kennedy signed a separation agreement (“Kennedy Separation Agreement”) that included a release of claims against the company provided Ms. Kennedy with (i) six months’ salary (as required by Ms. Kennedy’s change of control and severance agreement), (ii) continuation of coverage under the Consolidated Omnibus Budget Reconciliation Act of 1985, as amended, through the earlier of 24 months following Ms. Kennedy’s date of departure and the date on which Ms. Kennedy becomes eligible for coverage from an employer or Medicare; (iii) payment of Ms. Kennedy’s annual performance bonus for the year ended December 31, 2022 at the corporate achievement level determined by the Compensation Committee for all participants; and (iv) a cash bonus of $100,000 in appreciation for all of Ms. Kennedy’s contributions as one of the first employees of the Company. All of Ms. Kennedy’s outstanding equity awards ceased vesting on December 31, 2022, and any then-unvested equity awards were forfeited. See “Potential Payments upon Termination or Change in Control” below for more information.</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Annie McGuire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an offer letter with Ms. McGuire, our General Counsel and Chief People Officer, on January 9, 2023. The letter provides for base salary, subject to periodic review. Pursuant to the offer letter, Ms. McGuire is also eligible to earn a bonus based on criteria and terms and conditions as may be established by our Board of Directors, as well as equity grants subject to approval by our Board of Directors. We have also entered into a change of control and severance agreement with Ms. McGuire that provides for certain payments and benefits upon a qualifying termination of employment. See “—Potential Payments upon Termination or Change in Control” below for more information.</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Tina Nova</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entered into an offer letter with Ms. Nova, our General Manager, Decipher Urologic Cancers, on February 2, 2021. The letter provides for base salary, subject to periodic review. Pursuant to the offer letter, Ms. Nova is also eligible to earn a bonus based on criteria and terms and conditions as may be established by our Board of Directors, as well as equity grants subject to approval by our Board of Directors. We have also entered into a change of control and severance agreement with Ms. Nova that provides for certain payments and benefits upon a qualifying termination of employment. </w:t>
      </w:r>
    </w:p>
    <w:p>
      <w:pPr>
        <w:pStyle w:val="TextBody"/>
        <w:spacing w:before="0" w:after="0"/>
        <w:ind w:left="0" w:right="0" w:firstLine="720"/>
        <w:jc w:val="both"/>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Potential Payments upon Termination or Change in Control </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change of control and severance agreements with each of our named executive officers.</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these agreements has an initial term of four years, which term automatically renews for additional one</w:t>
        <w:noBreakHyphen/>
        <w:t>year periods unless either party provides written notice of non-renewal at least 60 days prior to the date of automatic renewal and which term extends for one year from a “change of control,” as defined in the agreement, if such change of control occurs within the final 12 months of the initial term or the term as extended through automatic renewal.</w:t>
      </w:r>
    </w:p>
    <w:p>
      <w:pPr>
        <w:pStyle w:val="TextBody"/>
        <w:spacing w:lineRule="auto" w:line="288" w:before="240" w:after="283"/>
        <w:jc w:val="both"/>
        <w:rPr/>
      </w:pPr>
      <w:r>
        <w:rPr>
          <w:rFonts w:ascii="Times New Roman;sans-serif" w:hAnsi="Times New Roman;sans-serif"/>
          <w:b/>
          <w:i/>
          <w:color w:val="000000"/>
          <w:sz w:val="20"/>
        </w:rPr>
        <w:t>Outside of a Change in Control</w:t>
      </w:r>
      <w:r>
        <w:rPr>
          <w:color w:val="000000"/>
        </w:rPr>
        <w:t> </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each of the agreements, if the named executive officer is terminated by us without “cause” (as defined in the agreement), or terminates his or her employment for “good reason” (as defined in the agreement), each outside the period beginning two months prior to and ending 12 months following a change of control, or the “change of control period” (as defined in the agreement), he or she is entitled to the following benefits:</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Mr. Stapley: (i) 12 months of salary continuation from the termination date, (ii) a lump sum payment equal to his prorated annual bonus for the applicable performance period based on actual corporate performance and (iii) up to 12 months continuation coverage under the Consolidated Omnibus Budget Reconciliation Act of 1985, as amended (“COBRA”).</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Ms. McGuire, Ms. Chambers and Ms. Nova: (i) 6 months of salary continuation from the termination date and (ii) up to 6 months continuation coverage under COBRA.</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Ms. Kennedy’s departure from the company and pursuant to the Kennedy Separation Agreement (as described above under “Employment or Letter Agreements”), Ms. Kennedy ceased to be eligible for any benefits under her change of control and severance agreement. Please see the description of the Kennedy Separation Agreement above for the details of the payments provided in exchange for a release of claims.</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During Change in Control Period </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each of these agreements, if the named executive officer is terminated by us without cause, or terminates his or her employment for good reason each during the change of control period, he or she is entitled to the following benefits:</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Mr. Stapley: (i) a lump sum severance payment equal to 24 months of salary, (ii) a lump sum payment equal to 200% of the highest of his (A) annual target bonus for the year in which the change of control occurs, (B) annual target bonus for the year in which the termination occurs, or (C) actual bonus for the year prior to the year in which the termination occurs, (iii) accelerated vesting equal to 100% of any outstanding equity awards (and with respect to equity awards subject to performance, assuming “target” level performance) and (iv) up to 24 months continuation coverage under COBRA.</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Ms. Chambers, Ms. Nova and Ms. McGuire: (i) a lump sum severance payment equal to 18 months of salary from the termination date, (ii) a lump sum payment equal to 150% the highest of his or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(and with respect to equity awards subject to performance, assuming “target” level performance) and (iv) up to 18 months continuation coverage under COBRA.</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a change in control of the Company, the named executive officer may be subject to a reduction in compensation as a result of excise tax calculations under the best net after-tax severance approach pursuant to Section 4999 of the Code.</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receipt of the above-described benefits is subject to the named executive officer executing a release of certain claims against us.</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the potential payments and benefits our NEOs would be entitled to upon termination of employment or a Change in Control ("CIC”) under each situation listed below. The potential payments assume that the termination and/or termination resulting from a CIC occurred on December 30, 2022, the final trading day of the year, and, where applicable, use the closing price of our Common Stock of $23.73 on December 30, 2022. The table is merely an illustrative example of the impact of a hypothetical termination of employment or change in control and qualifying termination. The amounts that would actually be paid upon a termination of employment can only be determined at the time of such termination, based on the facts and circumstances then prevailing. In the case of Ms. Kennedy, this table reflects amounts actually paid upon her termination of service. Please see the description of the Kennedy Separation Agreement above for the details of the payments provided in exchange for a release of claims. The receipt of the above-described benefits is subject to the named executive officer executing a release of certain claims against us.</w:t>
      </w:r>
    </w:p>
    <w:tbl>
      <w:tblPr>
        <w:tblW w:w="10205" w:type="dxa"/>
        <w:jc w:val="center"/>
        <w:tblInd w:w="0" w:type="dxa"/>
        <w:tblCellMar>
          <w:top w:w="28" w:type="dxa"/>
          <w:left w:w="28" w:type="dxa"/>
          <w:bottom w:w="28" w:type="dxa"/>
          <w:right w:w="28" w:type="dxa"/>
        </w:tblCellMar>
      </w:tblPr>
      <w:tblGrid>
        <w:gridCol w:w="384"/>
        <w:gridCol w:w="248"/>
        <w:gridCol w:w="218"/>
        <w:gridCol w:w="554"/>
        <w:gridCol w:w="363"/>
        <w:gridCol w:w="207"/>
        <w:gridCol w:w="409"/>
        <w:gridCol w:w="409"/>
        <w:gridCol w:w="411"/>
        <w:gridCol w:w="389"/>
        <w:gridCol w:w="389"/>
        <w:gridCol w:w="347"/>
        <w:gridCol w:w="643"/>
        <w:gridCol w:w="260"/>
        <w:gridCol w:w="130"/>
        <w:gridCol w:w="581"/>
        <w:gridCol w:w="336"/>
        <w:gridCol w:w="261"/>
        <w:gridCol w:w="409"/>
        <w:gridCol w:w="409"/>
        <w:gridCol w:w="411"/>
        <w:gridCol w:w="594"/>
        <w:gridCol w:w="374"/>
        <w:gridCol w:w="375"/>
        <w:gridCol w:w="643"/>
        <w:gridCol w:w="258"/>
        <w:gridCol w:w="193"/>
      </w:tblGrid>
      <w:tr>
        <w:trPr/>
        <w:tc>
          <w:tcPr>
            <w:tcW w:w="384"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1"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Upon Qualifying Termination - No Change in Control</w:t>
            </w:r>
          </w:p>
        </w:tc>
        <w:tc>
          <w:tcPr>
            <w:tcW w:w="4844" w:type="dxa"/>
            <w:gridSpan w:val="12"/>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Upon Qualifying Termination - Change in Control</w:t>
            </w:r>
          </w:p>
        </w:tc>
      </w:tr>
      <w:tr>
        <w:trPr/>
        <w:tc>
          <w:tcPr>
            <w:tcW w:w="8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112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Severance ($)(1)</w:t>
            </w:r>
          </w:p>
        </w:tc>
        <w:tc>
          <w:tcPr>
            <w:tcW w:w="12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Continuation of Medical Benefits ($)</w:t>
            </w:r>
          </w:p>
        </w:tc>
        <w:tc>
          <w:tcPr>
            <w:tcW w:w="112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Value of Accelerated Vesting ($)(2)</w:t>
            </w:r>
          </w:p>
        </w:tc>
        <w:tc>
          <w:tcPr>
            <w:tcW w:w="103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c>
          <w:tcPr>
            <w:tcW w:w="117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Severance ($)(1)</w:t>
            </w:r>
          </w:p>
        </w:tc>
        <w:tc>
          <w:tcPr>
            <w:tcW w:w="12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Continuation of Medical Benefits ($)</w:t>
            </w:r>
          </w:p>
        </w:tc>
        <w:tc>
          <w:tcPr>
            <w:tcW w:w="13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Accelerated Vesting ($)(2)</w:t>
            </w:r>
          </w:p>
        </w:tc>
        <w:tc>
          <w:tcPr>
            <w:tcW w:w="109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8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 Stapley</w:t>
            </w:r>
          </w:p>
        </w:tc>
        <w:tc>
          <w:tcPr>
            <w:tcW w:w="91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1,250,000 </w:t>
            </w:r>
          </w:p>
        </w:tc>
        <w:tc>
          <w:tcPr>
            <w:tcW w:w="20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36,503 </w:t>
            </w:r>
          </w:p>
        </w:tc>
        <w:tc>
          <w:tcPr>
            <w:tcW w:w="4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1,286,503 </w:t>
            </w:r>
          </w:p>
        </w:tc>
        <w:tc>
          <w:tcPr>
            <w:tcW w:w="13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2,500,000 </w:t>
            </w:r>
          </w:p>
        </w:tc>
        <w:tc>
          <w:tcPr>
            <w:tcW w:w="2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73,007 </w:t>
            </w:r>
          </w:p>
        </w:tc>
        <w:tc>
          <w:tcPr>
            <w:tcW w:w="4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3,262,021 </w:t>
            </w:r>
          </w:p>
        </w:tc>
        <w:tc>
          <w:tcPr>
            <w:tcW w:w="37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5,835,028 </w:t>
            </w:r>
          </w:p>
        </w:tc>
        <w:tc>
          <w:tcPr>
            <w:tcW w:w="19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Rebecca Chambers</w:t>
            </w:r>
          </w:p>
        </w:tc>
        <w:tc>
          <w:tcPr>
            <w:tcW w:w="9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231,750 </w:t>
            </w:r>
          </w:p>
        </w:tc>
        <w:tc>
          <w:tcPr>
            <w:tcW w:w="2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18,252 </w:t>
            </w:r>
          </w:p>
        </w:tc>
        <w:tc>
          <w:tcPr>
            <w:tcW w:w="4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250,002 </w:t>
            </w:r>
          </w:p>
        </w:tc>
        <w:tc>
          <w:tcPr>
            <w:tcW w:w="1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1,077,638 </w:t>
            </w:r>
          </w:p>
        </w:tc>
        <w:tc>
          <w:tcPr>
            <w:tcW w:w="2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54,755 </w:t>
            </w:r>
          </w:p>
        </w:tc>
        <w:tc>
          <w:tcPr>
            <w:tcW w:w="4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2,123,147 </w:t>
            </w:r>
          </w:p>
        </w:tc>
        <w:tc>
          <w:tcPr>
            <w:tcW w:w="3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3,255,540 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Giulia C. Kennedy(3)</w:t>
            </w:r>
          </w:p>
        </w:tc>
        <w:tc>
          <w:tcPr>
            <w:tcW w:w="9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625,000 </w:t>
            </w:r>
          </w:p>
        </w:tc>
        <w:tc>
          <w:tcPr>
            <w:tcW w:w="2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42,998 </w:t>
            </w:r>
          </w:p>
        </w:tc>
        <w:tc>
          <w:tcPr>
            <w:tcW w:w="4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667,998 </w:t>
            </w:r>
          </w:p>
        </w:tc>
        <w:tc>
          <w:tcPr>
            <w:tcW w:w="1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Annie McGuire</w:t>
            </w:r>
          </w:p>
        </w:tc>
        <w:tc>
          <w:tcPr>
            <w:tcW w:w="9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2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18,252 </w:t>
            </w:r>
          </w:p>
        </w:tc>
        <w:tc>
          <w:tcPr>
            <w:tcW w:w="4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218,252 </w:t>
            </w:r>
          </w:p>
        </w:tc>
        <w:tc>
          <w:tcPr>
            <w:tcW w:w="1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560,000 </w:t>
            </w:r>
          </w:p>
        </w:tc>
        <w:tc>
          <w:tcPr>
            <w:tcW w:w="2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36,503 </w:t>
            </w:r>
          </w:p>
        </w:tc>
        <w:tc>
          <w:tcPr>
            <w:tcW w:w="4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796,308 </w:t>
            </w:r>
          </w:p>
        </w:tc>
        <w:tc>
          <w:tcPr>
            <w:tcW w:w="3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1,392,811 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Tina Nova</w:t>
            </w:r>
          </w:p>
        </w:tc>
        <w:tc>
          <w:tcPr>
            <w:tcW w:w="9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250,000 </w:t>
            </w:r>
          </w:p>
        </w:tc>
        <w:tc>
          <w:tcPr>
            <w:tcW w:w="2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5,901 </w:t>
            </w:r>
          </w:p>
        </w:tc>
        <w:tc>
          <w:tcPr>
            <w:tcW w:w="4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255,901 </w:t>
            </w:r>
          </w:p>
        </w:tc>
        <w:tc>
          <w:tcPr>
            <w:tcW w:w="1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1,312,500 </w:t>
            </w:r>
          </w:p>
        </w:tc>
        <w:tc>
          <w:tcPr>
            <w:tcW w:w="2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17,702 </w:t>
            </w:r>
          </w:p>
        </w:tc>
        <w:tc>
          <w:tcPr>
            <w:tcW w:w="4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2,012,755 </w:t>
            </w:r>
          </w:p>
        </w:tc>
        <w:tc>
          <w:tcPr>
            <w:tcW w:w="3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3,342,957 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355" w:type="dxa"/>
            <w:gridSpan w:val="24"/>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cash severance amount related to base salary was determined based on the base salaries in effect on December 31, 2022. The cash severance amount related to annual case bonus assumed that the bonus was achieved at target.</w:t>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355" w:type="dxa"/>
            <w:gridSpan w:val="24"/>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value of accelerated vesting is calculated based on the per share closing price of our common stock on The Nasdaq Stock Market as of December 30, 2022, the final trading day of the year ($23.73) less, if applicable, the exercise price of each outstanding stock option. In addition, the value of the accelerated vesting of any outstanding PSUs is based upon “at target” achievement.</w:t>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355" w:type="dxa"/>
            <w:gridSpan w:val="24"/>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Ms. Kennedy departed from the company effective December 31, 2022. </w:t>
            </w:r>
          </w:p>
        </w:tc>
      </w:tr>
    </w:tbl>
    <w:p>
      <w:pPr>
        <w:pStyle w:val="TextBody"/>
        <w:spacing w:before="0" w:after="0"/>
        <w:ind w:left="0" w:right="0" w:firstLine="72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Pay Versus Performance</w:t>
      </w:r>
    </w:p>
    <w:p>
      <w:pPr>
        <w:pStyle w:val="TextBody"/>
        <w:spacing w:before="0" w:after="0"/>
        <w:jc w:val="both"/>
        <w:rPr/>
      </w:pPr>
      <w:r>
        <w:rPr/>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rules adopted by the Securities and Exchange Commission pursuant to the Dodd-Frank Wall Street Reform and Consumer Protection Act of 2010, we provide the following disclosure regarding executive compensation for our </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rPr/>
      </w:pPr>
      <w:r>
        <w:rPr/>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officers (“PEOs”) and Non-PEO NEOs and Company performance for the fiscal years listed below. The Compensation Committee did not consider the pay versus performance disclosure below in making its pay decisions for any of the years shown.</w:t>
      </w:r>
    </w:p>
    <w:tbl>
      <w:tblPr>
        <w:tblW w:w="10205" w:type="dxa"/>
        <w:jc w:val="left"/>
        <w:tblInd w:w="0" w:type="dxa"/>
        <w:tblCellMar>
          <w:top w:w="28" w:type="dxa"/>
          <w:left w:w="28" w:type="dxa"/>
          <w:bottom w:w="28" w:type="dxa"/>
          <w:right w:w="28" w:type="dxa"/>
        </w:tblCellMar>
      </w:tblPr>
      <w:tblGrid>
        <w:gridCol w:w="173"/>
        <w:gridCol w:w="152"/>
        <w:gridCol w:w="156"/>
        <w:gridCol w:w="373"/>
        <w:gridCol w:w="373"/>
        <w:gridCol w:w="374"/>
        <w:gridCol w:w="373"/>
        <w:gridCol w:w="373"/>
        <w:gridCol w:w="374"/>
        <w:gridCol w:w="371"/>
        <w:gridCol w:w="371"/>
        <w:gridCol w:w="372"/>
        <w:gridCol w:w="372"/>
        <w:gridCol w:w="372"/>
        <w:gridCol w:w="373"/>
        <w:gridCol w:w="376"/>
        <w:gridCol w:w="376"/>
        <w:gridCol w:w="377"/>
        <w:gridCol w:w="374"/>
        <w:gridCol w:w="374"/>
        <w:gridCol w:w="375"/>
        <w:gridCol w:w="313"/>
        <w:gridCol w:w="148"/>
        <w:gridCol w:w="148"/>
        <w:gridCol w:w="312"/>
        <w:gridCol w:w="148"/>
        <w:gridCol w:w="149"/>
        <w:gridCol w:w="287"/>
        <w:gridCol w:w="287"/>
        <w:gridCol w:w="288"/>
        <w:gridCol w:w="264"/>
        <w:gridCol w:w="264"/>
        <w:gridCol w:w="393"/>
      </w:tblGrid>
      <w:tr>
        <w:trPr/>
        <w:tc>
          <w:tcPr>
            <w:tcW w:w="17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r>
      <w:tr>
        <w:trPr/>
        <w:tc>
          <w:tcPr>
            <w:tcW w:w="481"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Year</w:t>
            </w:r>
          </w:p>
        </w:tc>
        <w:tc>
          <w:tcPr>
            <w:tcW w:w="1120"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Summary Compensation Table Total for Marc Stapley¹</w:t>
              <w:br/>
              <w:t>($)</w:t>
            </w:r>
          </w:p>
        </w:tc>
        <w:tc>
          <w:tcPr>
            <w:tcW w:w="1120"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Summary Compensation Table Total for Bonnie Anderson¹</w:t>
              <w:br/>
              <w:t>($)</w:t>
            </w:r>
          </w:p>
        </w:tc>
        <w:tc>
          <w:tcPr>
            <w:tcW w:w="1114"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pPr>
            <w:r>
              <w:rPr>
                <w:rFonts w:ascii="Times New Roman;sans-serif" w:hAnsi="Times New Roman;sans-serif"/>
                <w:b w:val="false"/>
                <w:color w:val="000000"/>
                <w:sz w:val="16"/>
              </w:rPr>
              <w:t>Compensation Actually Paid to Marc Stapley</w:t>
            </w:r>
            <w:r>
              <w:rPr>
                <w:rFonts w:ascii="Times New Roman;sans-serif" w:hAnsi="Times New Roman;sans-serif"/>
                <w:b w:val="false"/>
                <w:color w:val="000000"/>
                <w:sz w:val="10"/>
              </w:rPr>
              <w:t>1,2,3</w:t>
            </w:r>
          </w:p>
          <w:p>
            <w:pPr>
              <w:pStyle w:val="TableContents"/>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7"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pPr>
            <w:r>
              <w:rPr>
                <w:rFonts w:ascii="Times New Roman;sans-serif" w:hAnsi="Times New Roman;sans-serif"/>
                <w:b w:val="false"/>
                <w:color w:val="000000"/>
                <w:sz w:val="16"/>
              </w:rPr>
              <w:t>Compensation Actually Paid to Bonnie Anderson</w:t>
            </w:r>
            <w:r>
              <w:rPr>
                <w:rFonts w:ascii="Times New Roman;sans-serif" w:hAnsi="Times New Roman;sans-serif"/>
                <w:b w:val="false"/>
                <w:color w:val="000000"/>
                <w:sz w:val="10"/>
              </w:rPr>
              <w:t>1,2,3</w:t>
            </w:r>
          </w:p>
          <w:p>
            <w:pPr>
              <w:pStyle w:val="TableContents"/>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9"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pPr>
            <w:r>
              <w:rPr>
                <w:rFonts w:ascii="Times New Roman;sans-serif" w:hAnsi="Times New Roman;sans-serif"/>
                <w:b w:val="false"/>
                <w:color w:val="000000"/>
                <w:sz w:val="16"/>
              </w:rPr>
              <w:t>Average Summary Compensation Table Total for Non-PEO NEOs</w:t>
            </w: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w:t>
            </w:r>
          </w:p>
        </w:tc>
        <w:tc>
          <w:tcPr>
            <w:tcW w:w="1123" w:type="dxa"/>
            <w:gridSpan w:val="3"/>
            <w:vMerge w:val="restart"/>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pPr>
            <w:r>
              <w:rPr>
                <w:rFonts w:ascii="Times New Roman;sans-serif" w:hAnsi="Times New Roman;sans-serif"/>
                <w:b w:val="false"/>
                <w:color w:val="000000"/>
                <w:sz w:val="16"/>
              </w:rPr>
              <w:t>Average Compensation Actually Paid to Non-PEO NEOs</w:t>
            </w:r>
            <w:r>
              <w:rPr>
                <w:rFonts w:ascii="Times New Roman;sans-serif" w:hAnsi="Times New Roman;sans-serif"/>
                <w:b w:val="false"/>
                <w:color w:val="000000"/>
                <w:sz w:val="10"/>
              </w:rPr>
              <w:t>1,2,3</w:t>
            </w:r>
            <w:r>
              <w:rPr>
                <w:color w:val="000000"/>
              </w:rPr>
              <w:t xml:space="preserve"> </w:t>
            </w:r>
            <w:r>
              <w:rPr>
                <w:rFonts w:ascii="Times New Roman;sans-serif" w:hAnsi="Times New Roman;sans-serif"/>
                <w:b w:val="false"/>
                <w:color w:val="000000"/>
                <w:sz w:val="16"/>
              </w:rPr>
              <w:t>($)</w:t>
            </w:r>
          </w:p>
        </w:tc>
        <w:tc>
          <w:tcPr>
            <w:tcW w:w="1218" w:type="dxa"/>
            <w:gridSpan w:val="6"/>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pPr>
            <w:r>
              <w:rPr>
                <w:rFonts w:ascii="Times New Roman;sans-serif" w:hAnsi="Times New Roman;sans-serif"/>
                <w:b w:val="false"/>
                <w:color w:val="000000"/>
                <w:sz w:val="16"/>
              </w:rPr>
              <w:t>Value of Initial Fixed $100 Investment based on:</w:t>
            </w:r>
            <w:r>
              <w:rPr>
                <w:rFonts w:ascii="Times New Roman;sans-serif" w:hAnsi="Times New Roman;sans-serif"/>
                <w:b w:val="false"/>
                <w:color w:val="000000"/>
                <w:sz w:val="10"/>
              </w:rPr>
              <w:t>4</w:t>
            </w:r>
          </w:p>
        </w:tc>
        <w:tc>
          <w:tcPr>
            <w:tcW w:w="862"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Income ($ millions)</w:t>
            </w:r>
          </w:p>
        </w:tc>
        <w:tc>
          <w:tcPr>
            <w:tcW w:w="921"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Total Revenue </w:t>
              <w:br/>
              <w:t>($ millions)</w:t>
              <w:br/>
              <w:t>⁵</w:t>
            </w:r>
          </w:p>
        </w:tc>
      </w:tr>
      <w:tr>
        <w:trPr/>
        <w:tc>
          <w:tcPr>
            <w:tcW w:w="481"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120"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120"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114"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117"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129"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123"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6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TSR ($)</w:t>
            </w:r>
          </w:p>
        </w:tc>
        <w:tc>
          <w:tcPr>
            <w:tcW w:w="60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Peer Group TSR ($)</w:t>
            </w:r>
          </w:p>
        </w:tc>
        <w:tc>
          <w:tcPr>
            <w:tcW w:w="862"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921"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r>
      <w:tr>
        <w:trPr/>
        <w:tc>
          <w:tcPr>
            <w:tcW w:w="4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11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11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111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111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11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w:t>
            </w:r>
          </w:p>
        </w:tc>
        <w:tc>
          <w:tcPr>
            <w:tcW w:w="11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6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w:t>
            </w:r>
          </w:p>
        </w:tc>
        <w:tc>
          <w:tcPr>
            <w:tcW w:w="6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w:t>
            </w:r>
          </w:p>
        </w:tc>
        <w:tc>
          <w:tcPr>
            <w:tcW w:w="86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(h)</w:t>
            </w:r>
          </w:p>
        </w:tc>
        <w:tc>
          <w:tcPr>
            <w:tcW w:w="9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c>
      </w:tr>
      <w:tr>
        <w:trPr/>
        <w:tc>
          <w:tcPr>
            <w:tcW w:w="4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11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4,935,422</w:t>
            </w:r>
          </w:p>
        </w:tc>
        <w:tc>
          <w:tcPr>
            <w:tcW w:w="11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11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1,622,674</w:t>
            </w:r>
          </w:p>
        </w:tc>
        <w:tc>
          <w:tcPr>
            <w:tcW w:w="111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1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3,725,476</w:t>
            </w:r>
          </w:p>
        </w:tc>
        <w:tc>
          <w:tcPr>
            <w:tcW w:w="11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1,450,011</w:t>
            </w:r>
          </w:p>
        </w:tc>
        <w:tc>
          <w:tcPr>
            <w:tcW w:w="6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84.99</w:t>
            </w:r>
          </w:p>
        </w:tc>
        <w:tc>
          <w:tcPr>
            <w:tcW w:w="6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113.65</w:t>
            </w:r>
          </w:p>
        </w:tc>
        <w:tc>
          <w:tcPr>
            <w:tcW w:w="86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(36.6)</w:t>
            </w:r>
          </w:p>
        </w:tc>
        <w:tc>
          <w:tcPr>
            <w:tcW w:w="9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296.5</w:t>
            </w:r>
          </w:p>
        </w:tc>
      </w:tr>
      <w:tr>
        <w:trPr/>
        <w:tc>
          <w:tcPr>
            <w:tcW w:w="4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11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5,741,940</w:t>
            </w:r>
          </w:p>
        </w:tc>
        <w:tc>
          <w:tcPr>
            <w:tcW w:w="11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4,518,093</w:t>
            </w:r>
          </w:p>
        </w:tc>
        <w:tc>
          <w:tcPr>
            <w:tcW w:w="111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5,700,065</w:t>
            </w:r>
          </w:p>
        </w:tc>
        <w:tc>
          <w:tcPr>
            <w:tcW w:w="111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2,876,781</w:t>
            </w:r>
          </w:p>
        </w:tc>
        <w:tc>
          <w:tcPr>
            <w:tcW w:w="11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2,235,504</w:t>
            </w:r>
          </w:p>
        </w:tc>
        <w:tc>
          <w:tcPr>
            <w:tcW w:w="11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(434,017)</w:t>
            </w:r>
          </w:p>
        </w:tc>
        <w:tc>
          <w:tcPr>
            <w:tcW w:w="6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147.56</w:t>
            </w:r>
          </w:p>
        </w:tc>
        <w:tc>
          <w:tcPr>
            <w:tcW w:w="6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126.45</w:t>
            </w:r>
          </w:p>
        </w:tc>
        <w:tc>
          <w:tcPr>
            <w:tcW w:w="86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(75.6)</w:t>
            </w:r>
          </w:p>
        </w:tc>
        <w:tc>
          <w:tcPr>
            <w:tcW w:w="92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219.5</w:t>
            </w:r>
          </w:p>
        </w:tc>
      </w:tr>
      <w:tr>
        <w:trPr/>
        <w:tc>
          <w:tcPr>
            <w:tcW w:w="48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112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12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4,571,345</w:t>
            </w:r>
          </w:p>
        </w:tc>
        <w:tc>
          <w:tcPr>
            <w:tcW w:w="111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117"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15,466,734</w:t>
            </w:r>
          </w:p>
        </w:tc>
        <w:tc>
          <w:tcPr>
            <w:tcW w:w="112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2,200,189</w:t>
            </w:r>
          </w:p>
        </w:tc>
        <w:tc>
          <w:tcPr>
            <w:tcW w:w="112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5,837,075</w:t>
            </w:r>
          </w:p>
        </w:tc>
        <w:tc>
          <w:tcPr>
            <w:tcW w:w="60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175.29</w:t>
            </w:r>
          </w:p>
        </w:tc>
        <w:tc>
          <w:tcPr>
            <w:tcW w:w="60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126.42</w:t>
            </w:r>
          </w:p>
        </w:tc>
        <w:tc>
          <w:tcPr>
            <w:tcW w:w="86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(34.9)</w:t>
            </w:r>
          </w:p>
        </w:tc>
        <w:tc>
          <w:tcPr>
            <w:tcW w:w="921"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117.5</w:t>
            </w:r>
          </w:p>
        </w:tc>
      </w:tr>
    </w:tbl>
    <w:p>
      <w:pPr>
        <w:pStyle w:val="TextBody"/>
        <w:spacing w:before="0" w:after="0"/>
        <w:rPr/>
      </w:pPr>
      <w:r>
        <w:rPr/>
      </w:r>
    </w:p>
    <w:p>
      <w:pPr>
        <w:pStyle w:val="TextBody"/>
        <w:spacing w:lineRule="auto" w:line="288" w:before="120" w:after="12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    Bonnie Anderson was our PEO until June 2021. Marc Stapley was our PEO from June 2021 to present. The individuals comprising the Non-PEO NEOs for each year presented are listed below.</w:t>
      </w:r>
    </w:p>
    <w:tbl>
      <w:tblPr>
        <w:tblW w:w="4873" w:type="dxa"/>
        <w:jc w:val="center"/>
        <w:tblInd w:w="0" w:type="dxa"/>
        <w:tblCellMar>
          <w:top w:w="28" w:type="dxa"/>
          <w:left w:w="28" w:type="dxa"/>
          <w:bottom w:w="28" w:type="dxa"/>
          <w:right w:w="28" w:type="dxa"/>
        </w:tblCellMar>
      </w:tblPr>
      <w:tblGrid>
        <w:gridCol w:w="554"/>
        <w:gridCol w:w="486"/>
        <w:gridCol w:w="489"/>
        <w:gridCol w:w="548"/>
        <w:gridCol w:w="548"/>
        <w:gridCol w:w="554"/>
        <w:gridCol w:w="495"/>
        <w:gridCol w:w="495"/>
        <w:gridCol w:w="704"/>
      </w:tblGrid>
      <w:tr>
        <w:trPr/>
        <w:tc>
          <w:tcPr>
            <w:tcW w:w="55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6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69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5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Keith Kennedy</w:t>
            </w:r>
          </w:p>
        </w:tc>
        <w:tc>
          <w:tcPr>
            <w:tcW w:w="16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Keith Kennedy</w:t>
            </w:r>
          </w:p>
        </w:tc>
        <w:tc>
          <w:tcPr>
            <w:tcW w:w="169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Giulia Kennedy</w:t>
            </w:r>
          </w:p>
        </w:tc>
      </w:tr>
      <w:tr>
        <w:trPr/>
        <w:tc>
          <w:tcPr>
            <w:tcW w:w="1529" w:type="dxa"/>
            <w:gridSpan w:val="3"/>
            <w:tcBorders>
              <w:left w:val="single" w:sz="8" w:space="0" w:color="000000"/>
            </w:tcBorders>
            <w:shd w:fill="auto" w:val="clear"/>
            <w:tcMar>
              <w:top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Giulia Kennedy</w:t>
            </w:r>
          </w:p>
        </w:tc>
        <w:tc>
          <w:tcPr>
            <w:tcW w:w="1650" w:type="dxa"/>
            <w:gridSpan w:val="3"/>
            <w:tcBorders>
              <w:left w:val="single" w:sz="8" w:space="0" w:color="000000"/>
            </w:tcBorders>
            <w:shd w:fill="auto" w:val="clear"/>
            <w:tcMar>
              <w:top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Giulia Kennedy</w:t>
            </w:r>
          </w:p>
        </w:tc>
        <w:tc>
          <w:tcPr>
            <w:tcW w:w="1694"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r>
      <w:tr>
        <w:trPr/>
        <w:tc>
          <w:tcPr>
            <w:tcW w:w="1529" w:type="dxa"/>
            <w:gridSpan w:val="3"/>
            <w:tcBorders>
              <w:left w:val="single" w:sz="8" w:space="0" w:color="000000"/>
            </w:tcBorders>
            <w:shd w:fill="auto" w:val="clear"/>
            <w:tcMar>
              <w:top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Hanna</w:t>
            </w:r>
          </w:p>
        </w:tc>
        <w:tc>
          <w:tcPr>
            <w:tcW w:w="1650" w:type="dxa"/>
            <w:gridSpan w:val="3"/>
            <w:tcBorders>
              <w:left w:val="single" w:sz="8" w:space="0" w:color="000000"/>
            </w:tcBorders>
            <w:shd w:fill="auto" w:val="clear"/>
            <w:tcMar>
              <w:top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Erlinger III</w:t>
            </w:r>
          </w:p>
        </w:tc>
        <w:tc>
          <w:tcPr>
            <w:tcW w:w="1694"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Tina Nova</w:t>
            </w:r>
          </w:p>
        </w:tc>
      </w:tr>
      <w:tr>
        <w:trPr/>
        <w:tc>
          <w:tcPr>
            <w:tcW w:w="1529" w:type="dxa"/>
            <w:gridSpan w:val="3"/>
            <w:tcBorders>
              <w:left w:val="single" w:sz="8" w:space="0" w:color="000000"/>
            </w:tcBorders>
            <w:shd w:fill="auto" w:val="clear"/>
            <w:tcMar>
              <w:top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Erlinger III</w:t>
            </w:r>
          </w:p>
        </w:tc>
        <w:tc>
          <w:tcPr>
            <w:tcW w:w="1650" w:type="dxa"/>
            <w:gridSpan w:val="3"/>
            <w:tcBorders>
              <w:left w:val="single" w:sz="8" w:space="0" w:color="000000"/>
            </w:tcBorders>
            <w:shd w:fill="auto" w:val="clear"/>
            <w:tcMar>
              <w:top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Beverly Jane Alley</w:t>
            </w:r>
          </w:p>
        </w:tc>
        <w:tc>
          <w:tcPr>
            <w:tcW w:w="1694"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Annie McGuire</w:t>
            </w:r>
          </w:p>
        </w:tc>
      </w:tr>
      <w:tr>
        <w:trPr/>
        <w:tc>
          <w:tcPr>
            <w:tcW w:w="1529" w:type="dxa"/>
            <w:gridSpan w:val="3"/>
            <w:tcBorders>
              <w:left w:val="single" w:sz="8" w:space="0" w:color="000000"/>
              <w:bottom w:val="single" w:sz="8" w:space="0" w:color="000000"/>
            </w:tcBorders>
            <w:shd w:fill="auto" w:val="clear"/>
            <w:tcMar>
              <w:top w:w="0" w:type="dxa"/>
              <w:right w:w="0" w:type="dxa"/>
            </w:tcMar>
            <w:vAlign w:val="center"/>
          </w:tcPr>
          <w:p>
            <w:pPr>
              <w:pStyle w:val="TableContents"/>
              <w:spacing w:before="0" w:after="283"/>
              <w:rPr>
                <w:sz w:val="4"/>
                <w:szCs w:val="4"/>
              </w:rPr>
            </w:pPr>
            <w:r>
              <w:rPr>
                <w:sz w:val="4"/>
                <w:szCs w:val="4"/>
              </w:rPr>
            </w:r>
          </w:p>
        </w:tc>
        <w:tc>
          <w:tcPr>
            <w:tcW w:w="1650" w:type="dxa"/>
            <w:gridSpan w:val="3"/>
            <w:tcBorders>
              <w:left w:val="single" w:sz="8" w:space="0" w:color="000000"/>
              <w:bottom w:val="single" w:sz="8" w:space="0" w:color="000000"/>
            </w:tcBorders>
            <w:shd w:fill="auto" w:val="clear"/>
            <w:tcMar>
              <w:top w:w="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c>
          <w:tcPr>
            <w:tcW w:w="1694" w:type="dxa"/>
            <w:gridSpan w:val="3"/>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12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2.    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pStyle w:val="TextBody"/>
        <w:spacing w:lineRule="auto" w:line="288" w:before="120" w:after="12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3.    Compensation Actually Paid reflects the exclusions and inclusions of certain amounts for the PEOs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tbl>
      <w:tblPr>
        <w:tblW w:w="10205" w:type="dxa"/>
        <w:jc w:val="left"/>
        <w:tblInd w:w="0" w:type="dxa"/>
        <w:tblCellMar>
          <w:top w:w="28" w:type="dxa"/>
          <w:left w:w="28" w:type="dxa"/>
          <w:bottom w:w="28" w:type="dxa"/>
          <w:right w:w="28" w:type="dxa"/>
        </w:tblCellMar>
      </w:tblPr>
      <w:tblGrid>
        <w:gridCol w:w="195"/>
        <w:gridCol w:w="172"/>
        <w:gridCol w:w="174"/>
        <w:gridCol w:w="857"/>
        <w:gridCol w:w="857"/>
        <w:gridCol w:w="859"/>
        <w:gridCol w:w="919"/>
        <w:gridCol w:w="881"/>
        <w:gridCol w:w="884"/>
        <w:gridCol w:w="706"/>
        <w:gridCol w:w="668"/>
        <w:gridCol w:w="671"/>
        <w:gridCol w:w="689"/>
        <w:gridCol w:w="689"/>
        <w:gridCol w:w="984"/>
      </w:tblGrid>
      <w:tr>
        <w:trPr/>
        <w:tc>
          <w:tcPr>
            <w:tcW w:w="19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w:t>
            </w:r>
          </w:p>
        </w:tc>
        <w:tc>
          <w:tcPr>
            <w:tcW w:w="257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Summary Compensation Table Total for Marc Stapley ($)</w:t>
            </w:r>
          </w:p>
        </w:tc>
        <w:tc>
          <w:tcPr>
            <w:tcW w:w="268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Exclusion of Stock Awards and Option Awards for Marc Stapley ($)</w:t>
            </w:r>
          </w:p>
        </w:tc>
        <w:tc>
          <w:tcPr>
            <w:tcW w:w="204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Inclusion of Equity Values for Marc Stapley ($)</w:t>
            </w:r>
          </w:p>
        </w:tc>
        <w:tc>
          <w:tcPr>
            <w:tcW w:w="2362"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Compensation Actually Paid to Marc Stapley ($)</w:t>
            </w:r>
          </w:p>
        </w:tc>
      </w:tr>
      <w:tr>
        <w:trPr/>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57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4,935,422</w:t>
            </w:r>
          </w:p>
        </w:tc>
        <w:tc>
          <w:tcPr>
            <w:tcW w:w="268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(3,682,422)</w:t>
            </w:r>
          </w:p>
        </w:tc>
        <w:tc>
          <w:tcPr>
            <w:tcW w:w="204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369,674</w:t>
            </w:r>
          </w:p>
        </w:tc>
        <w:tc>
          <w:tcPr>
            <w:tcW w:w="2362"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1,622,674</w:t>
            </w:r>
          </w:p>
        </w:tc>
      </w:tr>
      <w:tr>
        <w:trPr/>
        <w:tc>
          <w:tcPr>
            <w:tcW w:w="54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257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5,741,940</w:t>
            </w:r>
          </w:p>
        </w:tc>
        <w:tc>
          <w:tcPr>
            <w:tcW w:w="268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(5,091,440)</w:t>
            </w:r>
          </w:p>
        </w:tc>
        <w:tc>
          <w:tcPr>
            <w:tcW w:w="204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5,049,565</w:t>
            </w:r>
          </w:p>
        </w:tc>
        <w:tc>
          <w:tcPr>
            <w:tcW w:w="2362"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5,700,065</w:t>
            </w:r>
          </w:p>
        </w:tc>
      </w:tr>
    </w:tbl>
    <w:tbl>
      <w:tblPr>
        <w:tblW w:w="10205" w:type="dxa"/>
        <w:jc w:val="left"/>
        <w:tblInd w:w="0" w:type="dxa"/>
        <w:tblCellMar>
          <w:top w:w="28" w:type="dxa"/>
          <w:left w:w="28" w:type="dxa"/>
          <w:bottom w:w="28" w:type="dxa"/>
          <w:right w:w="28" w:type="dxa"/>
        </w:tblCellMar>
      </w:tblPr>
      <w:tblGrid>
        <w:gridCol w:w="195"/>
        <w:gridCol w:w="172"/>
        <w:gridCol w:w="174"/>
        <w:gridCol w:w="851"/>
        <w:gridCol w:w="851"/>
        <w:gridCol w:w="853"/>
        <w:gridCol w:w="900"/>
        <w:gridCol w:w="860"/>
        <w:gridCol w:w="863"/>
        <w:gridCol w:w="771"/>
        <w:gridCol w:w="671"/>
        <w:gridCol w:w="673"/>
        <w:gridCol w:w="692"/>
        <w:gridCol w:w="692"/>
        <w:gridCol w:w="987"/>
      </w:tblGrid>
      <w:tr>
        <w:trPr/>
        <w:tc>
          <w:tcPr>
            <w:tcW w:w="19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w:t>
            </w:r>
          </w:p>
        </w:tc>
        <w:tc>
          <w:tcPr>
            <w:tcW w:w="25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Summary Compensation Table Total for Bonnie Anderson ($)</w:t>
            </w:r>
          </w:p>
        </w:tc>
        <w:tc>
          <w:tcPr>
            <w:tcW w:w="26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Exclusion of Stock Awards and Option Awards for Bonnie Anderson ($)</w:t>
            </w:r>
          </w:p>
        </w:tc>
        <w:tc>
          <w:tcPr>
            <w:tcW w:w="21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Inclusion of Equity Values for Bonnie Anderson ($)</w:t>
            </w:r>
          </w:p>
        </w:tc>
        <w:tc>
          <w:tcPr>
            <w:tcW w:w="237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Compensation Actually Paid to Bonnie Anderson ($)</w:t>
            </w:r>
          </w:p>
        </w:tc>
      </w:tr>
      <w:tr>
        <w:trPr/>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25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4,518,093</w:t>
            </w:r>
          </w:p>
        </w:tc>
        <w:tc>
          <w:tcPr>
            <w:tcW w:w="262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(3,312,593)</w:t>
            </w:r>
          </w:p>
        </w:tc>
        <w:tc>
          <w:tcPr>
            <w:tcW w:w="21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1,671,281</w:t>
            </w:r>
          </w:p>
        </w:tc>
        <w:tc>
          <w:tcPr>
            <w:tcW w:w="237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2,876,781</w:t>
            </w:r>
          </w:p>
        </w:tc>
      </w:tr>
      <w:tr>
        <w:trPr/>
        <w:tc>
          <w:tcPr>
            <w:tcW w:w="54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255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4,571,345</w:t>
            </w:r>
          </w:p>
        </w:tc>
        <w:tc>
          <w:tcPr>
            <w:tcW w:w="262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(3,319,345)</w:t>
            </w:r>
          </w:p>
        </w:tc>
        <w:tc>
          <w:tcPr>
            <w:tcW w:w="211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14,214,734</w:t>
            </w:r>
          </w:p>
        </w:tc>
        <w:tc>
          <w:tcPr>
            <w:tcW w:w="2371"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15,466,734</w:t>
            </w:r>
          </w:p>
        </w:tc>
      </w:tr>
    </w:tbl>
    <w:tbl>
      <w:tblPr>
        <w:tblW w:w="10205" w:type="dxa"/>
        <w:jc w:val="left"/>
        <w:tblInd w:w="0" w:type="dxa"/>
        <w:tblCellMar>
          <w:top w:w="28" w:type="dxa"/>
          <w:left w:w="28" w:type="dxa"/>
          <w:bottom w:w="28" w:type="dxa"/>
          <w:right w:w="28" w:type="dxa"/>
        </w:tblCellMar>
      </w:tblPr>
      <w:tblGrid>
        <w:gridCol w:w="195"/>
        <w:gridCol w:w="172"/>
        <w:gridCol w:w="174"/>
        <w:gridCol w:w="856"/>
        <w:gridCol w:w="856"/>
        <w:gridCol w:w="859"/>
        <w:gridCol w:w="893"/>
        <w:gridCol w:w="851"/>
        <w:gridCol w:w="853"/>
        <w:gridCol w:w="721"/>
        <w:gridCol w:w="678"/>
        <w:gridCol w:w="681"/>
        <w:gridCol w:w="705"/>
        <w:gridCol w:w="705"/>
        <w:gridCol w:w="1006"/>
      </w:tblGrid>
      <w:tr>
        <w:trPr/>
        <w:tc>
          <w:tcPr>
            <w:tcW w:w="19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w:t>
            </w:r>
          </w:p>
        </w:tc>
        <w:tc>
          <w:tcPr>
            <w:tcW w:w="25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Summary Compensation Table Total for Non-PEO NEOs ($)</w:t>
            </w:r>
          </w:p>
        </w:tc>
        <w:tc>
          <w:tcPr>
            <w:tcW w:w="259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Exclusion of Stock Awards and Option Awards for Non-PEO NEOs ($)</w:t>
            </w:r>
          </w:p>
        </w:tc>
        <w:tc>
          <w:tcPr>
            <w:tcW w:w="208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Inclusion of Equity Values for Non-PEO NEOs ($)</w:t>
            </w:r>
          </w:p>
        </w:tc>
        <w:tc>
          <w:tcPr>
            <w:tcW w:w="241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Compensation Actually Paid to Non-PEO NEOs ($)</w:t>
            </w:r>
          </w:p>
        </w:tc>
      </w:tr>
      <w:tr>
        <w:trPr/>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5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3,725,476</w:t>
            </w:r>
          </w:p>
        </w:tc>
        <w:tc>
          <w:tcPr>
            <w:tcW w:w="259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(2,869,079)</w:t>
            </w:r>
          </w:p>
        </w:tc>
        <w:tc>
          <w:tcPr>
            <w:tcW w:w="208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593,614</w:t>
            </w:r>
          </w:p>
        </w:tc>
        <w:tc>
          <w:tcPr>
            <w:tcW w:w="241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1,450,011</w:t>
            </w:r>
          </w:p>
        </w:tc>
      </w:tr>
      <w:tr>
        <w:trPr/>
        <w:tc>
          <w:tcPr>
            <w:tcW w:w="5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25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2,235,504</w:t>
            </w:r>
          </w:p>
        </w:tc>
        <w:tc>
          <w:tcPr>
            <w:tcW w:w="259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(1,783,283)</w:t>
            </w:r>
          </w:p>
        </w:tc>
        <w:tc>
          <w:tcPr>
            <w:tcW w:w="208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(886,237)</w:t>
            </w:r>
          </w:p>
        </w:tc>
        <w:tc>
          <w:tcPr>
            <w:tcW w:w="241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(434,017)</w:t>
            </w:r>
          </w:p>
        </w:tc>
      </w:tr>
      <w:tr>
        <w:trPr/>
        <w:tc>
          <w:tcPr>
            <w:tcW w:w="54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257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2,200,189</w:t>
            </w:r>
          </w:p>
        </w:tc>
        <w:tc>
          <w:tcPr>
            <w:tcW w:w="2597"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(1,530,600)</w:t>
            </w:r>
          </w:p>
        </w:tc>
        <w:tc>
          <w:tcPr>
            <w:tcW w:w="208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5,167,485</w:t>
            </w:r>
          </w:p>
        </w:tc>
        <w:tc>
          <w:tcPr>
            <w:tcW w:w="2416"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5,837,075</w:t>
            </w:r>
          </w:p>
        </w:tc>
      </w:tr>
    </w:tbl>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rPr/>
      </w:pPr>
      <w:r>
        <w:rPr/>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in the Inclusion of Equity Values in the tables above are derived from the amounts set forth in the following tables:</w:t>
      </w:r>
    </w:p>
    <w:tbl>
      <w:tblPr>
        <w:tblW w:w="10205" w:type="dxa"/>
        <w:jc w:val="left"/>
        <w:tblInd w:w="0" w:type="dxa"/>
        <w:tblCellMar>
          <w:top w:w="28" w:type="dxa"/>
          <w:left w:w="28" w:type="dxa"/>
          <w:bottom w:w="28" w:type="dxa"/>
          <w:right w:w="28" w:type="dxa"/>
        </w:tblCellMar>
      </w:tblPr>
      <w:tblGrid>
        <w:gridCol w:w="173"/>
        <w:gridCol w:w="152"/>
        <w:gridCol w:w="156"/>
        <w:gridCol w:w="508"/>
        <w:gridCol w:w="480"/>
        <w:gridCol w:w="482"/>
        <w:gridCol w:w="571"/>
        <w:gridCol w:w="446"/>
        <w:gridCol w:w="448"/>
        <w:gridCol w:w="508"/>
        <w:gridCol w:w="508"/>
        <w:gridCol w:w="509"/>
        <w:gridCol w:w="607"/>
        <w:gridCol w:w="483"/>
        <w:gridCol w:w="485"/>
        <w:gridCol w:w="404"/>
        <w:gridCol w:w="404"/>
        <w:gridCol w:w="405"/>
        <w:gridCol w:w="443"/>
        <w:gridCol w:w="443"/>
        <w:gridCol w:w="444"/>
        <w:gridCol w:w="333"/>
        <w:gridCol w:w="333"/>
        <w:gridCol w:w="480"/>
      </w:tblGrid>
      <w:tr>
        <w:trPr/>
        <w:tc>
          <w:tcPr>
            <w:tcW w:w="17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Year</w:t>
            </w:r>
          </w:p>
        </w:tc>
        <w:tc>
          <w:tcPr>
            <w:tcW w:w="14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Year-End Fair Value of Equity Awards Granted During Year That Remained Unvested as of Last Day of Year for Marc Stapley ($)</w:t>
            </w:r>
          </w:p>
        </w:tc>
        <w:tc>
          <w:tcPr>
            <w:tcW w:w="14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 in Fair Value from Last Day of Prior Year to Last Day of Year of Unvested Equity Awards for Marc Stapley ($)</w:t>
            </w:r>
          </w:p>
        </w:tc>
        <w:tc>
          <w:tcPr>
            <w:tcW w:w="152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Vesting-Date Fair Value of Equity Awards Granted During Year that Vested During Year for Marc Stapley ($)</w:t>
            </w:r>
          </w:p>
        </w:tc>
        <w:tc>
          <w:tcPr>
            <w:tcW w:w="15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 in Fair Value from Last Day of Prior Year to Vesting Date of Unvested Equity Awards that Vested During Year for Marc Stapley ($)</w:t>
            </w:r>
          </w:p>
        </w:tc>
        <w:tc>
          <w:tcPr>
            <w:tcW w:w="121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at Last Day of Prior Year of Equity Awards Forfeited During Year for Marc Stapley ($)</w:t>
            </w:r>
          </w:p>
        </w:tc>
        <w:tc>
          <w:tcPr>
            <w:tcW w:w="13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Value of Dividends or Other Earnings Paid on Equity Awards Not Otherwise Included for Marc Stapley ($)</w:t>
            </w:r>
          </w:p>
        </w:tc>
        <w:tc>
          <w:tcPr>
            <w:tcW w:w="114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 Inclusion of Equity Values for Marc Stapley ($)</w:t>
            </w:r>
          </w:p>
        </w:tc>
      </w:tr>
      <w:tr>
        <w:trPr/>
        <w:tc>
          <w:tcPr>
            <w:tcW w:w="4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14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2,787,260</w:t>
            </w:r>
          </w:p>
        </w:tc>
        <w:tc>
          <w:tcPr>
            <w:tcW w:w="14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(1,356,025)</w:t>
            </w:r>
          </w:p>
        </w:tc>
        <w:tc>
          <w:tcPr>
            <w:tcW w:w="152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5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(1,061,561)</w:t>
            </w:r>
          </w:p>
        </w:tc>
        <w:tc>
          <w:tcPr>
            <w:tcW w:w="121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3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14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369,674</w:t>
            </w:r>
          </w:p>
        </w:tc>
      </w:tr>
      <w:tr>
        <w:trPr/>
        <w:tc>
          <w:tcPr>
            <w:tcW w:w="48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147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5,049,565</w:t>
            </w:r>
          </w:p>
        </w:tc>
        <w:tc>
          <w:tcPr>
            <w:tcW w:w="146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52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57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21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33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146"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5,049,565</w:t>
            </w:r>
          </w:p>
        </w:tc>
      </w:tr>
    </w:tbl>
    <w:tbl>
      <w:tblPr>
        <w:tblW w:w="10205" w:type="dxa"/>
        <w:jc w:val="left"/>
        <w:tblInd w:w="0" w:type="dxa"/>
        <w:tblCellMar>
          <w:top w:w="28" w:type="dxa"/>
          <w:left w:w="28" w:type="dxa"/>
          <w:bottom w:w="28" w:type="dxa"/>
          <w:right w:w="28" w:type="dxa"/>
        </w:tblCellMar>
      </w:tblPr>
      <w:tblGrid>
        <w:gridCol w:w="173"/>
        <w:gridCol w:w="152"/>
        <w:gridCol w:w="156"/>
        <w:gridCol w:w="504"/>
        <w:gridCol w:w="476"/>
        <w:gridCol w:w="478"/>
        <w:gridCol w:w="550"/>
        <w:gridCol w:w="452"/>
        <w:gridCol w:w="454"/>
        <w:gridCol w:w="506"/>
        <w:gridCol w:w="506"/>
        <w:gridCol w:w="507"/>
        <w:gridCol w:w="529"/>
        <w:gridCol w:w="487"/>
        <w:gridCol w:w="489"/>
        <w:gridCol w:w="416"/>
        <w:gridCol w:w="416"/>
        <w:gridCol w:w="418"/>
        <w:gridCol w:w="441"/>
        <w:gridCol w:w="441"/>
        <w:gridCol w:w="442"/>
        <w:gridCol w:w="392"/>
        <w:gridCol w:w="336"/>
        <w:gridCol w:w="484"/>
      </w:tblGrid>
      <w:tr>
        <w:trPr/>
        <w:tc>
          <w:tcPr>
            <w:tcW w:w="17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Year</w:t>
            </w:r>
          </w:p>
        </w:tc>
        <w:tc>
          <w:tcPr>
            <w:tcW w:w="145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Year-End Fair Value of Equity Awards Granted During Year That Remained Unvested as of Last Day of Year for Bonnie Anderson ($)</w:t>
            </w:r>
          </w:p>
        </w:tc>
        <w:tc>
          <w:tcPr>
            <w:tcW w:w="14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 in Fair Value from Last Day of Prior Year to Last Day of Year of Unvested Equity Awards for Bonnie Anderson ($)</w:t>
            </w:r>
          </w:p>
        </w:tc>
        <w:tc>
          <w:tcPr>
            <w:tcW w:w="15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Vesting-Date Fair Value of Equity Awards Granted During Year that Vested During Year for Bonnie Anderson ($)</w:t>
            </w:r>
          </w:p>
        </w:tc>
        <w:tc>
          <w:tcPr>
            <w:tcW w:w="150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 in Fair Value from Last Day of Prior Year to Vesting Date of Unvested Equity Awards that Vested During Year for Bonnie Anderson ($)</w:t>
            </w:r>
          </w:p>
        </w:tc>
        <w:tc>
          <w:tcPr>
            <w:tcW w:w="12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at Last Day of Prior Year of Equity Awards Forfeited During Year for Bonnie Anderson ($)</w:t>
            </w:r>
          </w:p>
        </w:tc>
        <w:tc>
          <w:tcPr>
            <w:tcW w:w="132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Value of Dividends or Other Earnings Paid on Equity Awards Not Otherwise Included for Bonnie Anderson ($)</w:t>
            </w:r>
          </w:p>
        </w:tc>
        <w:tc>
          <w:tcPr>
            <w:tcW w:w="1212"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 Inclusion of Equity Values for Bonnie Anderson ($)</w:t>
            </w:r>
          </w:p>
        </w:tc>
      </w:tr>
      <w:tr>
        <w:trPr/>
        <w:tc>
          <w:tcPr>
            <w:tcW w:w="4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145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1,596,229</w:t>
            </w:r>
          </w:p>
        </w:tc>
        <w:tc>
          <w:tcPr>
            <w:tcW w:w="14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(1,383,966)</w:t>
            </w:r>
          </w:p>
        </w:tc>
        <w:tc>
          <w:tcPr>
            <w:tcW w:w="15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50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1,459,018</w:t>
            </w:r>
          </w:p>
        </w:tc>
        <w:tc>
          <w:tcPr>
            <w:tcW w:w="12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32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212"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1,671,281</w:t>
            </w:r>
          </w:p>
        </w:tc>
      </w:tr>
      <w:tr>
        <w:trPr/>
        <w:tc>
          <w:tcPr>
            <w:tcW w:w="48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1458"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8,016,613</w:t>
            </w:r>
          </w:p>
        </w:tc>
        <w:tc>
          <w:tcPr>
            <w:tcW w:w="145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6,118,439</w:t>
            </w:r>
          </w:p>
        </w:tc>
        <w:tc>
          <w:tcPr>
            <w:tcW w:w="151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50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79,682</w:t>
            </w:r>
          </w:p>
        </w:tc>
        <w:tc>
          <w:tcPr>
            <w:tcW w:w="125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32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212"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14,214,734</w:t>
            </w:r>
          </w:p>
        </w:tc>
      </w:tr>
    </w:tbl>
    <w:tbl>
      <w:tblPr>
        <w:tblW w:w="10205" w:type="dxa"/>
        <w:jc w:val="left"/>
        <w:tblInd w:w="0" w:type="dxa"/>
        <w:tblCellMar>
          <w:top w:w="28" w:type="dxa"/>
          <w:left w:w="28" w:type="dxa"/>
          <w:bottom w:w="28" w:type="dxa"/>
          <w:right w:w="28" w:type="dxa"/>
        </w:tblCellMar>
      </w:tblPr>
      <w:tblGrid>
        <w:gridCol w:w="173"/>
        <w:gridCol w:w="152"/>
        <w:gridCol w:w="156"/>
        <w:gridCol w:w="506"/>
        <w:gridCol w:w="478"/>
        <w:gridCol w:w="480"/>
        <w:gridCol w:w="497"/>
        <w:gridCol w:w="455"/>
        <w:gridCol w:w="457"/>
        <w:gridCol w:w="510"/>
        <w:gridCol w:w="510"/>
        <w:gridCol w:w="511"/>
        <w:gridCol w:w="488"/>
        <w:gridCol w:w="488"/>
        <w:gridCol w:w="490"/>
        <w:gridCol w:w="519"/>
        <w:gridCol w:w="421"/>
        <w:gridCol w:w="423"/>
        <w:gridCol w:w="445"/>
        <w:gridCol w:w="445"/>
        <w:gridCol w:w="446"/>
        <w:gridCol w:w="354"/>
        <w:gridCol w:w="326"/>
        <w:gridCol w:w="475"/>
      </w:tblGrid>
      <w:tr>
        <w:trPr/>
        <w:tc>
          <w:tcPr>
            <w:tcW w:w="17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Year</w:t>
            </w:r>
          </w:p>
        </w:tc>
        <w:tc>
          <w:tcPr>
            <w:tcW w:w="146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Average Year-End Fair Value of Equity Awards Granted During Year That Remained Unvested as of Last Day of Year for Non-PEO NEOs ($)</w:t>
            </w:r>
          </w:p>
        </w:tc>
        <w:tc>
          <w:tcPr>
            <w:tcW w:w="14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Average Change in Fair Value from Last Day of Prior Year to Last Day of Year of Unvested Equity Awards for Non-PEO NEOs ($)</w:t>
            </w:r>
          </w:p>
        </w:tc>
        <w:tc>
          <w:tcPr>
            <w:tcW w:w="15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Average Vesting-Date Fair Value of Equity Awards Granted During Year that Vested During Year for Non-PEO NEOs ($)</w:t>
            </w:r>
          </w:p>
        </w:tc>
        <w:tc>
          <w:tcPr>
            <w:tcW w:w="146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Average Change in Fair Value from Last Day of Prior Year to Vesting Date of Unvested Equity Awards that Vested During Year for Non-PEO NEOs ($)</w:t>
            </w:r>
          </w:p>
        </w:tc>
        <w:tc>
          <w:tcPr>
            <w:tcW w:w="136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Average Fair Value at Last Day of Prior Year of Equity Awards Forfeited During Year for Non-PEO NEOs ($)</w:t>
            </w:r>
          </w:p>
        </w:tc>
        <w:tc>
          <w:tcPr>
            <w:tcW w:w="13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Average Value of Dividends or Other Earnings Paid on Equity Awards Not Otherwise Included for Non-PEO NEOs ($)</w:t>
            </w:r>
          </w:p>
        </w:tc>
        <w:tc>
          <w:tcPr>
            <w:tcW w:w="11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 Average Inclusion of Equity Values for Non-PEO NEOs ($)</w:t>
            </w:r>
          </w:p>
        </w:tc>
      </w:tr>
      <w:tr>
        <w:trPr/>
        <w:tc>
          <w:tcPr>
            <w:tcW w:w="4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146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1,618,867</w:t>
            </w:r>
          </w:p>
        </w:tc>
        <w:tc>
          <w:tcPr>
            <w:tcW w:w="14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(208,991)</w:t>
            </w:r>
          </w:p>
        </w:tc>
        <w:tc>
          <w:tcPr>
            <w:tcW w:w="15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46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(485,287)</w:t>
            </w:r>
          </w:p>
        </w:tc>
        <w:tc>
          <w:tcPr>
            <w:tcW w:w="136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(330,975)</w:t>
            </w:r>
          </w:p>
        </w:tc>
        <w:tc>
          <w:tcPr>
            <w:tcW w:w="13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1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593,614</w:t>
            </w:r>
          </w:p>
        </w:tc>
      </w:tr>
      <w:tr>
        <w:trPr/>
        <w:tc>
          <w:tcPr>
            <w:tcW w:w="4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146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911,561</w:t>
            </w:r>
          </w:p>
        </w:tc>
        <w:tc>
          <w:tcPr>
            <w:tcW w:w="14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(122,234)</w:t>
            </w:r>
          </w:p>
        </w:tc>
        <w:tc>
          <w:tcPr>
            <w:tcW w:w="15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46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201,918</w:t>
            </w:r>
          </w:p>
        </w:tc>
        <w:tc>
          <w:tcPr>
            <w:tcW w:w="136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(1,877,482)</w:t>
            </w:r>
          </w:p>
        </w:tc>
        <w:tc>
          <w:tcPr>
            <w:tcW w:w="13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11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(886,237)</w:t>
            </w:r>
          </w:p>
        </w:tc>
      </w:tr>
      <w:tr>
        <w:trPr/>
        <w:tc>
          <w:tcPr>
            <w:tcW w:w="48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146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3,385,743</w:t>
            </w:r>
          </w:p>
        </w:tc>
        <w:tc>
          <w:tcPr>
            <w:tcW w:w="140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1,733,077</w:t>
            </w:r>
          </w:p>
        </w:tc>
        <w:tc>
          <w:tcPr>
            <w:tcW w:w="153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46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48,665</w:t>
            </w:r>
          </w:p>
        </w:tc>
        <w:tc>
          <w:tcPr>
            <w:tcW w:w="136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33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15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5,167,485</w:t>
            </w:r>
          </w:p>
        </w:tc>
      </w:tr>
    </w:tbl>
    <w:p>
      <w:pPr>
        <w:pStyle w:val="TextBody"/>
        <w:spacing w:before="0" w:after="0"/>
        <w:rPr/>
      </w:pPr>
      <w:r>
        <w:rPr/>
      </w:r>
    </w:p>
    <w:p>
      <w:pPr>
        <w:pStyle w:val="TextBody"/>
        <w:spacing w:lineRule="auto" w:line="288" w:before="120" w:after="12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4.    The Peer Group TSR set forth in this table utilizes the NASDAQ Biotechnology Index, which we also utilize in the stock performance graph required by Item 201(e) of Regulation S-K included in our Annual Report for the year ended December 31, 2022. The comparison assumes $100 was invested for the period starting December 31, 2019, through the end of the listed year in the Company and in the NASDAQ Biotechnology Index, respectively. Historical stock performance is not necessarily indicative of future stock performance.</w:t>
      </w:r>
    </w:p>
    <w:p>
      <w:pPr>
        <w:pStyle w:val="TextBody"/>
        <w:spacing w:lineRule="auto" w:line="288" w:before="120" w:after="12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5.    We determined Total Revenue to be the most important financial performance measure used to link Company performance to Compensation Actually Paid to our PEOs and Non-PEO NEOs in 2022. This performance measure may not have been the most important financial performance measure for years 2021 and 2020 and we may determine a different financial performance measure to be the most important financial performance measure in future years.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Relationship Between Compensation Actually Paid and Performance</w:t>
      </w:r>
    </w:p>
    <w:p>
      <w:pPr>
        <w:pStyle w:val="TextBody"/>
        <w:spacing w:before="0" w:after="0"/>
        <w:jc w:val="both"/>
        <w:rPr/>
      </w:pPr>
      <w:r>
        <w:rPr/>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charts show the relationship between Compensation Actually Paid, Total Shareholder Return, total revenue and net loss for 2020, 2021 and 2022. </w:t>
      </w:r>
    </w:p>
    <w:p>
      <w:pPr>
        <w:pStyle w:val="TextBody"/>
        <w:spacing w:before="0" w:after="0"/>
        <w:ind w:left="0" w:right="0" w:firstLine="495"/>
        <w:jc w:val="both"/>
        <w:rPr/>
      </w:pPr>
      <w:r>
        <w:rPr/>
      </w:r>
    </w:p>
    <w:p>
      <w:pPr>
        <w:pStyle w:val="TextBody"/>
        <w:spacing w:before="0" w:after="0"/>
        <w:jc w:val="center"/>
        <w:rPr/>
      </w:pPr>
      <w:r>
        <w:rPr/>
        <w:drawing>
          <wp:inline distT="0" distB="63500" distL="0" distR="0">
            <wp:extent cx="6515100" cy="3705225"/>
            <wp:effectExtent l="0" t="0" r="0" b="0"/>
            <wp:docPr id="7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2" descr=""/>
                    <pic:cNvPicPr>
                      <a:picLocks noChangeAspect="1" noChangeArrowheads="1"/>
                    </pic:cNvPicPr>
                  </pic:nvPicPr>
                  <pic:blipFill>
                    <a:blip r:embed="rId13"/>
                    <a:stretch>
                      <a:fillRect/>
                    </a:stretch>
                  </pic:blipFill>
                  <pic:spPr bwMode="auto">
                    <a:xfrm>
                      <a:off x="0" y="0"/>
                      <a:ext cx="6515100" cy="3705225"/>
                    </a:xfrm>
                    <a:prstGeom prst="rect">
                      <a:avLst/>
                    </a:prstGeom>
                  </pic:spPr>
                </pic:pic>
              </a:graphicData>
            </a:graphic>
          </wp:inline>
        </w:drawing>
      </w:r>
    </w:p>
    <w:p>
      <w:pPr>
        <w:pStyle w:val="TextBody"/>
        <w:spacing w:before="0" w:after="0"/>
        <w:ind w:left="0" w:right="0" w:firstLine="495"/>
        <w:jc w:val="both"/>
        <w:rPr/>
      </w:pPr>
      <w:r>
        <w:rPr/>
      </w:r>
    </w:p>
    <w:p>
      <w:pPr>
        <w:pStyle w:val="TextBody"/>
        <w:spacing w:before="0" w:after="0"/>
        <w:jc w:val="center"/>
        <w:rPr/>
      </w:pPr>
      <w:r>
        <w:rPr/>
        <w:drawing>
          <wp:inline distT="0" distB="63500" distL="0" distR="0">
            <wp:extent cx="6515100" cy="3705225"/>
            <wp:effectExtent l="0" t="0" r="0" b="0"/>
            <wp:docPr id="7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3" descr=""/>
                    <pic:cNvPicPr>
                      <a:picLocks noChangeAspect="1" noChangeArrowheads="1"/>
                    </pic:cNvPicPr>
                  </pic:nvPicPr>
                  <pic:blipFill>
                    <a:blip r:embed="rId14"/>
                    <a:stretch>
                      <a:fillRect/>
                    </a:stretch>
                  </pic:blipFill>
                  <pic:spPr bwMode="auto">
                    <a:xfrm>
                      <a:off x="0" y="0"/>
                      <a:ext cx="6515100" cy="3705225"/>
                    </a:xfrm>
                    <a:prstGeom prst="rect">
                      <a:avLst/>
                    </a:prstGeom>
                  </pic:spPr>
                </pic:pic>
              </a:graphicData>
            </a:graphic>
          </wp:inline>
        </w:drawing>
      </w:r>
    </w:p>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6"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rPr/>
      </w:pPr>
      <w:r>
        <w:rPr/>
      </w:r>
    </w:p>
    <w:p>
      <w:pPr>
        <w:pStyle w:val="TextBody"/>
        <w:spacing w:lineRule="auto" w:line="288" w:before="0" w:after="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Tabular List of Most Important Financial and Non-Financial Performance Measures</w:t>
      </w:r>
    </w:p>
    <w:p>
      <w:pPr>
        <w:pStyle w:val="TextBody"/>
        <w:spacing w:before="0" w:after="0"/>
        <w:ind w:left="0" w:right="0" w:firstLine="720"/>
        <w:jc w:val="both"/>
        <w:rPr/>
      </w:pPr>
      <w:r>
        <w:rPr/>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financial and non-financial performance measures that the Company considers to have been the most important in linking Compensation Actually Paid to our PEO and other NEOs for 2022 to Company performance. The measures in this table are not ranked.</w:t>
      </w:r>
    </w:p>
    <w:tbl>
      <w:tblPr>
        <w:tblW w:w="2939" w:type="dxa"/>
        <w:jc w:val="center"/>
        <w:tblInd w:w="0" w:type="dxa"/>
        <w:tblCellMar>
          <w:top w:w="28" w:type="dxa"/>
          <w:left w:w="28" w:type="dxa"/>
          <w:bottom w:w="28" w:type="dxa"/>
          <w:right w:w="28" w:type="dxa"/>
        </w:tblCellMar>
      </w:tblPr>
      <w:tblGrid>
        <w:gridCol w:w="940"/>
        <w:gridCol w:w="825"/>
        <w:gridCol w:w="1174"/>
      </w:tblGrid>
      <w:tr>
        <w:trPr/>
        <w:tc>
          <w:tcPr>
            <w:tcW w:w="940"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r>
      <w:tr>
        <w:trPr/>
        <w:tc>
          <w:tcPr>
            <w:tcW w:w="2939"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Ending Cash Balance</w:t>
            </w:r>
          </w:p>
        </w:tc>
      </w:tr>
      <w:tr>
        <w:trPr/>
        <w:tc>
          <w:tcPr>
            <w:tcW w:w="2939"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Margin on Testing Revenue</w:t>
            </w:r>
          </w:p>
        </w:tc>
      </w:tr>
      <w:tr>
        <w:trPr/>
        <w:tc>
          <w:tcPr>
            <w:tcW w:w="2939" w:type="dxa"/>
            <w:gridSpan w:val="3"/>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CEO Pay Ratio</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rules adopted pursuant to the Dodd-Frank Act, we are required to calculate and disclose the total compensation paid to our median paid employee, as well as the ratio of the total compensation paid to the median employee as compared to the total compensation paid to our Chief Executive Officer (the “CEO Pay Ratio”). There have been no changes in our employee population or employee compensation arrangements that we believe would significantly impact the calculations of this pay ratio and require us to identify a new median employee. However, the median employee used in 2021 is no longer employed with us, and consistent with SEC rules, for 2022, we chose to use a substitute employee who had substantially similar compensation to that of the initial median employee and who was viewed as representative of our median employee.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paragraphs that follow describe our methodology and the resulting CEO Pay Ratio. </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Measurement Date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median employee using our employee population on December 31, 2021 (including all employees, whether employed on a full-time, part-time, seasonal or temporary basis). We did not include any contractors or other non-employee workers in our employee population.</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Consistently Applied Compensation Measure (“CACM”)</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relevant rules, we are required to identify the median employee by use of a “consistently applied compensation measure,” or CACM. We chose a CACM that closely approximates the annual target total direct compensation of our employees. Specifically, we identified the median employee by aggregating, for each employee: a) annual base pay for 2021, b) annual target cash incentive opportunity for 2021, and c) the grant date fair value for equity awards granted in 2021. Cash compensation for new hire employees that commenced employment in 2021 was annualized to reflect a full year. </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Methodology and Pay Ratio</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2022, the determination date, our principal executive officer was Mr. Marc Stapley, our Chief Executive Officer. For 2022, the total annual compensation for Mr. Stapley was $4,935,422. The total annual compensation of our median employee in 2022 was $129,449. The ratio of these two amounts is approximately 38:1.</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Limitations on Liability and Indemnification Matters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contains provisions that eliminate the personal liability of our directors to the corporation or our stockholders for monetary damages for breach of fiduciary duty to the fullest extent permitted by the Delaware General Corporation Law (“DGCL”). Consequently, our directors are not personally liable to us or our stockholders for monetary damages for any breach of fiduciary duties as directors, except liability for:</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7"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any breach of the director’s duty of loyalty to us or our stockholders;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any act or omission not in good faith or that involves intentional misconduct or a knowing violation of law;</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unlawful payments of dividends or unlawful stock repurchases or redemptions as provided in Section 174 of the DGCL; or</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any transaction from which the director derived an improper personal benefit.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if the Officer Exculpation Amendment described in Proposal No. 6 is adopted by our stockholders (and is not abandoned by our Board of Directors prior to the effectiveness thereof), our restated certificate of incorporation will contain provisions that eliminate the personal liability of certain of our officers to the corporation or our stockholders for monetary damages for breach of fiduciary duty to the fullest extent permitted by the DGCL. Consequently, assuming the Officer Exculpation Amendment becomes effective, certain of our officers will not be personally liable to us or our stockholders for monetary damages for any breach of fiduciary duties as officers, except liability for:</w:t>
      </w:r>
    </w:p>
    <w:p>
      <w:pPr>
        <w:pStyle w:val="TextBody"/>
        <w:spacing w:before="0" w:after="0"/>
        <w:ind w:left="0" w:right="0" w:firstLine="720"/>
        <w:jc w:val="both"/>
        <w:rPr/>
      </w:pPr>
      <w:r>
        <w:rPr/>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any breach of the officer’s duty of loyalty to us or our stockholders;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any act or omission not in good faith or that involves intentional misconduct or a knowing violation of law;</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any transaction from which the officer derived an improper personal benefit; or</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any claim brought by or in the right of the corporation, such as a derivative claim.</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officers whose personal liability would be eliminated as described above consist of (i) a corporation’s president, chief executive officer, chief operating officer, chief financial officer, chief legal officer, controller, treasurer or chief accounting officer; (ii) an individual identified in public filings as one of the most highly compensated officers of the corporation; and (iii) an individual who, by written agreement with the corporation, has consented to be identified as an officer for purposes of Delaware’s long-arm jurisdiction statute.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and our amended and restated bylaws require us to indemnify our directors and officers to the maximum extent not prohibited by the DGCL and allow us to indemnify other employees and agents as authorized by the Board of Directors or by the action of a committee of the Board of Directors or designated officers established by or designated in resolutions approved by the Board of Directors. Subject to certain limitations, our amended and restated bylaws also require us to advance expenses incurred by our directors and officers for the defense of any action for which indemnification is required or permitted.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and intend to continue to enter, into separate indemnification agreements with our directors, officers and certain other employees, in addition to the indemnification provided for in our restated certificate of incorporation and amended and restated bylaws. These agreements, among other things, require us to indemnify our directors, officers and certain other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certain other employees for the defense of any action for which indemnification is required or permitted.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provisions of our restated certificate of incorporation, amended and restated bylaws and indemnification agreements are necessary to attract and retain qualified directors, officers and employees. We also maintain directors’ and officers’ liability insurance.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limitation of liability and indemnification provisions in our restated certificate of incorporation and amended and restated bylaws or in these indemnification agreements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8"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Rule 10b5-1 Sales Plans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directors and executive officers have adopted written plans, known as Rule 10b5-1 plans, in which they have contracted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or terminate the plan in specified circumstances. We recently amended our Insider Trading Policy to reflect the SEC’s new rules regarding Rule 10b5-1 plans. </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Clawback Policy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adopt a general compensation recovery policy (or modify our existing Clawback Policy) covering our short-term and long-term incentive award plans and arrangements once The Nasdaq Stock Market LLC has adopted an SEC-approved listing standard that complies with Exchange Act Rule 10D-1.</w:t>
      </w:r>
    </w:p>
    <w:p>
      <w:pPr>
        <w:pStyle w:val="TextBody"/>
        <w:spacing w:before="0" w:after="0"/>
        <w:ind w:left="0" w:right="0" w:firstLine="72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spacing w:before="0" w:after="0"/>
        <w:ind w:left="0" w:right="0" w:firstLine="54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discussion under the section titled “Proposal No. 4 Approval of the Veracyte, Inc. 2023 Equity Incentive Plan —Equity Compensation Plan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REPORT OF THE AUDIT COMMITTEE OF THE BOARD OF DIRECTORS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acts pursuant to a written charter that was adopted by the Board of Directors. Each member of the audit committee qualifies as “independent” under the current listing requirements of The Nasdaq Stock Market.</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performing its functions, the audit committee acts in an oversight capacity and necessarily relies on the work and assurances of Veracyte’s management, which has the primary responsibility for financial statements and reports, and of the independent registered public accounting firm, who, in their report, express an opinion on the conformity of Veracyte’s annual financial statements with accounting principles generally accepted in the United States. It is not the duty of the audit committee to plan or conduct audits, to determine that Veracyte’s financial statements are complete and accurate and are in accordance with generally accepted accounting principles, or to assess or determine the effectiveness of Veracyte’s internal control over financial reporting.</w:t>
      </w:r>
    </w:p>
    <w:p>
      <w:pPr>
        <w:pStyle w:val="TextBody"/>
        <w:spacing w:lineRule="auto" w:line="288" w:before="0" w:after="240"/>
        <w:ind w:left="0" w:right="0" w:firstLine="720"/>
        <w:jc w:val="both"/>
        <w:rPr/>
      </w:pPr>
      <w:r>
        <w:rPr>
          <w:rFonts w:ascii="Times New Roman;sans-serif" w:hAnsi="Times New Roman;sans-serif"/>
          <w:b w:val="false"/>
          <w:color w:val="000000"/>
          <w:sz w:val="20"/>
        </w:rPr>
        <w:t>Within this framework, the audit committee has reviewed and discussed with management our audited financial statements as of and for the year ended December 31, 2022. The audit committee has also discussed Auditing Standard No. 1301 adopted by the Public Company Accounting Oversight Board (United States) regarding “</w:t>
      </w:r>
      <w:r>
        <w:rPr>
          <w:rFonts w:ascii="Times New Roman;sans-serif" w:hAnsi="Times New Roman;sans-serif"/>
          <w:b w:val="false"/>
          <w:i/>
          <w:color w:val="000000"/>
          <w:sz w:val="20"/>
        </w:rPr>
        <w:t>Communications with Audit Committees</w:t>
      </w:r>
      <w:r>
        <w:rPr>
          <w:rFonts w:ascii="Times New Roman;sans-serif" w:hAnsi="Times New Roman;sans-serif"/>
          <w:b w:val="false"/>
          <w:color w:val="000000"/>
          <w:sz w:val="20"/>
        </w:rPr>
        <w:t>.” In addition, 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pStyle w:val="TextBody"/>
        <w:spacing w:lineRule="auto" w:line="288" w:before="0" w:after="3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these reviews and discussions, the audit committee recommended to the Board of Directors that the audited financial statements be included in our Annual Report on Form 10-K for the year ended December 31, 2022.</w:t>
      </w:r>
    </w:p>
    <w:tbl>
      <w:tblPr>
        <w:tblW w:w="1859" w:type="dxa"/>
        <w:jc w:val="left"/>
        <w:tblInd w:w="0" w:type="dxa"/>
        <w:tblCellMar>
          <w:top w:w="28" w:type="dxa"/>
          <w:left w:w="28" w:type="dxa"/>
          <w:bottom w:w="28" w:type="dxa"/>
          <w:right w:w="28" w:type="dxa"/>
        </w:tblCellMar>
      </w:tblPr>
      <w:tblGrid>
        <w:gridCol w:w="595"/>
        <w:gridCol w:w="522"/>
        <w:gridCol w:w="742"/>
      </w:tblGrid>
      <w:tr>
        <w:trPr/>
        <w:tc>
          <w:tcPr>
            <w:tcW w:w="595"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Audit Committee</w:t>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Karin Eastham</w:t>
            </w:r>
          </w:p>
        </w:tc>
      </w:tr>
      <w:tr>
        <w:trPr/>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Jens Holstein (Chair)</w:t>
            </w:r>
          </w:p>
        </w:tc>
      </w:tr>
      <w:tr>
        <w:trPr/>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Evan Jones</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9"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rPr/>
      </w:pPr>
      <w:r>
        <w:rPr/>
      </w:r>
    </w:p>
    <w:p>
      <w:pPr>
        <w:pStyle w:val="TextBody"/>
        <w:spacing w:lineRule="auto" w:line="417" w:before="0" w:after="240"/>
        <w:jc w:val="center"/>
        <w:rPr>
          <w:rFonts w:ascii="Times New Roman;sans-serif" w:hAnsi="Times New Roman;sans-serif"/>
          <w:b/>
          <w:color w:val="000000"/>
          <w:sz w:val="20"/>
        </w:rPr>
      </w:pPr>
      <w:r>
        <w:rPr>
          <w:rFonts w:ascii="Times New Roman;sans-serif" w:hAnsi="Times New Roman;sans-serif"/>
          <w:b/>
          <w:color w:val="000000"/>
          <w:sz w:val="20"/>
        </w:rPr>
        <w:t>CERTAIN RELATIONSHIPS AND RELATED PARTY TRANSACTIONS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compensation arrangements of our directors and named executive officers discussed elsewhere in this Proxy Statement, the following is a description of transactions since January 1, 2022, to which we have been or will be a party, and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pStyle w:val="TextBody"/>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Indemnification Agreements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indemnification agreements with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Related Party Transaction Approval</w:t>
      </w:r>
    </w:p>
    <w:p>
      <w:pPr>
        <w:pStyle w:val="TextBody"/>
        <w:spacing w:before="0" w:after="0"/>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 formal policy that our executive officers, directors, director nominees, holders of more than 5% of any class of our voting securities, and any member of the immediate family of and any entity affiliated with any of the foregoing persons, are not permitted to enter into a transaction in which we are or will be a party and in which the amount involved exceeds $120,000 without the prior consent of our audit committee. Any request for us to enter into such a transaction must first be presented to our audit committee, or if a member of our audit committee is involved in the transaction, to the disinterested and independent members of our Board of Directors for review, consideration and approval. In approving or rejecting any such proposal, the disinterested and independent members of our Board of Directors will consider all relevant facts and circumstances reasonably available to them.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0" w:after="240"/>
        <w:jc w:val="center"/>
        <w:rPr>
          <w:rFonts w:ascii="Times New Roman;sans-serif" w:hAnsi="Times New Roman;sans-serif"/>
          <w:b/>
          <w:color w:val="000000"/>
          <w:sz w:val="20"/>
        </w:rPr>
      </w:pPr>
      <w:r>
        <w:rPr>
          <w:rFonts w:ascii="Times New Roman;sans-serif" w:hAnsi="Times New Roman;sans-serif"/>
          <w:b/>
          <w:color w:val="000000"/>
          <w:sz w:val="20"/>
        </w:rPr>
        <w:t>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Stockholder Proposals for the 2024 Annual Meeting</w:t>
      </w:r>
    </w:p>
    <w:p>
      <w:pPr>
        <w:pStyle w:val="TextBody"/>
        <w:spacing w:before="0" w:after="0"/>
        <w:ind w:left="0" w:right="0" w:firstLine="720"/>
        <w:jc w:val="center"/>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stockholder wishes to present a proposal to be considered for inclusion in our proxy statement for the 2024 Annual Meeting of Stockholders, the proponent and the proposal must comply with the proxy proposal submission rules of the SEC as set forth in Rule 14a-8. One of the requirements is that the proposal be received by our Secretary no later than [__]. Proposals we receive after that date will not be included in the proxy statement. We urge stockholders to submit proposals by Certified Mail - Return Receipt Requested.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stockholder proposal not included in our proxy statement for the 2024 Annual Meeting will not be eligible for presentation at the meeting unless the stockholder gives timely notice of the proposal in writing to our Secretary at our principal executive offices and otherwise complies with the provisions of our Bylaws. To be timely, our Bylaws provide that we must have received the stockholder’s notice no earlier than 5:00 p.m. Eastern Time on February 9, 2024 and no later than 5:00 p.m. Eastern Time on March 10, 2024, or no earlier than 5:00 p.m. Eastern Time on the 120th day nor later than 5:00 p.m. Eastern Time on the 90th day prior to the first anniversary date of the preceding year’s annual meeting; however, if we have not held an annual meeting in the previous year or the date of the annual meeting is called for a date that is more than 30 days before or more than 60 days after the first anniversary date of the preceding year’s annual meeting, we must have received the stockholder’s notice not later than 5:00 p.m. Eastern Time on the later of the 90th day prior to the date of the scheduled annual meeting or the 10th day following the earlier of the day on which notice of the annual meeting date was mailed or the day of the first public announcement of the annual meeting date. An adjournment or postponement of an annual meeting will not commence a new time period or extend any time period for the giving of the stockholder’s notice described above. The stockholder’s notice, including notices with respect to director nominations made in accordance with the SEC’s universal proxy rules, must set forth, as to each proposed matter, the information required by our Bylaws and must be made in the time periods set forth above. The presiding officer of the meeting may refuse to acknowledge any matter not made in compliance with the foregoing procedure.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0" w:after="0"/>
        <w:rPr>
          <w:color w:val="000000"/>
        </w:rPr>
      </w:pPr>
      <w:r>
        <w:rPr>
          <w:color w:val="000000"/>
        </w:rPr>
        <w:t>“</w:t>
      </w:r>
      <w:r>
        <w:rPr>
          <w:rFonts w:ascii="Times New Roman;sans-serif" w:hAnsi="Times New Roman;sans-serif"/>
          <w:b/>
          <w:color w:val="000000"/>
          <w:sz w:val="20"/>
        </w:rPr>
        <w:t>Householding” - Stockholders Sharing the Same Last Name and Address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 has adopted rules that permit companies and intermediaries (such as brokers) to implement a delivery procedure called “householding.” Under this procedure, multiple stockholders who reside at the same address may receive a single copy of our annual report and proxy materials, including the Notice of Internet Availability, unless the affected </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0"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 has provided contrary instructions. This procedure reduces printing costs and postage fees, and helps protect the environment as well.</w:t>
      </w:r>
    </w:p>
    <w:p>
      <w:pPr>
        <w:pStyle w:val="TextBody"/>
        <w:spacing w:before="0" w:after="0"/>
        <w:ind w:left="0" w:right="0" w:firstLine="36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year, a number of brokers with account holders who are our stockholders will be “householding” our annual report and proxy materials, including the Notice of Internet Availability. A single Notice of Internet Availability and, if applicable, a single set of annual report and other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Broadridge by calling (866) 540-7095 or writing to Broadridge, Householding Department, 51 Mercedes Way, Edgewood, New York, 11717.</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OTHER MATTERS AND AVAILABLE INFORMATION</w:t>
      </w:r>
    </w:p>
    <w:p>
      <w:pPr>
        <w:pStyle w:val="TextBody"/>
        <w:spacing w:lineRule="auto" w:line="417" w:before="0" w:after="0"/>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for the year ended December 31, 2022 are included in our Annual Report, which we provide to our stockholders at the same time as this Proxy Statement. We will furnish without charge, upon written request of any person who was a stockholder or beneficial owner of our common stock on the close of business on the Record Date, copies of exhibits to our Annual Report, but will charge a reasonable per page fee. Written requests should be sent to: Investor Relations, Veracyte, Inc., 6000 Shoreline Court, Suite 300, South San Francisco, California 94080. The Annual Report is also available under “SEC Filings” in the “Investors” section of our website at https://investor.veracyte.com/sec-filings.</w:t>
      </w:r>
    </w:p>
    <w:p>
      <w:pPr>
        <w:pStyle w:val="TextBody"/>
        <w:spacing w:before="0" w:after="0"/>
        <w:ind w:left="0" w:right="0" w:firstLine="720"/>
        <w:jc w:val="both"/>
        <w:rPr/>
      </w:pPr>
      <w:r>
        <w:rPr/>
      </w:r>
    </w:p>
    <w:p>
      <w:pPr>
        <w:pStyle w:val="TextBody"/>
        <w:spacing w:lineRule="auto" w:line="417" w:before="0" w:after="0"/>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does not know of any other business that will be presented at the Annual Meeting. If any other business is properly brought before the Annual Meeting, the proxy holders will vote in accordance with their judgment unless you direct them otherwise. Whether or not you intend to attend the Annual Meeting, we urge you to vote by telephone, the internet, or by signing and mailing the enclosed proxy or voting instruction form promptly.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1"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4"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APPENDIX A</w:t>
      </w:r>
    </w:p>
    <w:p>
      <w:pPr>
        <w:pStyle w:val="TextBody"/>
        <w:spacing w:before="0" w:after="120"/>
        <w:jc w:val="center"/>
        <w:rPr/>
      </w:pPr>
      <w:r>
        <w:rPr/>
      </w:r>
    </w:p>
    <w:p>
      <w:pPr>
        <w:pStyle w:val="TextBody"/>
        <w:spacing w:lineRule="auto" w:line="264" w:before="0" w:after="12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2023 EQUITY INCENTIVE PLAN</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(ADOPTED BY THE BOARD OF DIRECTORS ON APRIL 12, 2023)</w:t>
      </w:r>
    </w:p>
    <w:p>
      <w:pPr>
        <w:pStyle w:val="TextBody"/>
        <w:spacing w:lineRule="auto" w:line="288" w:before="0" w:after="120"/>
        <w:jc w:val="both"/>
        <w:rPr/>
      </w:pPr>
      <w:r>
        <w:rPr>
          <w:rFonts w:ascii="Times New Roman;sans-serif" w:hAnsi="Times New Roman;sans-serif"/>
          <w:b/>
          <w:color w:val="000000"/>
          <w:sz w:val="20"/>
        </w:rPr>
        <w:t>1.    </w:t>
      </w:r>
      <w:r>
        <w:rPr>
          <w:rFonts w:ascii="Times New Roman;sans-serif" w:hAnsi="Times New Roman;sans-serif"/>
          <w:b/>
          <w:color w:val="000000"/>
          <w:sz w:val="20"/>
          <w:u w:val="single"/>
        </w:rPr>
        <w:t>PURPOSE</w:t>
      </w:r>
      <w:r>
        <w:rPr>
          <w:rFonts w:ascii="Times New Roman;sans-serif" w:hAnsi="Times New Roman;sans-serif"/>
          <w:b w:val="false"/>
          <w:color w:val="000000"/>
          <w:sz w:val="20"/>
        </w:rPr>
        <w:t xml:space="preserve">. The purpose of this Plan is to provide incentives to attract, retain, and motivate eligible persons whose present and potential 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w:t>
      </w:r>
      <w:r>
        <w:rPr>
          <w:rFonts w:ascii="Times New Roman;sans-serif" w:hAnsi="Times New Roman;sans-serif"/>
          <w:b w:val="false"/>
          <w:color w:val="000000"/>
          <w:sz w:val="20"/>
          <w:u w:val="single"/>
        </w:rPr>
        <w:t>Section 28</w:t>
      </w:r>
      <w:r>
        <w:rPr>
          <w:rFonts w:ascii="Times New Roman;sans-serif" w:hAnsi="Times New Roman;sans-serif"/>
          <w:b w:val="false"/>
          <w:color w:val="000000"/>
          <w:sz w:val="20"/>
        </w:rPr>
        <w:t>.</w:t>
      </w:r>
    </w:p>
    <w:p>
      <w:pPr>
        <w:pStyle w:val="TextBody"/>
        <w:spacing w:lineRule="auto" w:line="288" w:before="0" w:after="120"/>
        <w:jc w:val="both"/>
        <w:rPr/>
      </w:pPr>
      <w:r>
        <w:rPr>
          <w:rFonts w:ascii="Times New Roman;sans-serif" w:hAnsi="Times New Roman;sans-serif"/>
          <w:b/>
          <w:color w:val="000000"/>
          <w:sz w:val="20"/>
        </w:rPr>
        <w:t>2.    </w:t>
      </w:r>
      <w:r>
        <w:rPr>
          <w:rFonts w:ascii="Times New Roman;sans-serif" w:hAnsi="Times New Roman;sans-serif"/>
          <w:b/>
          <w:color w:val="000000"/>
          <w:sz w:val="20"/>
          <w:u w:val="single"/>
        </w:rPr>
        <w:t>SHARES SUBJECT TO THIS PLAN</w:t>
      </w:r>
    </w:p>
    <w:p>
      <w:pPr>
        <w:pStyle w:val="TextBody"/>
        <w:spacing w:lineRule="auto" w:line="288" w:before="0" w:after="120"/>
        <w:ind w:left="0" w:right="0" w:firstLine="720"/>
        <w:jc w:val="both"/>
        <w:rPr/>
      </w:pPr>
      <w:r>
        <w:rPr>
          <w:rFonts w:ascii="Times New Roman;sans-serif" w:hAnsi="Times New Roman;sans-serif"/>
          <w:b/>
          <w:color w:val="000000"/>
          <w:sz w:val="20"/>
        </w:rPr>
        <w:t>2.1.        </w:t>
      </w:r>
      <w:r>
        <w:rPr>
          <w:rFonts w:ascii="Times New Roman;sans-serif" w:hAnsi="Times New Roman;sans-serif"/>
          <w:b w:val="false"/>
          <w:color w:val="000000"/>
          <w:sz w:val="20"/>
          <w:u w:val="single"/>
        </w:rPr>
        <w:t>Number of Shares Available</w:t>
      </w:r>
      <w:r>
        <w:rPr>
          <w:rFonts w:ascii="Times New Roman;sans-serif" w:hAnsi="Times New Roman;sans-serif"/>
          <w:b w:val="false"/>
          <w:color w:val="000000"/>
          <w:sz w:val="20"/>
        </w:rPr>
        <w:t xml:space="preserve">. Subject to </w:t>
      </w:r>
      <w:r>
        <w:rPr>
          <w:rFonts w:ascii="Times New Roman;sans-serif" w:hAnsi="Times New Roman;sans-serif"/>
          <w:b w:val="false"/>
          <w:color w:val="000000"/>
          <w:sz w:val="20"/>
          <w:u w:val="single"/>
        </w:rPr>
        <w:t>Sections 2.5 and 21</w:t>
      </w:r>
      <w:r>
        <w:rPr>
          <w:color w:val="000000"/>
        </w:rPr>
        <w:t xml:space="preserve"> </w:t>
      </w:r>
      <w:r>
        <w:rPr>
          <w:rFonts w:ascii="Times New Roman;sans-serif" w:hAnsi="Times New Roman;sans-serif"/>
          <w:b w:val="false"/>
          <w:color w:val="000000"/>
          <w:sz w:val="20"/>
        </w:rPr>
        <w:t xml:space="preserve">and any other applicable provisions hereof, the total number of Shares reserved and available for grant and issuance pursuant to this Plan is the number of reserved Shares not issued or subject to outstanding grants under the Prior Plan on the Effective Date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(a) Shares that are subject to awards granted under the Prior Plan that cease to be subject to such awards by forfeiture or otherwise after the Effective Date, (b) Shares issued under the Prior Plan, including Shares issued pursuant to the exercise of stock options, that are forfeited after the Effective Date, (c) Shares issued under the Prior Plan that are repurchased by the Company at the original issue price after the Effective Date, (d) Shares that are subject to awards granted under the Prior Plan that are settled in cash after the Effective Date and (e) Shares that are subject to awards under the Prior Plan that are used to pay the Exercise Price of an award or withheld to satisfy the tax withholding obligations related to an award after the Effective Date. As of the Effective Date, no further awards can be granted under the Prior Plan.</w:t>
      </w:r>
    </w:p>
    <w:p>
      <w:pPr>
        <w:pStyle w:val="TextBody"/>
        <w:spacing w:lineRule="auto" w:line="288" w:before="0" w:after="120"/>
        <w:ind w:left="0" w:right="0" w:firstLine="720"/>
        <w:jc w:val="both"/>
        <w:rPr/>
      </w:pPr>
      <w:r>
        <w:rPr>
          <w:rFonts w:ascii="Times New Roman;sans-serif" w:hAnsi="Times New Roman;sans-serif"/>
          <w:b/>
          <w:color w:val="000000"/>
          <w:sz w:val="20"/>
        </w:rPr>
        <w:t>2.2.    </w:t>
      </w:r>
      <w:r>
        <w:rPr>
          <w:rFonts w:ascii="Times New Roman;sans-serif" w:hAnsi="Times New Roman;sans-serif"/>
          <w:b w:val="false"/>
          <w:color w:val="000000"/>
          <w:sz w:val="20"/>
          <w:u w:val="single"/>
        </w:rPr>
        <w:t>Lapsed, Returned Awards</w:t>
      </w:r>
      <w:r>
        <w:rPr>
          <w:rFonts w:ascii="Times New Roman;sans-serif" w:hAnsi="Times New Roman;sans-serif"/>
          <w:b w:val="false"/>
          <w:color w:val="000000"/>
          <w:sz w:val="20"/>
        </w:rPr>
        <w:t xml:space="preserve">. Shares subject to Awards, and Shares issued under this Plan under any Award, will again be available for 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(d) are surrendered pursuant to an Exchange Program, (e) are subject to Awards granted under this Plan that are settled in cash and (f) are subject to Awards granted under this Plan and are used to pay the Exercise Price of an Award or withheld to satisfy the tax withholding obligations related to an Award. For the avoidance of doubt, Shares that otherwise become available for grant and issuance because of the provisions of this </w:t>
      </w:r>
      <w:r>
        <w:rPr>
          <w:rFonts w:ascii="Times New Roman;sans-serif" w:hAnsi="Times New Roman;sans-serif"/>
          <w:b w:val="false"/>
          <w:color w:val="000000"/>
          <w:sz w:val="20"/>
          <w:u w:val="single"/>
        </w:rPr>
        <w:t>Section 2.2</w:t>
      </w:r>
      <w:r>
        <w:rPr>
          <w:color w:val="000000"/>
        </w:rPr>
        <w:t xml:space="preserve"> </w:t>
      </w:r>
      <w:r>
        <w:rPr>
          <w:rFonts w:ascii="Times New Roman;sans-serif" w:hAnsi="Times New Roman;sans-serif"/>
          <w:b w:val="false"/>
          <w:color w:val="000000"/>
          <w:sz w:val="20"/>
        </w:rPr>
        <w:t xml:space="preserve">will not include Shares subject to Awards that initially became available because of the substitution clause in </w:t>
      </w:r>
      <w:r>
        <w:rPr>
          <w:rFonts w:ascii="Times New Roman;sans-serif" w:hAnsi="Times New Roman;sans-serif"/>
          <w:b w:val="false"/>
          <w:color w:val="000000"/>
          <w:sz w:val="20"/>
          <w:u w:val="single"/>
        </w:rPr>
        <w:t>Section 21.2</w:t>
      </w:r>
      <w:r>
        <w:rPr>
          <w:color w:val="000000"/>
        </w:rPr>
        <w:t xml:space="preserve"> </w:t>
      </w:r>
      <w:r>
        <w:rPr>
          <w:rFonts w:ascii="Times New Roman;sans-serif" w:hAnsi="Times New Roman;sans-serif"/>
          <w:b w:val="false"/>
          <w:color w:val="000000"/>
          <w:sz w:val="20"/>
        </w:rPr>
        <w:t xml:space="preserve">hereof. </w:t>
      </w:r>
    </w:p>
    <w:p>
      <w:pPr>
        <w:pStyle w:val="TextBody"/>
        <w:spacing w:lineRule="auto" w:line="288" w:before="0" w:after="120"/>
        <w:ind w:left="0" w:right="0" w:firstLine="720"/>
        <w:jc w:val="both"/>
        <w:rPr/>
      </w:pPr>
      <w:r>
        <w:rPr>
          <w:rFonts w:ascii="Times New Roman;sans-serif" w:hAnsi="Times New Roman;sans-serif"/>
          <w:b/>
          <w:color w:val="000000"/>
          <w:sz w:val="20"/>
        </w:rPr>
        <w:t>2.3.    </w:t>
      </w:r>
      <w:r>
        <w:rPr>
          <w:rFonts w:ascii="Times New Roman;sans-serif" w:hAnsi="Times New Roman;sans-serif"/>
          <w:b w:val="false"/>
          <w:color w:val="000000"/>
          <w:sz w:val="20"/>
          <w:u w:val="single"/>
        </w:rPr>
        <w:t>Minimum Share Reserve</w:t>
      </w:r>
      <w:r>
        <w:rPr>
          <w:rFonts w:ascii="Times New Roman;sans-serif" w:hAnsi="Times New Roman;sans-serif"/>
          <w:b w:val="false"/>
          <w:color w:val="000000"/>
          <w:sz w:val="20"/>
        </w:rPr>
        <w:t>. At all times the Company will reserve and keep available a sufficient number of Shares as will be required to satisfy the requirements of all outstanding Awards granted under this Plan.</w:t>
      </w:r>
    </w:p>
    <w:p>
      <w:pPr>
        <w:pStyle w:val="TextBody"/>
        <w:spacing w:lineRule="auto" w:line="288" w:before="0" w:after="120"/>
        <w:ind w:left="0" w:right="0" w:firstLine="720"/>
        <w:jc w:val="both"/>
        <w:rPr/>
      </w:pPr>
      <w:r>
        <w:rPr>
          <w:rFonts w:ascii="Times New Roman;sans-serif" w:hAnsi="Times New Roman;sans-serif"/>
          <w:b/>
          <w:color w:val="000000"/>
          <w:sz w:val="20"/>
        </w:rPr>
        <w:t>2.4.    </w:t>
      </w:r>
      <w:r>
        <w:rPr>
          <w:rFonts w:ascii="Times New Roman;sans-serif" w:hAnsi="Times New Roman;sans-serif"/>
          <w:b w:val="false"/>
          <w:color w:val="000000"/>
          <w:sz w:val="20"/>
          <w:u w:val="single"/>
        </w:rPr>
        <w:t>ISO Limitation</w:t>
      </w:r>
      <w:r>
        <w:rPr>
          <w:rFonts w:ascii="Times New Roman;sans-serif" w:hAnsi="Times New Roman;sans-serif"/>
          <w:b w:val="false"/>
          <w:color w:val="000000"/>
          <w:sz w:val="20"/>
        </w:rPr>
        <w:t>. No more than 15,000,000 Shares will be issued pursuant to the exercise of ISOs granted under this Plan.</w:t>
      </w:r>
    </w:p>
    <w:p>
      <w:pPr>
        <w:pStyle w:val="TextBody"/>
        <w:spacing w:lineRule="auto" w:line="288" w:before="0" w:after="120"/>
        <w:ind w:left="0" w:right="0" w:firstLine="720"/>
        <w:jc w:val="both"/>
        <w:rPr/>
      </w:pPr>
      <w:r>
        <w:rPr>
          <w:rFonts w:ascii="Times New Roman;sans-serif" w:hAnsi="Times New Roman;sans-serif"/>
          <w:b/>
          <w:color w:val="000000"/>
          <w:sz w:val="20"/>
        </w:rPr>
        <w:t>2.5.    </w:t>
      </w:r>
      <w:r>
        <w:rPr>
          <w:rFonts w:ascii="Times New Roman;sans-serif" w:hAnsi="Times New Roman;sans-serif"/>
          <w:b w:val="false"/>
          <w:color w:val="000000"/>
          <w:sz w:val="20"/>
          <w:u w:val="single"/>
        </w:rPr>
        <w:t>Adjustment of Shares</w:t>
      </w:r>
      <w:r>
        <w:rPr>
          <w:rFonts w:ascii="Times New Roman;sans-serif" w:hAnsi="Times New Roman;sans-serif"/>
          <w:b w:val="false"/>
          <w:color w:val="000000"/>
          <w:sz w:val="20"/>
        </w:rPr>
        <w:t xml:space="preserve">. If the number or class of outstanding Shares is changed 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without consideration, then (a) the number and class of Shares reserved for issuance and future grant under this Plan set forth in </w:t>
      </w:r>
      <w:r>
        <w:rPr>
          <w:rFonts w:ascii="Times New Roman;sans-serif" w:hAnsi="Times New Roman;sans-serif"/>
          <w:b w:val="false"/>
          <w:color w:val="000000"/>
          <w:sz w:val="20"/>
          <w:u w:val="single"/>
        </w:rPr>
        <w:t>Section 2.1</w:t>
      </w:r>
      <w:r>
        <w:rPr>
          <w:rFonts w:ascii="Times New Roman;sans-serif" w:hAnsi="Times New Roman;sans-serif"/>
          <w:b w:val="false"/>
          <w:color w:val="000000"/>
          <w:sz w:val="20"/>
        </w:rPr>
        <w:t xml:space="preserve">, (b) the Exercise Prices of and number and class of Shares subject to outstanding Options and SARs, (c) the number and class of Shares subject to other outstanding Awards, and (d) the maximum number and class of Shares that may be issued as ISOs set forth in </w:t>
      </w:r>
      <w:r>
        <w:rPr>
          <w:rFonts w:ascii="Times New Roman;sans-serif" w:hAnsi="Times New Roman;sans-serif"/>
          <w:b w:val="false"/>
          <w:color w:val="000000"/>
          <w:sz w:val="20"/>
          <w:u w:val="single"/>
        </w:rPr>
        <w:t>Section 2.4</w:t>
      </w:r>
      <w:r>
        <w:rPr>
          <w:rFonts w:ascii="Times New Roman;sans-serif" w:hAnsi="Times New Roman;sans-serif"/>
          <w:b w:val="false"/>
          <w:color w:val="000000"/>
          <w:sz w:val="20"/>
        </w:rPr>
        <w:t>, will be proportionately adjusted, subject to any required action by the Board or the stockholders of the Company and in compliance with applicable securities laws, provided that fractions of a Share will not be issued.</w:t>
      </w:r>
    </w:p>
    <w:p>
      <w:pPr>
        <w:pStyle w:val="TextBody"/>
        <w:spacing w:lineRule="auto" w:line="288" w:before="0" w:after="120"/>
        <w:ind w:left="0" w:right="0" w:firstLine="720"/>
        <w:jc w:val="both"/>
        <w:rPr/>
      </w:pPr>
      <w:r>
        <w:rPr>
          <w:rFonts w:ascii="Times New Roman;sans-serif" w:hAnsi="Times New Roman;sans-serif"/>
          <w:b w:val="false"/>
          <w:color w:val="000000"/>
          <w:sz w:val="20"/>
        </w:rPr>
        <w:t xml:space="preserve">If, by reason of an adjustment pursuant to this </w:t>
      </w:r>
      <w:r>
        <w:rPr>
          <w:rFonts w:ascii="Times New Roman;sans-serif" w:hAnsi="Times New Roman;sans-serif"/>
          <w:b w:val="false"/>
          <w:color w:val="000000"/>
          <w:sz w:val="20"/>
          <w:u w:val="single"/>
        </w:rPr>
        <w:t>Section 2.5</w:t>
      </w:r>
      <w:r>
        <w:rPr>
          <w:rFonts w:ascii="Times New Roman;sans-serif" w:hAnsi="Times New Roman;sans-serif"/>
          <w:b w:val="false"/>
          <w:color w:val="000000"/>
          <w:sz w:val="20"/>
        </w:rPr>
        <w:t>, a Participant’s Award Agreement or other agreement related to any Award, or the Shares subject to such Award, covers additional or different shares of stock or securities, then such additional or different shares, and the Award Agreement or such other agreement in respect thereof, will be subject to all of the terms, conditions, and restrictions which were applicable to the Award or the Shares subject to such Award prior to such adjustment.</w:t>
      </w:r>
    </w:p>
    <w:p>
      <w:pPr>
        <w:pStyle w:val="TextBody"/>
        <w:spacing w:lineRule="auto" w:line="288" w:before="0" w:after="120"/>
        <w:jc w:val="both"/>
        <w:rPr/>
      </w:pPr>
      <w:r>
        <w:rPr>
          <w:rFonts w:ascii="Times New Roman;sans-serif" w:hAnsi="Times New Roman;sans-serif"/>
          <w:b/>
          <w:color w:val="000000"/>
          <w:sz w:val="20"/>
        </w:rPr>
        <w:t>3.    </w:t>
      </w:r>
      <w:r>
        <w:rPr>
          <w:rFonts w:ascii="Times New Roman;sans-serif" w:hAnsi="Times New Roman;sans-serif"/>
          <w:b/>
          <w:color w:val="000000"/>
          <w:sz w:val="20"/>
          <w:u w:val="single"/>
        </w:rPr>
        <w:t>ELIGIBILITY</w:t>
      </w:r>
      <w:r>
        <w:rPr>
          <w:rFonts w:ascii="Times New Roman;sans-serif" w:hAnsi="Times New Roman;sans-serif"/>
          <w:b w:val="false"/>
          <w:color w:val="000000"/>
          <w:sz w:val="20"/>
        </w:rPr>
        <w:t xml:space="preserve">. ISOs may be granted only to Employees. All other Awards may be granted to Employees, Consultants, Directors, and Non-Employee Directors, provided that such Consultants, Directors, and Non-Employee Directors render bona fide services not in connection with the offer and sale of securities in a capital-raising transaction. </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2"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xbxContent>
                </v:textbox>
              </v:rect>
            </w:pict>
          </mc:Fallback>
        </mc:AlternateContent>
      </w:r>
    </w:p>
    <w:p>
      <w:pPr>
        <w:pStyle w:val="TextBody"/>
        <w:spacing w:before="0" w:after="0"/>
        <w:rPr/>
      </w:pPr>
      <w:r>
        <w:rPr/>
      </w:r>
    </w:p>
    <w:p>
      <w:pPr>
        <w:pStyle w:val="TextBody"/>
        <w:spacing w:lineRule="auto" w:line="288" w:before="0" w:after="120"/>
        <w:jc w:val="both"/>
        <w:rPr/>
      </w:pPr>
      <w:r>
        <w:rPr>
          <w:rFonts w:ascii="Times New Roman;sans-serif" w:hAnsi="Times New Roman;sans-serif"/>
          <w:b/>
          <w:color w:val="000000"/>
          <w:sz w:val="20"/>
        </w:rPr>
        <w:t>4.    </w:t>
      </w:r>
      <w:r>
        <w:rPr>
          <w:rFonts w:ascii="Times New Roman;sans-serif" w:hAnsi="Times New Roman;sans-serif"/>
          <w:b/>
          <w:color w:val="000000"/>
          <w:sz w:val="20"/>
          <w:u w:val="single"/>
        </w:rPr>
        <w:t>ADMINISTRATION</w:t>
      </w:r>
      <w:r>
        <w:rPr>
          <w:rFonts w:ascii="Times New Roman;sans-serif" w:hAnsi="Times New Roman;sans-serif"/>
          <w:b w:val="false"/>
          <w:color w:val="000000"/>
          <w:sz w:val="20"/>
        </w:rPr>
        <w:t>.</w:t>
      </w:r>
    </w:p>
    <w:p>
      <w:pPr>
        <w:pStyle w:val="TextBody"/>
        <w:spacing w:lineRule="auto" w:line="288" w:before="0" w:after="120"/>
        <w:ind w:left="0" w:right="0" w:firstLine="720"/>
        <w:jc w:val="both"/>
        <w:rPr/>
      </w:pPr>
      <w:r>
        <w:rPr>
          <w:rFonts w:ascii="Times New Roman;sans-serif" w:hAnsi="Times New Roman;sans-serif"/>
          <w:b/>
          <w:color w:val="000000"/>
          <w:sz w:val="20"/>
        </w:rPr>
        <w:t>4.1.    </w:t>
      </w:r>
      <w:r>
        <w:rPr>
          <w:rFonts w:ascii="Times New Roman;sans-serif" w:hAnsi="Times New Roman;sans-serif"/>
          <w:b w:val="false"/>
          <w:color w:val="000000"/>
          <w:sz w:val="20"/>
          <w:u w:val="single"/>
        </w:rPr>
        <w:t>Committee Composition; Authority</w:t>
      </w:r>
      <w:r>
        <w:rPr>
          <w:rFonts w:ascii="Times New Roman;sans-serif" w:hAnsi="Times New Roman;sans-serif"/>
          <w:b w:val="false"/>
          <w:color w:val="000000"/>
          <w:sz w:val="20"/>
        </w:rPr>
        <w:t>. This Plan will be administered by the Committee or by the Board acting as the Committee. Subject to the general purposes, terms, and conditions of this Plan, and to the direction of the Board, the Committee will have full power to implement and carry out this Plan, except, however, the Board will establish the terms for the grant of an Award to Non-Employee Directors. The Committee will have the authority to:</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construe and interpret this Plan, any Award Agreement, and any other agreement or document executed pursuant to this Plan;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prescribe, amend, and rescind rules and regulations relating to this Plan or any Award;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    select persons to receive Awards;</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    determine the form and terms and conditions, not inconsistent with the terms of this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    determine the number of Shares or other consideration subject to Awards;</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    determine the Fair Market Value in good faith and interpret the applicable provisions of this Plan and the definition of Fair Market Value in connection with circumstances that impact the Fair Market Value, if necessary;</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    determine whether Awards will be granted singly, in combination with, in tandem with, in replacement of, or as alternatives to, other Awards under this Plan or any other incentive or compensation plan of the Company or any Parent, Subsidiary, or Affiliate;</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(h)    grant waivers of Plan or Award conditions;</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    determine the vesting, exercisability, and payment of Awards;</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    correct any defect, supply any omission or reconcile any inconsistency in this Plan, any Award or any Award Agreement;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    determine whether an Award has been vested and/or earned;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    determine the terms and conditions of any, and to institute any Exchange Program;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(m)    reduce or modify any criteria with respect to Performance Factors;</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    adjust Performance Factors to take into account changes in law and accounting or tax rules as the Committee deems necessary or appropriate to reflect the impact of extraordinary or unusual items, events, or circumstances to avoid windfalls or inequitable results;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(o)    adopt terms and conditions, rules, and/or procedures (including the adoption of any subplan under this Plan) relating to the operation and administration of this Plan to accommodate requirements of local law and procedures outside of the United States or to qualify Awards for special tax treatment under laws of jurisdictions other than the United States;</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    exercise discretion with respect to Performance Awards;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(q)    make all other determinations necessary or advisable for the administration of this Plan; and</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(r)    delegate any of the foregoing to a subcommittee or to one or more executive officers pursuant to a specific delegation as permitted by applicable law, including but not limited to Section 157(c) of the Delaware General Corporation Law.</w:t>
      </w:r>
    </w:p>
    <w:p>
      <w:pPr>
        <w:pStyle w:val="TextBody"/>
        <w:spacing w:lineRule="auto" w:line="288" w:before="0" w:after="120"/>
        <w:ind w:left="0" w:right="0" w:firstLine="720"/>
        <w:jc w:val="both"/>
        <w:rPr/>
      </w:pPr>
      <w:r>
        <w:rPr>
          <w:rFonts w:ascii="Times New Roman;sans-serif" w:hAnsi="Times New Roman;sans-serif"/>
          <w:b/>
          <w:color w:val="000000"/>
          <w:sz w:val="20"/>
        </w:rPr>
        <w:t>4.2.    </w:t>
      </w:r>
      <w:r>
        <w:rPr>
          <w:rFonts w:ascii="Times New Roman;sans-serif" w:hAnsi="Times New Roman;sans-serif"/>
          <w:b w:val="false"/>
          <w:color w:val="000000"/>
          <w:sz w:val="20"/>
          <w:u w:val="single"/>
        </w:rPr>
        <w:t>Committee Interpretation and Discretion</w:t>
      </w:r>
      <w:r>
        <w:rPr>
          <w:rFonts w:ascii="Times New Roman;sans-serif" w:hAnsi="Times New Roman;sans-serif"/>
          <w:b w:val="false"/>
          <w:color w:val="000000"/>
          <w:sz w:val="20"/>
        </w:rPr>
        <w:t>. Any determination made by the Committee with respect to any Award will be made in its sole discretion at the time of grant of the Award or, unless in contravention of any express term of this Plan or Award, at any later time, and such determination will be final and binding on the Company and all persons having an interest in any Award under this Plan. Any dispute regarding the interpretation of this Plan or any Award Agreement will be submitted by the Participant or Company to the Committee for review. The resolution of such a dispute by the Committee will be final and binding on the Company and the Participant. The Committee may delegate to one or more executive officers the authority to review and resolve disputes with respect to Awards held by Participants who are not Insiders, and such resolution will be final and binding on the Company and the Participant.</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3"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xbxContent>
                </v:textbox>
              </v:rect>
            </w:pict>
          </mc:Fallback>
        </mc:AlternateContent>
      </w:r>
    </w:p>
    <w:p>
      <w:pPr>
        <w:pStyle w:val="TextBody"/>
        <w:spacing w:before="0" w:after="0"/>
        <w:rPr/>
      </w:pPr>
      <w:r>
        <w:rPr/>
      </w:r>
    </w:p>
    <w:p>
      <w:pPr>
        <w:pStyle w:val="TextBody"/>
        <w:spacing w:lineRule="auto" w:line="288" w:before="0" w:after="120"/>
        <w:ind w:left="0" w:right="0" w:firstLine="720"/>
        <w:jc w:val="both"/>
        <w:rPr/>
      </w:pPr>
      <w:r>
        <w:rPr>
          <w:rFonts w:ascii="Times New Roman;sans-serif" w:hAnsi="Times New Roman;sans-serif"/>
          <w:b/>
          <w:color w:val="000000"/>
          <w:sz w:val="20"/>
        </w:rPr>
        <w:t>4.3.    </w:t>
      </w:r>
      <w:r>
        <w:rPr>
          <w:rFonts w:ascii="Times New Roman;sans-serif" w:hAnsi="Times New Roman;sans-serif"/>
          <w:b w:val="false"/>
          <w:color w:val="000000"/>
          <w:sz w:val="20"/>
          <w:u w:val="single"/>
        </w:rPr>
        <w:t>Section 16 of the Exchange Act</w:t>
      </w:r>
      <w:r>
        <w:rPr>
          <w:rFonts w:ascii="Times New Roman;sans-serif" w:hAnsi="Times New Roman;sans-serif"/>
          <w:b w:val="false"/>
          <w:color w:val="000000"/>
          <w:sz w:val="20"/>
        </w:rPr>
        <w:t>. Awards granted to Participants who are subject to Section 16 of the Exchange Act must be approved by two or more “non-employee directors” (as defined in the regulations promulgated under Section 16 of the Exchange Act).</w:t>
      </w:r>
    </w:p>
    <w:p>
      <w:pPr>
        <w:pStyle w:val="TextBody"/>
        <w:spacing w:lineRule="auto" w:line="288" w:before="0" w:after="120"/>
        <w:ind w:left="0" w:right="0" w:firstLine="720"/>
        <w:jc w:val="both"/>
        <w:rPr/>
      </w:pPr>
      <w:r>
        <w:rPr>
          <w:rFonts w:ascii="Times New Roman;sans-serif" w:hAnsi="Times New Roman;sans-serif"/>
          <w:b/>
          <w:color w:val="000000"/>
          <w:sz w:val="20"/>
        </w:rPr>
        <w:t>4.4.    </w:t>
      </w:r>
      <w:r>
        <w:rPr>
          <w:rFonts w:ascii="Times New Roman;sans-serif" w:hAnsi="Times New Roman;sans-serif"/>
          <w:b w:val="false"/>
          <w:color w:val="000000"/>
          <w:sz w:val="20"/>
          <w:u w:val="single"/>
        </w:rPr>
        <w:t>Documentation</w:t>
      </w:r>
      <w:r>
        <w:rPr>
          <w:rFonts w:ascii="Times New Roman;sans-serif" w:hAnsi="Times New Roman;sans-serif"/>
          <w:b w:val="false"/>
          <w:color w:val="000000"/>
          <w:sz w:val="20"/>
        </w:rPr>
        <w:t>. The Award Agreement for a given Award, this Plan, and any other documents may be delivered to, and accepted by, a Participant or any other person in any manner (including electronic distribution or posting) that meets applicable legal requirements.</w:t>
      </w:r>
    </w:p>
    <w:p>
      <w:pPr>
        <w:pStyle w:val="TextBody"/>
        <w:spacing w:lineRule="auto" w:line="288" w:before="0" w:after="120"/>
        <w:ind w:left="0" w:right="0" w:firstLine="720"/>
        <w:jc w:val="both"/>
        <w:rPr/>
      </w:pPr>
      <w:r>
        <w:rPr>
          <w:rFonts w:ascii="Times New Roman;sans-serif" w:hAnsi="Times New Roman;sans-serif"/>
          <w:b/>
          <w:color w:val="000000"/>
          <w:sz w:val="20"/>
        </w:rPr>
        <w:t>4.5.    </w:t>
      </w:r>
      <w:r>
        <w:rPr>
          <w:rFonts w:ascii="Times New Roman;sans-serif" w:hAnsi="Times New Roman;sans-serif"/>
          <w:b w:val="false"/>
          <w:color w:val="000000"/>
          <w:sz w:val="20"/>
          <w:u w:val="single"/>
        </w:rPr>
        <w:t>Foreign Award Recipients</w:t>
      </w:r>
      <w:r>
        <w:rPr>
          <w:rFonts w:ascii="Times New Roman;sans-serif" w:hAnsi="Times New Roman;sans-serif"/>
          <w:b w:val="false"/>
          <w:color w:val="000000"/>
          <w:sz w:val="20"/>
        </w:rPr>
        <w:t>. Notwithstanding any provision of this Plan to the contrary, in order to comply with the laws and practices in other countries in which the Company, its Subsidiaries, and Affiliates operate or have Employees or other individuals eligible for Awards, the Committee, in its sole discretion, will have the power and authority to: (a) determine which Subsidiaries and Affiliates will be covered by this Plan; (b) determine which individuals outside the United States are eligible to participate in this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will be attached to this Plan as appendices, if necessary); and (e) take any action, before or after</w:t>
      </w:r>
      <w:r>
        <w:rPr>
          <w:color w:val="000000"/>
        </w:rPr>
        <w:t xml:space="preserve"> </w:t>
      </w:r>
      <w:r>
        <w:rPr>
          <w:rFonts w:ascii="Times New Roman;sans-serif" w:hAnsi="Times New Roman;sans-serif"/>
          <w:b w:val="false"/>
          <w:color w:val="000000"/>
          <w:sz w:val="20"/>
        </w:rPr>
        <w:t xml:space="preserve">an Award is made, that the Committee determines to be necessary or advisable to obtain approval or comply with any local governmental regulatory exemptions or approvals, provided, however, that no action taken under this </w:t>
      </w:r>
      <w:r>
        <w:rPr>
          <w:rFonts w:ascii="Times New Roman;sans-serif" w:hAnsi="Times New Roman;sans-serif"/>
          <w:b w:val="false"/>
          <w:color w:val="000000"/>
          <w:sz w:val="20"/>
          <w:u w:val="single"/>
        </w:rPr>
        <w:t>Section 4.4</w:t>
      </w:r>
      <w:r>
        <w:rPr>
          <w:color w:val="000000"/>
        </w:rPr>
        <w:t xml:space="preserve"> </w:t>
      </w:r>
      <w:r>
        <w:rPr>
          <w:rFonts w:ascii="Times New Roman;sans-serif" w:hAnsi="Times New Roman;sans-serif"/>
          <w:b w:val="false"/>
          <w:color w:val="000000"/>
          <w:sz w:val="20"/>
        </w:rPr>
        <w:t xml:space="preserve">will increase the Share limitations contained in </w:t>
      </w:r>
      <w:r>
        <w:rPr>
          <w:rFonts w:ascii="Times New Roman;sans-serif" w:hAnsi="Times New Roman;sans-serif"/>
          <w:b w:val="false"/>
          <w:color w:val="000000"/>
          <w:sz w:val="20"/>
          <w:u w:val="single"/>
        </w:rPr>
        <w:t>Section 2.1</w:t>
      </w:r>
      <w:r>
        <w:rPr>
          <w:color w:val="000000"/>
        </w:rPr>
        <w:t xml:space="preserve"> </w:t>
      </w:r>
      <w:r>
        <w:rPr>
          <w:rFonts w:ascii="Times New Roman;sans-serif" w:hAnsi="Times New Roman;sans-serif"/>
          <w:b w:val="false"/>
          <w:color w:val="000000"/>
          <w:sz w:val="20"/>
        </w:rPr>
        <w:t>hereof. Notwithstanding the foregoing, the Committee may not take any actions hereunder, and no Awards will be granted, that would violate the Exchange Act or any other applicable United States securities law, the Code, or any other applicable United States governing statute or law.</w:t>
      </w:r>
    </w:p>
    <w:p>
      <w:pPr>
        <w:pStyle w:val="TextBody"/>
        <w:spacing w:lineRule="auto" w:line="288" w:before="0" w:after="120"/>
        <w:jc w:val="both"/>
        <w:rPr/>
      </w:pPr>
      <w:r>
        <w:rPr>
          <w:rFonts w:ascii="Times New Roman;sans-serif" w:hAnsi="Times New Roman;sans-serif"/>
          <w:b/>
          <w:color w:val="000000"/>
          <w:sz w:val="20"/>
        </w:rPr>
        <w:t>5.    </w:t>
      </w:r>
      <w:r>
        <w:rPr>
          <w:rFonts w:ascii="Times New Roman;sans-serif" w:hAnsi="Times New Roman;sans-serif"/>
          <w:b/>
          <w:color w:val="000000"/>
          <w:sz w:val="20"/>
          <w:u w:val="single"/>
        </w:rPr>
        <w:t>OPTIONS</w:t>
      </w:r>
      <w:r>
        <w:rPr>
          <w:rFonts w:ascii="Times New Roman;sans-serif" w:hAnsi="Times New Roman;sans-serif"/>
          <w:b w:val="false"/>
          <w:color w:val="000000"/>
          <w:sz w:val="20"/>
        </w:rPr>
        <w:t>. An Option is the right but not the obligation to purchase a Share, subject to certain conditions, if applicable. The Committee may grant Options to eligible Employees, Consultants, and Directors and will determine whether such Options will be “incentive stock options” within the meaning of the Code (“</w:t>
      </w:r>
      <w:r>
        <w:rPr>
          <w:rFonts w:ascii="Times New Roman;sans-serif" w:hAnsi="Times New Roman;sans-serif"/>
          <w:b/>
          <w:i/>
          <w:color w:val="000000"/>
          <w:sz w:val="20"/>
        </w:rPr>
        <w:t>ISOs</w:t>
      </w:r>
      <w:r>
        <w:rPr>
          <w:color w:val="000000"/>
        </w:rPr>
        <w:t>”</w:t>
      </w:r>
      <w:r>
        <w:rPr>
          <w:rFonts w:ascii="Times New Roman;sans-serif" w:hAnsi="Times New Roman;sans-serif"/>
          <w:b w:val="false"/>
          <w:color w:val="000000"/>
          <w:sz w:val="20"/>
        </w:rPr>
        <w:t>) or Nonqualified Stock Options (“</w:t>
      </w:r>
      <w:r>
        <w:rPr>
          <w:rFonts w:ascii="Times New Roman;sans-serif" w:hAnsi="Times New Roman;sans-serif"/>
          <w:b/>
          <w:i/>
          <w:color w:val="000000"/>
          <w:sz w:val="20"/>
        </w:rPr>
        <w:t>NQSOs</w:t>
      </w:r>
      <w:r>
        <w:rPr>
          <w:color w:val="000000"/>
        </w:rPr>
        <w:t>”</w:t>
      </w:r>
      <w:r>
        <w:rPr>
          <w:rFonts w:ascii="Times New Roman;sans-serif" w:hAnsi="Times New Roman;sans-serif"/>
          <w:b w:val="false"/>
          <w:color w:val="000000"/>
          <w:sz w:val="20"/>
        </w:rPr>
        <w:t>), the number of Shares subject to the Option, the Exercise Price of the Option, the period during which the Option may vest and be exercised, and all other terms and conditions of the Option, subject to the following terms of this section.</w:t>
      </w:r>
    </w:p>
    <w:p>
      <w:pPr>
        <w:pStyle w:val="TextBody"/>
        <w:spacing w:lineRule="auto" w:line="288" w:before="0" w:after="120"/>
        <w:ind w:left="0" w:right="0" w:firstLine="720"/>
        <w:jc w:val="both"/>
        <w:rPr/>
      </w:pPr>
      <w:r>
        <w:rPr>
          <w:rFonts w:ascii="Times New Roman;sans-serif" w:hAnsi="Times New Roman;sans-serif"/>
          <w:b/>
          <w:color w:val="000000"/>
          <w:sz w:val="20"/>
        </w:rPr>
        <w:t>5.1.    </w:t>
      </w:r>
      <w:r>
        <w:rPr>
          <w:rFonts w:ascii="Times New Roman;sans-serif" w:hAnsi="Times New Roman;sans-serif"/>
          <w:b w:val="false"/>
          <w:color w:val="000000"/>
          <w:sz w:val="20"/>
          <w:u w:val="single"/>
        </w:rPr>
        <w:t>Option Grant</w:t>
      </w:r>
      <w:r>
        <w:rPr>
          <w:rFonts w:ascii="Times New Roman;sans-serif" w:hAnsi="Times New Roman;sans-serif"/>
          <w:b w:val="false"/>
          <w:color w:val="000000"/>
          <w:sz w:val="20"/>
        </w:rPr>
        <w:t>. Each Option granted under this Plan will identify the Option as an ISO or an NQSO. An Option may be, but need not be, 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pStyle w:val="TextBody"/>
        <w:spacing w:lineRule="auto" w:line="288" w:before="0" w:after="120"/>
        <w:ind w:left="0" w:right="0" w:firstLine="720"/>
        <w:jc w:val="both"/>
        <w:rPr/>
      </w:pPr>
      <w:r>
        <w:rPr>
          <w:rFonts w:ascii="Times New Roman;sans-serif" w:hAnsi="Times New Roman;sans-serif"/>
          <w:b/>
          <w:color w:val="000000"/>
          <w:sz w:val="20"/>
        </w:rPr>
        <w:t>5.2.    </w:t>
      </w:r>
      <w:r>
        <w:rPr>
          <w:rFonts w:ascii="Times New Roman;sans-serif" w:hAnsi="Times New Roman;sans-serif"/>
          <w:b w:val="false"/>
          <w:color w:val="000000"/>
          <w:sz w:val="20"/>
          <w:u w:val="single"/>
        </w:rPr>
        <w:t>Date of Grant</w:t>
      </w:r>
      <w:r>
        <w:rPr>
          <w:rFonts w:ascii="Times New Roman;sans-serif" w:hAnsi="Times New Roman;sans-serif"/>
          <w:b w:val="false"/>
          <w:color w:val="000000"/>
          <w:sz w:val="20"/>
        </w:rPr>
        <w:t>. The date of grant of an Option will be the date on which the Committee makes the determination to grant such Option, or a specified future date. The Award Agreement will be delivered to the Participant within a reasonable time after the granting of the Option.</w:t>
      </w:r>
    </w:p>
    <w:p>
      <w:pPr>
        <w:pStyle w:val="TextBody"/>
        <w:spacing w:lineRule="auto" w:line="288" w:before="0" w:after="120"/>
        <w:ind w:left="0" w:right="0" w:firstLine="720"/>
        <w:jc w:val="both"/>
        <w:rPr/>
      </w:pPr>
      <w:r>
        <w:rPr>
          <w:rFonts w:ascii="Times New Roman;sans-serif" w:hAnsi="Times New Roman;sans-serif"/>
          <w:b/>
          <w:color w:val="000000"/>
          <w:sz w:val="20"/>
        </w:rPr>
        <w:t>5.3.    </w:t>
      </w:r>
      <w:r>
        <w:rPr>
          <w:rFonts w:ascii="Times New Roman;sans-serif" w:hAnsi="Times New Roman;sans-serif"/>
          <w:b w:val="false"/>
          <w:color w:val="000000"/>
          <w:sz w:val="20"/>
          <w:u w:val="single"/>
        </w:rPr>
        <w:t>Exercise Period</w:t>
      </w:r>
      <w:r>
        <w:rPr>
          <w:rFonts w:ascii="Times New Roman;sans-serif" w:hAnsi="Times New Roman;sans-serif"/>
          <w:b w:val="false"/>
          <w:color w:val="000000"/>
          <w:sz w:val="20"/>
        </w:rPr>
        <w:t>. Options may be vested and exercisable within the times or upon the conditions as set forth in the Award Agreement governing such Option, provided, however, that no Option will be exercisable after the expiration of ten (10) years from the date the Option is granted and provided</w:t>
      </w:r>
      <w:r>
        <w:rPr>
          <w:color w:val="000000"/>
          <w:u w:val="single"/>
        </w:rPr>
        <w:t xml:space="preserve"> </w:t>
      </w:r>
      <w:r>
        <w:rPr>
          <w:rFonts w:ascii="Times New Roman;sans-serif" w:hAnsi="Times New Roman;sans-serif"/>
          <w:b w:val="false"/>
          <w:color w:val="000000"/>
          <w:sz w:val="20"/>
        </w:rPr>
        <w:t>further that no ISO granted to a person who, at the time the ISO is granted, directly or by attribution owns more than ten percent (10%) of the total combined voting power of all classes of stock of the Company or of any Parent or Subsidiary (“</w:t>
      </w:r>
      <w:r>
        <w:rPr>
          <w:rFonts w:ascii="Times New Roman;sans-serif" w:hAnsi="Times New Roman;sans-serif"/>
          <w:b/>
          <w:i/>
          <w:color w:val="000000"/>
          <w:sz w:val="20"/>
        </w:rPr>
        <w:t>Ten Percent Stockholder</w:t>
      </w:r>
      <w:r>
        <w:rPr>
          <w:color w:val="000000"/>
        </w:rPr>
        <w:t>”</w:t>
      </w:r>
      <w:r>
        <w:rPr>
          <w:rFonts w:ascii="Times New Roman;sans-serif" w:hAnsi="Times New Roman;sans-serif"/>
          <w:b w:val="false"/>
          <w:color w:val="000000"/>
          <w:sz w:val="20"/>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pStyle w:val="TextBody"/>
        <w:spacing w:lineRule="auto" w:line="288" w:before="0" w:after="120"/>
        <w:ind w:left="0" w:right="0" w:firstLine="720"/>
        <w:jc w:val="both"/>
        <w:rPr/>
      </w:pPr>
      <w:r>
        <w:rPr>
          <w:rFonts w:ascii="Times New Roman;sans-serif" w:hAnsi="Times New Roman;sans-serif"/>
          <w:b/>
          <w:color w:val="000000"/>
          <w:sz w:val="20"/>
        </w:rPr>
        <w:t>5.4.    </w:t>
      </w:r>
      <w:r>
        <w:rPr>
          <w:rFonts w:ascii="Times New Roman;sans-serif" w:hAnsi="Times New Roman;sans-serif"/>
          <w:b w:val="false"/>
          <w:color w:val="000000"/>
          <w:sz w:val="20"/>
          <w:u w:val="single"/>
        </w:rPr>
        <w:t>Exercise Price</w:t>
      </w:r>
      <w:r>
        <w:rPr>
          <w:rFonts w:ascii="Times New Roman;sans-serif" w:hAnsi="Times New Roman;sans-serif"/>
          <w:b w:val="false"/>
          <w:color w:val="000000"/>
          <w:sz w:val="20"/>
        </w:rPr>
        <w:t xml:space="preserve">. The Exercise Price of an Option will be determined by the Committee when the Option is granted, provided that: (a) the Exercise Price of an Option will be not less than one hundred percent (100%) of the Fair Market Value of the Shares on the date of grant, and (b) the Exercise Price of any ISO granted to a Ten Percent Stockholder will not be less than one hundred ten percent (110%) of the Fair Market Value of the Shares on the date of grant. Payment for the Shares purchased may be made in accordance with </w:t>
      </w:r>
      <w:r>
        <w:rPr>
          <w:rFonts w:ascii="Times New Roman;sans-serif" w:hAnsi="Times New Roman;sans-serif"/>
          <w:b w:val="false"/>
          <w:color w:val="000000"/>
          <w:sz w:val="20"/>
          <w:u w:val="single"/>
        </w:rPr>
        <w:t>Section 11</w:t>
      </w:r>
      <w:r>
        <w:rPr>
          <w:color w:val="000000"/>
        </w:rPr>
        <w:t xml:space="preserve"> </w:t>
      </w:r>
      <w:r>
        <w:rPr>
          <w:rFonts w:ascii="Times New Roman;sans-serif" w:hAnsi="Times New Roman;sans-serif"/>
          <w:b w:val="false"/>
          <w:color w:val="000000"/>
          <w:sz w:val="20"/>
        </w:rPr>
        <w:t>and the Award Agreement and in accordance with any procedures established by the Company.</w:t>
      </w:r>
    </w:p>
    <w:p>
      <w:pPr>
        <w:pStyle w:val="TextBody"/>
        <w:spacing w:lineRule="auto" w:line="288" w:before="0" w:after="120"/>
        <w:ind w:left="0" w:right="0" w:firstLine="720"/>
        <w:jc w:val="both"/>
        <w:rPr/>
      </w:pPr>
      <w:r>
        <w:rPr>
          <w:rFonts w:ascii="Times New Roman;sans-serif" w:hAnsi="Times New Roman;sans-serif"/>
          <w:b/>
          <w:color w:val="000000"/>
          <w:sz w:val="20"/>
        </w:rPr>
        <w:t>5.5.    </w:t>
      </w:r>
      <w:r>
        <w:rPr>
          <w:rFonts w:ascii="Times New Roman;sans-serif" w:hAnsi="Times New Roman;sans-serif"/>
          <w:b w:val="false"/>
          <w:color w:val="000000"/>
          <w:sz w:val="20"/>
          <w:u w:val="single"/>
        </w:rPr>
        <w:t>Method of Exercise</w:t>
      </w:r>
      <w:r>
        <w:rPr>
          <w:rFonts w:ascii="Times New Roman;sans-serif" w:hAnsi="Times New Roman;sans-serif"/>
          <w:b w:val="false"/>
          <w:color w:val="000000"/>
          <w:sz w:val="20"/>
        </w:rPr>
        <w:t xml:space="preserve">. Any Option granted hereunder will be vested and exercisable according to the terms of this Plan and at such times 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third-party administrator) and (b) full payment for the Shares with respect to which the Option is exercised (together with applicable withholding taxes). Full payment may consist of any </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4"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A-3</w:t>
                      </w:r>
                    </w:p>
                  </w:txbxContent>
                </v:textbox>
              </v:rect>
            </w:pict>
          </mc:Fallback>
        </mc:AlternateContent>
      </w:r>
    </w:p>
    <w:p>
      <w:pPr>
        <w:pStyle w:val="TextBody"/>
        <w:spacing w:before="0" w:after="0"/>
        <w:rPr/>
      </w:pPr>
      <w:r>
        <w:rPr/>
      </w:r>
    </w:p>
    <w:p>
      <w:pPr>
        <w:pStyle w:val="TextBody"/>
        <w:spacing w:lineRule="auto" w:line="288" w:before="0" w:after="120"/>
        <w:jc w:val="both"/>
        <w:rPr/>
      </w:pPr>
      <w:r>
        <w:rPr>
          <w:rFonts w:ascii="Times New Roman;sans-serif" w:hAnsi="Times New Roman;sans-serif"/>
          <w:b w:val="false"/>
          <w:color w:val="000000"/>
          <w:sz w:val="20"/>
        </w:rPr>
        <w:t xml:space="preserve">consideration and method of payment authorized by the Committee and permitted by the Award Agreement and this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w:t>
      </w:r>
      <w:r>
        <w:rPr>
          <w:rFonts w:ascii="Times New Roman;sans-serif" w:hAnsi="Times New Roman;sans-serif"/>
          <w:b w:val="false"/>
          <w:color w:val="000000"/>
          <w:sz w:val="20"/>
          <w:u w:val="single"/>
        </w:rPr>
        <w:t>Section 2.5</w:t>
      </w:r>
      <w:r>
        <w:rPr>
          <w:color w:val="000000"/>
        </w:rPr>
        <w:t xml:space="preserve"> </w:t>
      </w:r>
      <w:r>
        <w:rPr>
          <w:rFonts w:ascii="Times New Roman;sans-serif" w:hAnsi="Times New Roman;sans-serif"/>
          <w:b w:val="false"/>
          <w:color w:val="000000"/>
          <w:sz w:val="20"/>
        </w:rPr>
        <w:t xml:space="preserve">of this Plan. </w:t>
      </w:r>
    </w:p>
    <w:p>
      <w:pPr>
        <w:pStyle w:val="TextBody"/>
        <w:spacing w:lineRule="auto" w:line="288" w:before="0" w:after="120"/>
        <w:ind w:left="0" w:right="0" w:firstLine="720"/>
        <w:jc w:val="both"/>
        <w:rPr/>
      </w:pPr>
      <w:r>
        <w:rPr>
          <w:rFonts w:ascii="Times New Roman;sans-serif" w:hAnsi="Times New Roman;sans-serif"/>
          <w:b/>
          <w:color w:val="000000"/>
          <w:sz w:val="20"/>
        </w:rPr>
        <w:t>5.6.    </w:t>
      </w:r>
      <w:r>
        <w:rPr>
          <w:rFonts w:ascii="Times New Roman;sans-serif" w:hAnsi="Times New Roman;sans-serif"/>
          <w:b w:val="false"/>
          <w:color w:val="000000"/>
          <w:sz w:val="20"/>
          <w:u w:val="single"/>
        </w:rPr>
        <w:t>Termination of Service</w:t>
      </w:r>
      <w:r>
        <w:rPr>
          <w:rFonts w:ascii="Times New Roman;sans-serif" w:hAnsi="Times New Roman;sans-serif"/>
          <w:b w:val="false"/>
          <w:color w:val="000000"/>
          <w:sz w:val="20"/>
        </w:rPr>
        <w:t>. If the Participant’s Service terminates for any reason except for Cause or the Participant’s death or Disability, then the Participant may exercise such Participant’s Options, only to the extent that such Options would have been exercisable by the Participant on the date Participant’s Service terminates, no later than three (3) months after the date Participant’s Service terminates (or such shorter or longer time period as may be determined by the Committee, with any exercise beyond three (3) months after the date Participant’s employment terminates deemed to be the exercise of an NQSO), but in any event no later than the expiration date of the Options.</w:t>
      </w:r>
    </w:p>
    <w:p>
      <w:pPr>
        <w:pStyle w:val="TextBody"/>
        <w:spacing w:lineRule="auto" w:line="288" w:before="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Death</w:t>
      </w:r>
      <w:r>
        <w:rPr>
          <w:rFonts w:ascii="Times New Roman;sans-serif" w:hAnsi="Times New Roman;sans-serif"/>
          <w:b w:val="false"/>
          <w:color w:val="000000"/>
          <w:sz w:val="20"/>
        </w:rPr>
        <w:t>. 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time period or longer time period as may be determined by the Committee), but in any event no later than the expiration date of the Options.</w:t>
      </w:r>
    </w:p>
    <w:p>
      <w:pPr>
        <w:pStyle w:val="TextBody"/>
        <w:spacing w:lineRule="auto" w:line="288" w:before="0" w:after="12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Disability</w:t>
      </w:r>
      <w:r>
        <w:rPr>
          <w:rFonts w:ascii="Times New Roman;sans-serif" w:hAnsi="Times New Roman;sans-serif"/>
          <w:b w:val="false"/>
          <w:color w:val="000000"/>
          <w:sz w:val="20"/>
        </w:rPr>
        <w:t>.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(or such shorter time period not less than six (6) months or longer time period as may be determined by the Committee, with any exercise beyond (a) three (3) months after the date Participant’s employment terminates when the termination of Service is for a Disability that is not a “permanent and total disability” as defined in Section 22(e)(3) of the Code or (b) twelve (12) months after the date Participant’s employment terminates when the termination of Service is for a Disability that is a “permanent and total disability” as defined in Section 22(e)(3) of the Code, deemed to be exercise of an NQSO), but in any event no later than the expiration date of the Options.</w:t>
      </w:r>
    </w:p>
    <w:p>
      <w:pPr>
        <w:pStyle w:val="TextBody"/>
        <w:spacing w:lineRule="auto" w:line="288" w:before="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Cause</w:t>
      </w:r>
      <w:r>
        <w:rPr>
          <w:rFonts w:ascii="Times New Roman;sans-serif" w:hAnsi="Times New Roman;sans-serif"/>
          <w:b w:val="false"/>
          <w:color w:val="000000"/>
          <w:sz w:val="20"/>
        </w:rPr>
        <w:t>. Unless otherwise determined by the Committee, if the Participant’s Service terminates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 then Participant’s Options (whether or not vested) will expire on the date of termination of Participant’s Service or at such later time and on such conditions as are determined by the Committee, but in any event no later than the expiration date of the Options. Unless otherwise provided in an employment agreement, Award Agreement, or other applicable agreement, Cause will have the meaning set forth in this Plan.</w:t>
      </w:r>
    </w:p>
    <w:p>
      <w:pPr>
        <w:pStyle w:val="TextBody"/>
        <w:spacing w:lineRule="auto" w:line="288" w:before="0" w:after="120"/>
        <w:ind w:left="0" w:right="0" w:firstLine="1440"/>
        <w:jc w:val="both"/>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Unvested Options</w:t>
      </w:r>
      <w:r>
        <w:rPr>
          <w:rFonts w:ascii="Times New Roman;sans-serif" w:hAnsi="Times New Roman;sans-serif"/>
          <w:b w:val="false"/>
          <w:color w:val="000000"/>
          <w:sz w:val="20"/>
        </w:rPr>
        <w:t>. Participant’s unvested Options shall expire on the date of Participant’s termination of Service for any reason (unless Participant’s unvested Options are accelerated upon such termination of Service or are required to remain outstanding for some period post-termination in order to remain eligible for acceleration pursuant to an agreement between Participant and the Company).</w:t>
      </w:r>
    </w:p>
    <w:p>
      <w:pPr>
        <w:pStyle w:val="TextBody"/>
        <w:spacing w:lineRule="auto" w:line="288" w:before="0" w:after="120"/>
        <w:ind w:left="0" w:right="0" w:firstLine="720"/>
        <w:jc w:val="both"/>
        <w:rPr/>
      </w:pPr>
      <w:r>
        <w:rPr>
          <w:rFonts w:ascii="Times New Roman;sans-serif" w:hAnsi="Times New Roman;sans-serif"/>
          <w:b/>
          <w:color w:val="000000"/>
          <w:sz w:val="20"/>
        </w:rPr>
        <w:t>5.7.    </w:t>
      </w:r>
      <w:r>
        <w:rPr>
          <w:rFonts w:ascii="Times New Roman;sans-serif" w:hAnsi="Times New Roman;sans-serif"/>
          <w:b w:val="false"/>
          <w:color w:val="000000"/>
          <w:sz w:val="20"/>
          <w:u w:val="single"/>
        </w:rPr>
        <w:t>Limitations on Exercise</w:t>
      </w:r>
      <w:r>
        <w:rPr>
          <w:rFonts w:ascii="Times New Roman;sans-serif" w:hAnsi="Times New Roman;sans-serif"/>
          <w:b w:val="false"/>
          <w:color w:val="000000"/>
          <w:sz w:val="20"/>
        </w:rPr>
        <w:t>. The Committee may specify a minimum number of Shares that may be purchased on any exercise of an Option, provided that such minimum number will not prevent any Participant from exercising the Option for the full number of Shares for which it is then exercisable.</w:t>
      </w:r>
    </w:p>
    <w:p>
      <w:pPr>
        <w:pStyle w:val="TextBody"/>
        <w:spacing w:lineRule="auto" w:line="288" w:before="0" w:after="120"/>
        <w:ind w:left="0" w:right="0" w:firstLine="720"/>
        <w:jc w:val="both"/>
        <w:rPr/>
      </w:pPr>
      <w:r>
        <w:rPr>
          <w:rFonts w:ascii="Times New Roman;sans-serif" w:hAnsi="Times New Roman;sans-serif"/>
          <w:b/>
          <w:color w:val="000000"/>
          <w:sz w:val="20"/>
        </w:rPr>
        <w:t>5.8.    </w:t>
      </w:r>
      <w:r>
        <w:rPr>
          <w:rFonts w:ascii="Times New Roman;sans-serif" w:hAnsi="Times New Roman;sans-serif"/>
          <w:b w:val="false"/>
          <w:color w:val="000000"/>
          <w:sz w:val="20"/>
          <w:u w:val="single"/>
        </w:rPr>
        <w:t>Limitations on ISOs</w:t>
      </w:r>
      <w:r>
        <w:rPr>
          <w:rFonts w:ascii="Times New Roman;sans-serif" w:hAnsi="Times New Roman;sans-serif"/>
          <w:b w:val="false"/>
          <w:color w:val="000000"/>
          <w:sz w:val="20"/>
        </w:rPr>
        <w:t xml:space="preserve">. With respect to Awards granted as ISOs, to the extent that the aggregate Fair Market Value of the Shares with respect to which such ISOs are exercisable for the first time by the Participant during any calendar year (under all plans of the Company and any Parent or Subsidiary) exceeds one hundred thousand dollars ($100,000), such Options will be treated as NQSOs. For purposes of this </w:t>
      </w:r>
      <w:r>
        <w:rPr>
          <w:rFonts w:ascii="Times New Roman;sans-serif" w:hAnsi="Times New Roman;sans-serif"/>
          <w:b w:val="false"/>
          <w:color w:val="000000"/>
          <w:sz w:val="20"/>
          <w:u w:val="single"/>
        </w:rPr>
        <w:t>Section 5.8</w:t>
      </w:r>
      <w:r>
        <w:rPr>
          <w:rFonts w:ascii="Times New Roman;sans-serif" w:hAnsi="Times New Roman;sans-serif"/>
          <w:b w:val="false"/>
          <w:color w:val="000000"/>
          <w:sz w:val="20"/>
        </w:rPr>
        <w:t>,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pStyle w:val="TextBody"/>
        <w:spacing w:lineRule="auto" w:line="288" w:before="0" w:after="120"/>
        <w:ind w:left="0" w:right="0" w:firstLine="720"/>
        <w:jc w:val="both"/>
        <w:rPr/>
      </w:pPr>
      <w:r>
        <w:rPr>
          <w:rFonts w:ascii="Times New Roman;sans-serif" w:hAnsi="Times New Roman;sans-serif"/>
          <w:b/>
          <w:color w:val="000000"/>
          <w:sz w:val="20"/>
        </w:rPr>
        <w:t>5.9.    </w:t>
      </w:r>
      <w:r>
        <w:rPr>
          <w:rFonts w:ascii="Times New Roman;sans-serif" w:hAnsi="Times New Roman;sans-serif"/>
          <w:b w:val="false"/>
          <w:color w:val="000000"/>
          <w:sz w:val="20"/>
          <w:u w:val="single"/>
        </w:rPr>
        <w:t>Modification, Extension or Renewal</w:t>
      </w:r>
      <w:r>
        <w:rPr>
          <w:rFonts w:ascii="Times New Roman;sans-serif" w:hAnsi="Times New Roman;sans-serif"/>
          <w:b w:val="false"/>
          <w:color w:val="000000"/>
          <w:sz w:val="20"/>
        </w:rPr>
        <w:t xml:space="preserve">. The Committee may modify, extend or renew outstanding Options and authorize the grant of new Options in substitution therefor, provided that any such action may not, without the written consent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5"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A-4</w:t>
                      </w:r>
                    </w:p>
                  </w:txbxContent>
                </v:textbox>
              </v:rect>
            </w:pict>
          </mc:Fallback>
        </mc:AlternateContent>
      </w:r>
    </w:p>
    <w:p>
      <w:pPr>
        <w:pStyle w:val="TextBody"/>
        <w:spacing w:before="0" w:after="0"/>
        <w:rPr/>
      </w:pPr>
      <w:r>
        <w:rPr/>
      </w:r>
    </w:p>
    <w:p>
      <w:pPr>
        <w:pStyle w:val="TextBody"/>
        <w:spacing w:lineRule="auto" w:line="288" w:before="0" w:after="120"/>
        <w:jc w:val="both"/>
        <w:rPr/>
      </w:pPr>
      <w:r>
        <w:rPr>
          <w:rFonts w:ascii="Times New Roman;sans-serif" w:hAnsi="Times New Roman;sans-serif"/>
          <w:b w:val="false"/>
          <w:color w:val="000000"/>
          <w:sz w:val="20"/>
        </w:rPr>
        <w:t xml:space="preserve">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prior stockholder approval as is required by </w:t>
      </w:r>
      <w:r>
        <w:rPr>
          <w:rFonts w:ascii="Times New Roman;sans-serif" w:hAnsi="Times New Roman;sans-serif"/>
          <w:b w:val="false"/>
          <w:color w:val="000000"/>
          <w:sz w:val="20"/>
          <w:u w:val="single"/>
        </w:rPr>
        <w:t>Section 18</w:t>
      </w:r>
      <w:r>
        <w:rPr>
          <w:color w:val="000000"/>
        </w:rPr>
        <w:t xml:space="preserve"> </w:t>
      </w:r>
      <w:r>
        <w:rPr>
          <w:rFonts w:ascii="Times New Roman;sans-serif" w:hAnsi="Times New Roman;sans-serif"/>
          <w:b w:val="false"/>
          <w:color w:val="000000"/>
          <w:sz w:val="20"/>
        </w:rPr>
        <w:t>of this Plan, by written notice to affected Participants, the Committee may reduce the Exercise Price of outstanding Options without the consent of such Participants; provided, however, that the Exercise Price may not be reduced below the Fair Market Value on the date the action is taken to reduce the Exercise Price.</w:t>
      </w:r>
    </w:p>
    <w:p>
      <w:pPr>
        <w:pStyle w:val="TextBody"/>
        <w:spacing w:lineRule="auto" w:line="288" w:before="0" w:after="120"/>
        <w:ind w:left="0" w:right="0" w:firstLine="720"/>
        <w:jc w:val="both"/>
        <w:rPr/>
      </w:pPr>
      <w:r>
        <w:rPr>
          <w:rFonts w:ascii="Times New Roman;sans-serif" w:hAnsi="Times New Roman;sans-serif"/>
          <w:b/>
          <w:color w:val="000000"/>
          <w:sz w:val="20"/>
        </w:rPr>
        <w:t>5.10.    </w:t>
      </w:r>
      <w:r>
        <w:rPr>
          <w:rFonts w:ascii="Times New Roman;sans-serif" w:hAnsi="Times New Roman;sans-serif"/>
          <w:b w:val="false"/>
          <w:color w:val="000000"/>
          <w:sz w:val="20"/>
          <w:u w:val="single"/>
        </w:rPr>
        <w:t>No Disqualification</w:t>
      </w:r>
      <w:r>
        <w:rPr>
          <w:rFonts w:ascii="Times New Roman;sans-serif" w:hAnsi="Times New Roman;sans-serif"/>
          <w:b w:val="false"/>
          <w:color w:val="000000"/>
          <w:sz w:val="20"/>
        </w:rPr>
        <w:t>. Notwithstanding any other provision in this Plan, no term of this Plan relating to ISOs will be interpreted, amended, or altered, nor will any discretion or authority granted under this Plan be exercised, so as to disqualify this Plan under Section 422 of the Code or, without the consent of the Participant affected, to disqualify any ISO under Section 422 of the Code.</w:t>
      </w:r>
    </w:p>
    <w:p>
      <w:pPr>
        <w:pStyle w:val="TextBody"/>
        <w:spacing w:lineRule="auto" w:line="288" w:before="0" w:after="120"/>
        <w:jc w:val="both"/>
        <w:rPr/>
      </w:pPr>
      <w:r>
        <w:rPr>
          <w:rFonts w:ascii="Times New Roman;sans-serif" w:hAnsi="Times New Roman;sans-serif"/>
          <w:b/>
          <w:color w:val="000000"/>
          <w:sz w:val="20"/>
        </w:rPr>
        <w:t>6.    </w:t>
      </w:r>
      <w:r>
        <w:rPr>
          <w:rFonts w:ascii="Times New Roman;sans-serif" w:hAnsi="Times New Roman;sans-serif"/>
          <w:b/>
          <w:color w:val="000000"/>
          <w:sz w:val="20"/>
          <w:u w:val="single"/>
        </w:rPr>
        <w:t>RESTRICTED STOCK AWARDS</w:t>
      </w:r>
      <w:r>
        <w:rPr>
          <w:rFonts w:ascii="Times New Roman;sans-serif" w:hAnsi="Times New Roman;sans-serif"/>
          <w:b w:val="false"/>
          <w:color w:val="000000"/>
          <w:sz w:val="20"/>
        </w:rPr>
        <w:t>. A Restricted Stock Award is an offer by the Company to sell to an eligible Employee, Consultant, or Director Shares that are subject to restrictions (“</w:t>
      </w:r>
      <w:r>
        <w:rPr>
          <w:rFonts w:ascii="Times New Roman;sans-serif" w:hAnsi="Times New Roman;sans-serif"/>
          <w:b/>
          <w:i/>
          <w:color w:val="000000"/>
          <w:sz w:val="20"/>
        </w:rPr>
        <w:t>Restricted Stock</w:t>
      </w:r>
      <w:r>
        <w:rPr>
          <w:color w:val="000000"/>
        </w:rPr>
        <w:t>”</w:t>
      </w:r>
      <w:r>
        <w:rPr>
          <w:rFonts w:ascii="Times New Roman;sans-serif" w:hAnsi="Times New Roman;sans-serif"/>
          <w:b w:val="false"/>
          <w:color w:val="000000"/>
          <w:sz w:val="20"/>
        </w:rPr>
        <w:t>). The Committee will determine to whom an offer will be made, the number of Shares the Participant may purchase, the Purchase Price, the restrictions under which the Shares will be subject, and all other terms and conditions of the Restricted Stock Award, subject to this Plan.</w:t>
      </w:r>
    </w:p>
    <w:p>
      <w:pPr>
        <w:pStyle w:val="TextBody"/>
        <w:spacing w:lineRule="auto" w:line="288" w:before="0" w:after="120"/>
        <w:ind w:left="0" w:right="0" w:firstLine="720"/>
        <w:jc w:val="both"/>
        <w:rPr/>
      </w:pPr>
      <w:r>
        <w:rPr>
          <w:rFonts w:ascii="Times New Roman;sans-serif" w:hAnsi="Times New Roman;sans-serif"/>
          <w:b/>
          <w:color w:val="000000"/>
          <w:sz w:val="20"/>
        </w:rPr>
        <w:t>6.1.    </w:t>
      </w:r>
      <w:r>
        <w:rPr>
          <w:rFonts w:ascii="Times New Roman;sans-serif" w:hAnsi="Times New Roman;sans-serif"/>
          <w:b w:val="false"/>
          <w:color w:val="000000"/>
          <w:sz w:val="20"/>
          <w:u w:val="single"/>
        </w:rPr>
        <w:t>Restricted Stock Purchase Agreement</w:t>
      </w:r>
      <w:r>
        <w:rPr>
          <w:rFonts w:ascii="Times New Roman;sans-serif" w:hAnsi="Times New Roman;sans-serif"/>
          <w:b w:val="false"/>
          <w:color w:val="000000"/>
          <w:sz w:val="20"/>
        </w:rPr>
        <w:t>. All purchases under a Restricted Stock Award will be evidenced by an Award Agreement. 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of such Restricted Stock Award will terminate, unless the Committee determines otherwise.</w:t>
      </w:r>
    </w:p>
    <w:p>
      <w:pPr>
        <w:pStyle w:val="TextBody"/>
        <w:spacing w:lineRule="auto" w:line="288" w:before="0" w:after="120"/>
        <w:ind w:left="0" w:right="0" w:firstLine="720"/>
        <w:jc w:val="both"/>
        <w:rPr/>
      </w:pPr>
      <w:r>
        <w:rPr>
          <w:rFonts w:ascii="Times New Roman;sans-serif" w:hAnsi="Times New Roman;sans-serif"/>
          <w:b/>
          <w:color w:val="000000"/>
          <w:sz w:val="20"/>
        </w:rPr>
        <w:t>6.2.    </w:t>
      </w:r>
      <w:r>
        <w:rPr>
          <w:rFonts w:ascii="Times New Roman;sans-serif" w:hAnsi="Times New Roman;sans-serif"/>
          <w:b w:val="false"/>
          <w:color w:val="000000"/>
          <w:sz w:val="20"/>
          <w:u w:val="single"/>
        </w:rPr>
        <w:t>Purchase Price</w:t>
      </w:r>
      <w:r>
        <w:rPr>
          <w:rFonts w:ascii="Times New Roman;sans-serif" w:hAnsi="Times New Roman;sans-serif"/>
          <w:b w:val="false"/>
          <w:color w:val="000000"/>
          <w:sz w:val="20"/>
        </w:rPr>
        <w:t xml:space="preserve">. The Purchase Price for a Restricted Stock Award will be determined by the Committee and may be less than Fair Market Value on the date the Restricted Stock Award is granted. Payment of the Purchase Price must be made in accordance with </w:t>
      </w:r>
      <w:r>
        <w:rPr>
          <w:rFonts w:ascii="Times New Roman;sans-serif" w:hAnsi="Times New Roman;sans-serif"/>
          <w:b w:val="false"/>
          <w:color w:val="000000"/>
          <w:sz w:val="20"/>
          <w:u w:val="single"/>
        </w:rPr>
        <w:t>Section 11</w:t>
      </w:r>
      <w:r>
        <w:rPr>
          <w:color w:val="000000"/>
        </w:rPr>
        <w:t xml:space="preserve"> </w:t>
      </w:r>
      <w:r>
        <w:rPr>
          <w:rFonts w:ascii="Times New Roman;sans-serif" w:hAnsi="Times New Roman;sans-serif"/>
          <w:b w:val="false"/>
          <w:color w:val="000000"/>
          <w:sz w:val="20"/>
        </w:rPr>
        <w:t>of this Plan, and the Award Agreement and in accordance with any procedures established by the Company.</w:t>
      </w:r>
    </w:p>
    <w:p>
      <w:pPr>
        <w:pStyle w:val="TextBody"/>
        <w:spacing w:lineRule="auto" w:line="288" w:before="0" w:after="120"/>
        <w:ind w:left="0" w:right="0" w:firstLine="720"/>
        <w:jc w:val="both"/>
        <w:rPr/>
      </w:pPr>
      <w:r>
        <w:rPr>
          <w:rFonts w:ascii="Times New Roman;sans-serif" w:hAnsi="Times New Roman;sans-serif"/>
          <w:b/>
          <w:color w:val="000000"/>
          <w:sz w:val="20"/>
        </w:rPr>
        <w:t>6.3.    </w:t>
      </w:r>
      <w:r>
        <w:rPr>
          <w:rFonts w:ascii="Times New Roman;sans-serif" w:hAnsi="Times New Roman;sans-serif"/>
          <w:b w:val="false"/>
          <w:color w:val="000000"/>
          <w:sz w:val="20"/>
          <w:u w:val="single"/>
        </w:rPr>
        <w:t>Terms of Restricted Stock Awards</w:t>
      </w:r>
      <w:r>
        <w:rPr>
          <w:rFonts w:ascii="Times New Roman;sans-serif" w:hAnsi="Times New Roman;sans-serif"/>
          <w:b w:val="false"/>
          <w:color w:val="000000"/>
          <w:sz w:val="20"/>
        </w:rPr>
        <w:t>. Restricted Stock Awards will be subject to such restrictions as the Committee may impose or are required by law. These restrictions may be based on completion of a specified period of Service with the Company or upon completion of Performance Factors, if any, during any Performance Period as set out in advance in the Participant’s Award Agreement. Prior to the grant of a Restricted Stock Award, the Committee will: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pStyle w:val="TextBody"/>
        <w:spacing w:lineRule="auto" w:line="288" w:before="0" w:after="120"/>
        <w:ind w:left="0" w:right="0" w:firstLine="720"/>
        <w:jc w:val="both"/>
        <w:rPr/>
      </w:pPr>
      <w:r>
        <w:rPr>
          <w:rFonts w:ascii="Times New Roman;sans-serif" w:hAnsi="Times New Roman;sans-serif"/>
          <w:b/>
          <w:color w:val="000000"/>
          <w:sz w:val="20"/>
        </w:rPr>
        <w:t>6.4.    </w:t>
      </w:r>
      <w:r>
        <w:rPr>
          <w:rFonts w:ascii="Times New Roman;sans-serif" w:hAnsi="Times New Roman;sans-serif"/>
          <w:b w:val="false"/>
          <w:color w:val="000000"/>
          <w:sz w:val="20"/>
          <w:u w:val="single"/>
        </w:rPr>
        <w:t>Termination of Service</w:t>
      </w:r>
      <w:r>
        <w:rPr>
          <w:rFonts w:ascii="Times New Roman;sans-serif" w:hAnsi="Times New Roman;sans-serif"/>
          <w:b w:val="false"/>
          <w:color w:val="000000"/>
          <w:sz w:val="20"/>
        </w:rPr>
        <w:t>. Except as may be set forth in the Participant’s Award Agreement, vesting ceases on such date Participant’s Service terminates (unless determined otherwise by the Committee).</w:t>
      </w:r>
    </w:p>
    <w:p>
      <w:pPr>
        <w:pStyle w:val="TextBody"/>
        <w:spacing w:lineRule="auto" w:line="288" w:before="0" w:after="120"/>
        <w:jc w:val="both"/>
        <w:rPr/>
      </w:pPr>
      <w:r>
        <w:rPr>
          <w:rFonts w:ascii="Times New Roman;sans-serif" w:hAnsi="Times New Roman;sans-serif"/>
          <w:b/>
          <w:color w:val="000000"/>
          <w:sz w:val="20"/>
        </w:rPr>
        <w:t>7.    </w:t>
      </w:r>
      <w:r>
        <w:rPr>
          <w:rFonts w:ascii="Times New Roman;sans-serif" w:hAnsi="Times New Roman;sans-serif"/>
          <w:b/>
          <w:color w:val="000000"/>
          <w:sz w:val="20"/>
          <w:u w:val="single"/>
        </w:rPr>
        <w:t>STOCK BONUS AWARDS</w:t>
      </w:r>
      <w:r>
        <w:rPr>
          <w:rFonts w:ascii="Times New Roman;sans-serif" w:hAnsi="Times New Roman;sans-serif"/>
          <w:b w:val="false"/>
          <w:color w:val="000000"/>
          <w:sz w:val="20"/>
        </w:rPr>
        <w:t>. A Stock Bonus Award is an award to an eligible Employee, Consultant, or Director of Shares for Services to be rendered or for past Services already rendered to the Company or any Parent, Subsidiary, or Affiliate. All Stock Bonus Awards will be made pursuant to an Award Agreement. No payment from the Participant will be required for Shares awarded pursuant to a Stock Bonus Award.</w:t>
      </w:r>
    </w:p>
    <w:p>
      <w:pPr>
        <w:pStyle w:val="TextBody"/>
        <w:spacing w:lineRule="auto" w:line="288" w:before="0" w:after="120"/>
        <w:ind w:left="0" w:right="0" w:firstLine="720"/>
        <w:jc w:val="both"/>
        <w:rPr/>
      </w:pPr>
      <w:r>
        <w:rPr>
          <w:rFonts w:ascii="Times New Roman;sans-serif" w:hAnsi="Times New Roman;sans-serif"/>
          <w:b/>
          <w:color w:val="000000"/>
          <w:sz w:val="20"/>
        </w:rPr>
        <w:t>7.1.    </w:t>
      </w:r>
      <w:r>
        <w:rPr>
          <w:rFonts w:ascii="Times New Roman;sans-serif" w:hAnsi="Times New Roman;sans-serif"/>
          <w:b w:val="false"/>
          <w:color w:val="000000"/>
          <w:sz w:val="20"/>
          <w:u w:val="single"/>
        </w:rPr>
        <w:t>Terms of Stock Bonus Awards</w:t>
      </w:r>
      <w:r>
        <w:rPr>
          <w:rFonts w:ascii="Times New Roman;sans-serif" w:hAnsi="Times New Roman;sans-serif"/>
          <w:b w:val="false"/>
          <w:color w:val="000000"/>
          <w:sz w:val="20"/>
        </w:rPr>
        <w:t>. The Committee will determine the number of Shares to be awarded to the Participant under a Stock Bonus Award and any restrictions thereon. These restrictions may be based upon completion of a specified period of Service with the Company or upon satisfaction of performance goals based on Performance Factors during any Performance Period as set out in advance in the Participant’s Stock Bonus Agreement. Prior to the grant of any Stock Bonus Award the Committee will: (a) determine the nature, length, and starting date of any Performance Period for the Stock Bonus Award; (b) select from among the Performance Factors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pStyle w:val="TextBody"/>
        <w:spacing w:lineRule="auto" w:line="288" w:before="0" w:after="120"/>
        <w:ind w:left="0" w:right="0" w:firstLine="720"/>
        <w:jc w:val="both"/>
        <w:rPr/>
      </w:pPr>
      <w:r>
        <w:rPr>
          <w:rFonts w:ascii="Times New Roman;sans-serif" w:hAnsi="Times New Roman;sans-serif"/>
          <w:b/>
          <w:color w:val="000000"/>
          <w:sz w:val="20"/>
        </w:rPr>
        <w:t>7.2.    </w:t>
      </w:r>
      <w:r>
        <w:rPr>
          <w:rFonts w:ascii="Times New Roman;sans-serif" w:hAnsi="Times New Roman;sans-serif"/>
          <w:b w:val="false"/>
          <w:color w:val="000000"/>
          <w:sz w:val="20"/>
          <w:u w:val="single"/>
        </w:rPr>
        <w:t>Form of Payment to Participant</w:t>
      </w:r>
      <w:r>
        <w:rPr>
          <w:rFonts w:ascii="Times New Roman;sans-serif" w:hAnsi="Times New Roman;sans-serif"/>
          <w:b w:val="false"/>
          <w:color w:val="000000"/>
          <w:sz w:val="20"/>
        </w:rPr>
        <w:t>. Payment may be made in the form of cash, whole Shares, or a combination thereof, based on the Fair Market Value of the Shares earned under a Stock Bonus Award on the date of payment, as determined in the sole discretion of the Committee.</w:t>
      </w:r>
    </w:p>
    <w:p>
      <w:pPr>
        <w:pStyle w:val="TextBody"/>
        <w:spacing w:lineRule="auto" w:line="288" w:before="0" w:after="120"/>
        <w:ind w:left="0" w:right="0" w:firstLine="720"/>
        <w:jc w:val="both"/>
        <w:rPr/>
      </w:pPr>
      <w:r>
        <w:rPr>
          <w:rFonts w:ascii="Times New Roman;sans-serif" w:hAnsi="Times New Roman;sans-serif"/>
          <w:b/>
          <w:color w:val="000000"/>
          <w:sz w:val="20"/>
        </w:rPr>
        <w:t>7.3.    </w:t>
      </w:r>
      <w:r>
        <w:rPr>
          <w:rFonts w:ascii="Times New Roman;sans-serif" w:hAnsi="Times New Roman;sans-serif"/>
          <w:b w:val="false"/>
          <w:color w:val="000000"/>
          <w:sz w:val="20"/>
          <w:u w:val="single"/>
        </w:rPr>
        <w:t>Termination of Service</w:t>
      </w:r>
      <w:r>
        <w:rPr>
          <w:rFonts w:ascii="Times New Roman;sans-serif" w:hAnsi="Times New Roman;sans-serif"/>
          <w:b w:val="false"/>
          <w:color w:val="000000"/>
          <w:sz w:val="20"/>
        </w:rPr>
        <w:t>. Except as may be set forth in the Participant’s Award Agreement, vesting ceases on such date Participant’s Service terminates (unless determined otherwise by the Committee).</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6"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A-5</w:t>
                      </w:r>
                    </w:p>
                  </w:txbxContent>
                </v:textbox>
              </v:rect>
            </w:pict>
          </mc:Fallback>
        </mc:AlternateContent>
      </w:r>
    </w:p>
    <w:p>
      <w:pPr>
        <w:pStyle w:val="TextBody"/>
        <w:spacing w:before="0" w:after="0"/>
        <w:rPr/>
      </w:pPr>
      <w:r>
        <w:rPr/>
      </w:r>
    </w:p>
    <w:p>
      <w:pPr>
        <w:pStyle w:val="TextBody"/>
        <w:spacing w:lineRule="auto" w:line="288" w:before="0" w:after="120"/>
        <w:jc w:val="both"/>
        <w:rPr/>
      </w:pPr>
      <w:r>
        <w:rPr>
          <w:rFonts w:ascii="Times New Roman;sans-serif" w:hAnsi="Times New Roman;sans-serif"/>
          <w:b/>
          <w:color w:val="000000"/>
          <w:sz w:val="20"/>
        </w:rPr>
        <w:t>8.    </w:t>
      </w:r>
      <w:r>
        <w:rPr>
          <w:rFonts w:ascii="Times New Roman;sans-serif" w:hAnsi="Times New Roman;sans-serif"/>
          <w:b/>
          <w:color w:val="000000"/>
          <w:sz w:val="20"/>
          <w:u w:val="single"/>
        </w:rPr>
        <w:t>STOCK APPRECIATION RIGHTS</w:t>
      </w:r>
      <w:r>
        <w:rPr>
          <w:rFonts w:ascii="Times New Roman;sans-serif" w:hAnsi="Times New Roman;sans-serif"/>
          <w:b w:val="false"/>
          <w:color w:val="000000"/>
          <w:sz w:val="20"/>
        </w:rPr>
        <w:t>. A Stock Appreciation Right (“</w:t>
      </w:r>
      <w:r>
        <w:rPr>
          <w:rFonts w:ascii="Times New Roman;sans-serif" w:hAnsi="Times New Roman;sans-serif"/>
          <w:b/>
          <w:i/>
          <w:color w:val="000000"/>
          <w:sz w:val="20"/>
        </w:rPr>
        <w:t>SAR</w:t>
      </w:r>
      <w:r>
        <w:rPr>
          <w:color w:val="000000"/>
        </w:rPr>
        <w:t>”</w:t>
      </w:r>
      <w:r>
        <w:rPr>
          <w:rFonts w:ascii="Times New Roman;sans-serif" w:hAnsi="Times New Roman;sans-serif"/>
          <w:b w:val="false"/>
          <w:color w:val="000000"/>
          <w:sz w:val="20"/>
        </w:rPr>
        <w:t>) is an award to an eligible Employee, Consultant, or Director that 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will be made pursuant to an Award Agreement.</w:t>
      </w:r>
    </w:p>
    <w:p>
      <w:pPr>
        <w:pStyle w:val="TextBody"/>
        <w:spacing w:lineRule="auto" w:line="288" w:before="0" w:after="120"/>
        <w:ind w:left="0" w:right="0" w:firstLine="720"/>
        <w:jc w:val="both"/>
        <w:rPr/>
      </w:pPr>
      <w:r>
        <w:rPr>
          <w:rFonts w:ascii="Times New Roman;sans-serif" w:hAnsi="Times New Roman;sans-serif"/>
          <w:b/>
          <w:color w:val="000000"/>
          <w:sz w:val="20"/>
        </w:rPr>
        <w:t>8.1.    </w:t>
      </w:r>
      <w:r>
        <w:rPr>
          <w:rFonts w:ascii="Times New Roman;sans-serif" w:hAnsi="Times New Roman;sans-serif"/>
          <w:b w:val="false"/>
          <w:color w:val="000000"/>
          <w:sz w:val="20"/>
          <w:u w:val="single"/>
        </w:rPr>
        <w:t>Terms of SARs</w:t>
      </w:r>
      <w:r>
        <w:rPr>
          <w:rFonts w:ascii="Times New Roman;sans-serif" w:hAnsi="Times New Roman;sans-serif"/>
          <w:b w:val="false"/>
          <w:color w:val="000000"/>
          <w:sz w:val="20"/>
        </w:rPr>
        <w:t>. The Committee will determine the terms of each SAR including, without limitation: (a) the number of Shares subject to the SAR, (b) the Exercise Price and the time or times during which the SAR may be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on the date of grant. A SAR may be awarded upon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pStyle w:val="TextBody"/>
        <w:spacing w:lineRule="auto" w:line="288" w:before="0" w:after="120"/>
        <w:ind w:left="0" w:right="0" w:firstLine="720"/>
        <w:jc w:val="both"/>
        <w:rPr/>
      </w:pPr>
      <w:r>
        <w:rPr>
          <w:rFonts w:ascii="Times New Roman;sans-serif" w:hAnsi="Times New Roman;sans-serif"/>
          <w:b/>
          <w:color w:val="000000"/>
          <w:sz w:val="20"/>
        </w:rPr>
        <w:t>8.2.    </w:t>
      </w:r>
      <w:r>
        <w:rPr>
          <w:rFonts w:ascii="Times New Roman;sans-serif" w:hAnsi="Times New Roman;sans-serif"/>
          <w:b w:val="false"/>
          <w:color w:val="000000"/>
          <w:sz w:val="20"/>
          <w:u w:val="single"/>
        </w:rPr>
        <w:t>Exercise Period and Expiration Date</w:t>
      </w:r>
      <w:r>
        <w:rPr>
          <w:rFonts w:ascii="Times New Roman;sans-serif" w:hAnsi="Times New Roman;sans-serif"/>
          <w:b w:val="false"/>
          <w:color w:val="000000"/>
          <w:sz w:val="20"/>
        </w:rPr>
        <w:t xml:space="preserve">. A SAR will be exercisable within the times or upon the occurrence of events determined by the Committee and set forth in the Award Agreement governing such SAR. The SAR Agreement will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Notwithstanding the foregoing, the rules of </w:t>
      </w:r>
      <w:r>
        <w:rPr>
          <w:rFonts w:ascii="Times New Roman;sans-serif" w:hAnsi="Times New Roman;sans-serif"/>
          <w:b w:val="false"/>
          <w:color w:val="000000"/>
          <w:sz w:val="20"/>
          <w:u w:val="single"/>
        </w:rPr>
        <w:t>Section 5.6</w:t>
      </w:r>
      <w:r>
        <w:rPr>
          <w:color w:val="000000"/>
        </w:rPr>
        <w:t xml:space="preserve"> </w:t>
      </w:r>
      <w:r>
        <w:rPr>
          <w:rFonts w:ascii="Times New Roman;sans-serif" w:hAnsi="Times New Roman;sans-serif"/>
          <w:b w:val="false"/>
          <w:color w:val="000000"/>
          <w:sz w:val="20"/>
        </w:rPr>
        <w:t>also will apply to SARs.</w:t>
      </w:r>
    </w:p>
    <w:p>
      <w:pPr>
        <w:pStyle w:val="TextBody"/>
        <w:spacing w:lineRule="auto" w:line="288" w:before="0" w:after="120"/>
        <w:ind w:left="0" w:right="0" w:firstLine="720"/>
        <w:jc w:val="both"/>
        <w:rPr/>
      </w:pPr>
      <w:r>
        <w:rPr>
          <w:rFonts w:ascii="Times New Roman;sans-serif" w:hAnsi="Times New Roman;sans-serif"/>
          <w:b/>
          <w:color w:val="000000"/>
          <w:sz w:val="20"/>
        </w:rPr>
        <w:t>8.3.    </w:t>
      </w:r>
      <w:r>
        <w:rPr>
          <w:rFonts w:ascii="Times New Roman;sans-serif" w:hAnsi="Times New Roman;sans-serif"/>
          <w:b w:val="false"/>
          <w:color w:val="000000"/>
          <w:sz w:val="20"/>
          <w:u w:val="single"/>
        </w:rPr>
        <w:t>Form of Settlement</w:t>
      </w:r>
      <w:r>
        <w:rPr>
          <w:rFonts w:ascii="Times New Roman;sans-serif" w:hAnsi="Times New Roman;sans-serif"/>
          <w:b w:val="false"/>
          <w:color w:val="000000"/>
          <w:sz w:val="20"/>
        </w:rPr>
        <w:t xml:space="preserve">. Upon exercise of a SAR, a Participant will be entitled to receive payment from the Company in an amount determined by multiplying (a) the difference between the Fair Market Value of a Share on the date of exercise over the Exercise Price, by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w:t>
      </w:r>
      <w:r>
        <w:rPr>
          <w:rFonts w:ascii="Times New Roman;sans-serif" w:hAnsi="Times New Roman;sans-serif"/>
          <w:b w:val="false"/>
          <w:color w:val="000000"/>
          <w:sz w:val="20"/>
          <w:u w:val="single"/>
        </w:rPr>
        <w:t>provided that</w:t>
      </w:r>
      <w:r>
        <w:rPr>
          <w:color w:val="000000"/>
        </w:rPr>
        <w:t xml:space="preserve"> </w:t>
      </w:r>
      <w:r>
        <w:rPr>
          <w:rFonts w:ascii="Times New Roman;sans-serif" w:hAnsi="Times New Roman;sans-serif"/>
          <w:b w:val="false"/>
          <w:color w:val="000000"/>
          <w:sz w:val="20"/>
        </w:rPr>
        <w:t>the terms of the SAR and any deferral satisfy the requirements of Section 409A of the Code to the extent applicable.</w:t>
      </w:r>
    </w:p>
    <w:p>
      <w:pPr>
        <w:pStyle w:val="TextBody"/>
        <w:spacing w:lineRule="auto" w:line="288" w:before="0" w:after="120"/>
        <w:ind w:left="0" w:right="0" w:firstLine="720"/>
        <w:jc w:val="both"/>
        <w:rPr/>
      </w:pPr>
      <w:r>
        <w:rPr>
          <w:rFonts w:ascii="Times New Roman;sans-serif" w:hAnsi="Times New Roman;sans-serif"/>
          <w:b/>
          <w:color w:val="000000"/>
          <w:sz w:val="20"/>
        </w:rPr>
        <w:t>8.4.    </w:t>
      </w:r>
      <w:r>
        <w:rPr>
          <w:rFonts w:ascii="Times New Roman;sans-serif" w:hAnsi="Times New Roman;sans-serif"/>
          <w:b w:val="false"/>
          <w:color w:val="000000"/>
          <w:sz w:val="20"/>
          <w:u w:val="single"/>
        </w:rPr>
        <w:t>Termination of Service</w:t>
      </w:r>
      <w:r>
        <w:rPr>
          <w:rFonts w:ascii="Times New Roman;sans-serif" w:hAnsi="Times New Roman;sans-serif"/>
          <w:b w:val="false"/>
          <w:color w:val="000000"/>
          <w:sz w:val="20"/>
        </w:rPr>
        <w:t>. Except as may be set forth in the Participant’s Award Agreement, vesting ceases on the date Participant’s Service terminates (unless determined otherwise by the Committee).</w:t>
      </w:r>
    </w:p>
    <w:p>
      <w:pPr>
        <w:pStyle w:val="TextBody"/>
        <w:spacing w:lineRule="auto" w:line="288" w:before="0" w:after="120"/>
        <w:jc w:val="both"/>
        <w:rPr/>
      </w:pPr>
      <w:r>
        <w:rPr>
          <w:rFonts w:ascii="Times New Roman;sans-serif" w:hAnsi="Times New Roman;sans-serif"/>
          <w:b/>
          <w:color w:val="000000"/>
          <w:sz w:val="20"/>
        </w:rPr>
        <w:t>9.    </w:t>
      </w:r>
      <w:r>
        <w:rPr>
          <w:rFonts w:ascii="Times New Roman;sans-serif" w:hAnsi="Times New Roman;sans-serif"/>
          <w:b/>
          <w:color w:val="000000"/>
          <w:sz w:val="20"/>
          <w:u w:val="single"/>
        </w:rPr>
        <w:t>RESTRICTED STOCK UNITS</w:t>
      </w:r>
      <w:r>
        <w:rPr>
          <w:rFonts w:ascii="Times New Roman;sans-serif" w:hAnsi="Times New Roman;sans-serif"/>
          <w:b w:val="false"/>
          <w:color w:val="000000"/>
          <w:sz w:val="20"/>
        </w:rPr>
        <w:t>. A Restricted Stock Unit (“</w:t>
      </w:r>
      <w:r>
        <w:rPr>
          <w:rFonts w:ascii="Times New Roman;sans-serif" w:hAnsi="Times New Roman;sans-serif"/>
          <w:b/>
          <w:i/>
          <w:color w:val="000000"/>
          <w:sz w:val="20"/>
        </w:rPr>
        <w:t>RSU</w:t>
      </w:r>
      <w:r>
        <w:rPr>
          <w:color w:val="000000"/>
        </w:rPr>
        <w:t>”</w:t>
      </w:r>
      <w:r>
        <w:rPr>
          <w:rFonts w:ascii="Times New Roman;sans-serif" w:hAnsi="Times New Roman;sans-serif"/>
          <w:b w:val="false"/>
          <w:color w:val="000000"/>
          <w:sz w:val="20"/>
        </w:rPr>
        <w:t>) is an award to an eligible Employee, Consultant, or Director covering a number of Shares that may be settled by issuance of those Shares (which may consist of Restricted Stock) or in cash. All RSUs will be made pursuant to an Award Agreement.</w:t>
      </w:r>
    </w:p>
    <w:p>
      <w:pPr>
        <w:pStyle w:val="TextBody"/>
        <w:spacing w:lineRule="auto" w:line="288" w:before="0" w:after="120"/>
        <w:ind w:left="0" w:right="0" w:firstLine="720"/>
        <w:jc w:val="both"/>
        <w:rPr/>
      </w:pPr>
      <w:r>
        <w:rPr>
          <w:rFonts w:ascii="Times New Roman;sans-serif" w:hAnsi="Times New Roman;sans-serif"/>
          <w:b/>
          <w:color w:val="000000"/>
          <w:sz w:val="20"/>
        </w:rPr>
        <w:t>9.1.    </w:t>
      </w:r>
      <w:r>
        <w:rPr>
          <w:rFonts w:ascii="Times New Roman;sans-serif" w:hAnsi="Times New Roman;sans-serif"/>
          <w:b w:val="false"/>
          <w:color w:val="000000"/>
          <w:sz w:val="20"/>
          <w:u w:val="single"/>
        </w:rPr>
        <w:t>Terms of RSUs</w:t>
      </w:r>
      <w:r>
        <w:rPr>
          <w:rFonts w:ascii="Times New Roman;sans-serif" w:hAnsi="Times New Roman;sans-serif"/>
          <w:b w:val="false"/>
          <w:color w:val="000000"/>
          <w:sz w:val="20"/>
        </w:rPr>
        <w:t>. The Committee will determine the terms of an RSU including, without limitation: (a) the number of Shares subject to the RSU, (b) the time or times during which the RSU may be settled, (c) the consideration to be distributed on settlement, and (d) the effect of the Participant’s termination of Service on each RSU, provided that no RSU will have a term longer than ten (10) years.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pStyle w:val="TextBody"/>
        <w:spacing w:lineRule="auto" w:line="288" w:before="0" w:after="120"/>
        <w:ind w:left="0" w:right="0" w:firstLine="720"/>
        <w:jc w:val="both"/>
        <w:rPr/>
      </w:pPr>
      <w:r>
        <w:rPr>
          <w:rFonts w:ascii="Times New Roman;sans-serif" w:hAnsi="Times New Roman;sans-serif"/>
          <w:b/>
          <w:color w:val="000000"/>
          <w:sz w:val="20"/>
        </w:rPr>
        <w:t>9.2.    </w:t>
      </w:r>
      <w:r>
        <w:rPr>
          <w:rFonts w:ascii="Times New Roman;sans-serif" w:hAnsi="Times New Roman;sans-serif"/>
          <w:b w:val="false"/>
          <w:color w:val="000000"/>
          <w:sz w:val="20"/>
          <w:u w:val="single"/>
        </w:rPr>
        <w:t>Form and Timing of Settlement</w:t>
      </w:r>
      <w:r>
        <w:rPr>
          <w:rFonts w:ascii="Times New Roman;sans-serif" w:hAnsi="Times New Roman;sans-serif"/>
          <w:b w:val="false"/>
          <w:color w:val="000000"/>
          <w:sz w:val="20"/>
        </w:rPr>
        <w:t xml:space="preserve">. Payment of earned RSUs will be made as soon as practicable after the date(s) determined by the Committee and set forth in the Award Agreement. The Committee, in its sole discretion, may settle earned RSUs in cash, Shares, or a combination of both. The Committee may also permit a Participant to defer payment under a RSU to a date or dates after the RSU is earned, </w:t>
      </w:r>
      <w:r>
        <w:rPr>
          <w:rFonts w:ascii="Times New Roman;sans-serif" w:hAnsi="Times New Roman;sans-serif"/>
          <w:b w:val="false"/>
          <w:color w:val="000000"/>
          <w:sz w:val="20"/>
          <w:u w:val="single"/>
        </w:rPr>
        <w:t>provided that</w:t>
      </w:r>
      <w:r>
        <w:rPr>
          <w:color w:val="000000"/>
        </w:rPr>
        <w:t xml:space="preserve"> </w:t>
      </w:r>
      <w:r>
        <w:rPr>
          <w:rFonts w:ascii="Times New Roman;sans-serif" w:hAnsi="Times New Roman;sans-serif"/>
          <w:b w:val="false"/>
          <w:color w:val="000000"/>
          <w:sz w:val="20"/>
        </w:rPr>
        <w:t>the terms of the RSU and any deferral satisfy the requirements of Section 409A of the Code to the extent applicable.</w:t>
      </w:r>
    </w:p>
    <w:p>
      <w:pPr>
        <w:pStyle w:val="TextBody"/>
        <w:spacing w:lineRule="auto" w:line="288" w:before="0" w:after="120"/>
        <w:ind w:left="0" w:right="0" w:firstLine="720"/>
        <w:jc w:val="both"/>
        <w:rPr/>
      </w:pPr>
      <w:r>
        <w:rPr>
          <w:rFonts w:ascii="Times New Roman;sans-serif" w:hAnsi="Times New Roman;sans-serif"/>
          <w:b/>
          <w:color w:val="000000"/>
          <w:sz w:val="20"/>
        </w:rPr>
        <w:t>9.3.    </w:t>
      </w:r>
      <w:r>
        <w:rPr>
          <w:rFonts w:ascii="Times New Roman;sans-serif" w:hAnsi="Times New Roman;sans-serif"/>
          <w:b w:val="false"/>
          <w:color w:val="000000"/>
          <w:sz w:val="20"/>
          <w:u w:val="single"/>
        </w:rPr>
        <w:t>Termination of Service</w:t>
      </w:r>
      <w:r>
        <w:rPr>
          <w:rFonts w:ascii="Times New Roman;sans-serif" w:hAnsi="Times New Roman;sans-serif"/>
          <w:b w:val="false"/>
          <w:color w:val="000000"/>
          <w:sz w:val="20"/>
        </w:rPr>
        <w:t>. Except as may be set forth in the Participant’s Award Agreement, vesting ceases on such date Participant’s Service terminates (unless determined otherwise by the Committee).</w:t>
      </w:r>
    </w:p>
    <w:p>
      <w:pPr>
        <w:pStyle w:val="TextBody"/>
        <w:spacing w:lineRule="auto" w:line="288" w:before="0" w:after="120"/>
        <w:jc w:val="both"/>
        <w:rPr/>
      </w:pPr>
      <w:r>
        <w:rPr>
          <w:rFonts w:ascii="Times New Roman;sans-serif" w:hAnsi="Times New Roman;sans-serif"/>
          <w:b/>
          <w:color w:val="000000"/>
          <w:sz w:val="20"/>
        </w:rPr>
        <w:t>10.    </w:t>
      </w:r>
      <w:r>
        <w:rPr>
          <w:rFonts w:ascii="Times New Roman;sans-serif" w:hAnsi="Times New Roman;sans-serif"/>
          <w:b/>
          <w:color w:val="000000"/>
          <w:sz w:val="20"/>
          <w:u w:val="single"/>
        </w:rPr>
        <w:t>PERFORMANCE AWARDS</w:t>
      </w:r>
      <w:r>
        <w:rPr>
          <w:rFonts w:ascii="Times New Roman;sans-serif" w:hAnsi="Times New Roman;sans-serif"/>
          <w:b w:val="false"/>
          <w:color w:val="000000"/>
          <w:sz w:val="20"/>
        </w:rPr>
        <w:t xml:space="preserve">. </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Performance Award is an award to an eligible Employee, Consultant, or Director that is based upon the attainment of performance goals, as established by the Committee, and other terms and conditions specified by the Committee, and may be </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7"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A-6</w:t>
                      </w:r>
                    </w:p>
                  </w:txbxContent>
                </v:textbox>
              </v:rect>
            </w:pict>
          </mc:Fallback>
        </mc:AlternateContent>
      </w:r>
    </w:p>
    <w:p>
      <w:pPr>
        <w:pStyle w:val="TextBody"/>
        <w:spacing w:before="0" w:after="0"/>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settled in cash, Shares (which may consist of, without limitation, Restricted Stock), other property, or any combination thereof, and may be cash-based. Grants of Performance Awards will be made pursuant to an Award Agreement.</w:t>
      </w:r>
    </w:p>
    <w:p>
      <w:pPr>
        <w:pStyle w:val="TextBody"/>
        <w:spacing w:lineRule="auto" w:line="288" w:before="0" w:after="120"/>
        <w:ind w:left="0" w:right="0" w:firstLine="720"/>
        <w:jc w:val="both"/>
        <w:rPr/>
      </w:pPr>
      <w:r>
        <w:rPr>
          <w:rFonts w:ascii="Times New Roman;sans-serif" w:hAnsi="Times New Roman;sans-serif"/>
          <w:b/>
          <w:color w:val="000000"/>
          <w:sz w:val="20"/>
        </w:rPr>
        <w:t>10.1.    </w:t>
      </w:r>
      <w:r>
        <w:rPr>
          <w:rFonts w:ascii="Times New Roman;sans-serif" w:hAnsi="Times New Roman;sans-serif"/>
          <w:b w:val="false"/>
          <w:color w:val="000000"/>
          <w:sz w:val="20"/>
          <w:u w:val="single"/>
        </w:rPr>
        <w:t>Types of Performance Awards</w:t>
      </w:r>
      <w:r>
        <w:rPr>
          <w:rFonts w:ascii="Times New Roman;sans-serif" w:hAnsi="Times New Roman;sans-serif"/>
          <w:b w:val="false"/>
          <w:color w:val="000000"/>
          <w:sz w:val="20"/>
        </w:rPr>
        <w:t xml:space="preserve">. Performance Awards shall include Performance Shares, Performance Units and cash-settled Performance Awards as set forth in Sections 10.1(a), 10.1(b) and 10.1(c) below. </w:t>
      </w:r>
    </w:p>
    <w:p>
      <w:pPr>
        <w:pStyle w:val="TextBody"/>
        <w:spacing w:lineRule="auto" w:line="288" w:before="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Performance Shares</w:t>
      </w:r>
      <w:r>
        <w:rPr>
          <w:rFonts w:ascii="Times New Roman;sans-serif" w:hAnsi="Times New Roman;sans-serif"/>
          <w:b w:val="false"/>
          <w:color w:val="000000"/>
          <w:sz w:val="20"/>
        </w:rPr>
        <w:t>. The Committee may grant Awards of Performance Shares, designate the Participants to whom Performance Shares are to be awarded and determine the number of Performance Shares and the terms and conditions of each such Award.</w:t>
      </w:r>
    </w:p>
    <w:p>
      <w:pPr>
        <w:pStyle w:val="TextBody"/>
        <w:spacing w:lineRule="auto" w:line="288" w:before="0" w:after="12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Performance Units</w:t>
      </w:r>
      <w:r>
        <w:rPr>
          <w:rFonts w:ascii="Times New Roman;sans-serif" w:hAnsi="Times New Roman;sans-serif"/>
          <w:b w:val="false"/>
          <w:color w:val="000000"/>
          <w:sz w:val="20"/>
        </w:rPr>
        <w:t xml:space="preserve">. The Committee may grant Awards of Performance Units, designate the Participants to whom Performance Units are to be awarded and determine the number of Performance Units and the terms and conditions of each such Award. </w:t>
      </w:r>
    </w:p>
    <w:p>
      <w:pPr>
        <w:pStyle w:val="TextBody"/>
        <w:spacing w:lineRule="auto" w:line="288" w:before="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Cash-Settled Performance Awards</w:t>
      </w:r>
      <w:r>
        <w:rPr>
          <w:rFonts w:ascii="Times New Roman;sans-serif" w:hAnsi="Times New Roman;sans-serif"/>
          <w:b w:val="false"/>
          <w:color w:val="000000"/>
          <w:sz w:val="20"/>
        </w:rPr>
        <w:t xml:space="preserve">. The Committee may also grant cash-settled Performance Awards, designate the Participants to whom cash-settled Performance Awards are to be awarded and determine the terms and conditions of each such Award.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to be paid under any Performance Award may be adjusted on the basis of such further consideration as the Committee shall determine in its sole discretion.</w:t>
      </w:r>
    </w:p>
    <w:p>
      <w:pPr>
        <w:pStyle w:val="TextBody"/>
        <w:spacing w:lineRule="auto" w:line="288" w:before="0" w:after="120"/>
        <w:ind w:left="0" w:right="0" w:firstLine="720"/>
        <w:jc w:val="both"/>
        <w:rPr/>
      </w:pPr>
      <w:r>
        <w:rPr>
          <w:rFonts w:ascii="Times New Roman;sans-serif" w:hAnsi="Times New Roman;sans-serif"/>
          <w:b/>
          <w:color w:val="000000"/>
          <w:sz w:val="20"/>
        </w:rPr>
        <w:t>10.2.    </w:t>
      </w:r>
      <w:r>
        <w:rPr>
          <w:rFonts w:ascii="Times New Roman;sans-serif" w:hAnsi="Times New Roman;sans-serif"/>
          <w:b w:val="false"/>
          <w:color w:val="000000"/>
          <w:sz w:val="20"/>
          <w:u w:val="single"/>
        </w:rPr>
        <w:t>Terms of Performance Awards</w:t>
      </w:r>
      <w:r>
        <w:rPr>
          <w:rFonts w:ascii="Times New Roman;sans-serif" w:hAnsi="Times New Roman;sans-serif"/>
          <w:b w:val="false"/>
          <w:color w:val="000000"/>
          <w:sz w:val="20"/>
        </w:rPr>
        <w:t xml:space="preserve">. Performance Awards will be based on the attainment of performance goals using the Performance Factors within this Plan that are established by the Committee for the relevant Performance Period. The Committee will determine, and each Award Agreement will set forth, the terms of each Performance Award including, without limitation: (a) the amount of any cash bonus, (b) the number of Shares deemed subject to a Performance Award, (c) the Performance Factors and Performance Period that will determine the time and extent to which each Performance Award will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(iii) determine the number of Shares deemed subject to the award of Performance Shares. Each Performance Share will have an initial value equal to the Fair Market Value of a Share on the date of grant. Prior to settlement the Committee will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 </w:t>
      </w:r>
    </w:p>
    <w:p>
      <w:pPr>
        <w:pStyle w:val="TextBody"/>
        <w:spacing w:lineRule="auto" w:line="288" w:before="0" w:after="120"/>
        <w:ind w:left="0" w:right="0" w:firstLine="720"/>
        <w:jc w:val="both"/>
        <w:rPr/>
      </w:pPr>
      <w:r>
        <w:rPr>
          <w:rFonts w:ascii="Times New Roman;sans-serif" w:hAnsi="Times New Roman;sans-serif"/>
          <w:b/>
          <w:color w:val="000000"/>
          <w:sz w:val="20"/>
        </w:rPr>
        <w:t>10.3.    </w:t>
      </w:r>
      <w:r>
        <w:rPr>
          <w:rFonts w:ascii="Times New Roman;sans-serif" w:hAnsi="Times New Roman;sans-serif"/>
          <w:b w:val="false"/>
          <w:color w:val="000000"/>
          <w:sz w:val="20"/>
          <w:u w:val="single"/>
        </w:rPr>
        <w:t>Termination of Service</w:t>
      </w:r>
      <w:r>
        <w:rPr>
          <w:rFonts w:ascii="Times New Roman;sans-serif" w:hAnsi="Times New Roman;sans-serif"/>
          <w:b w:val="false"/>
          <w:color w:val="000000"/>
          <w:sz w:val="20"/>
        </w:rPr>
        <w:t>. Except as may be set forth in the Participant’s Award Agreement, vesting ceases on the date Participant’s Service terminates (unless determined otherwise by the Committee).</w:t>
      </w:r>
    </w:p>
    <w:p>
      <w:pPr>
        <w:pStyle w:val="TextBody"/>
        <w:spacing w:lineRule="auto" w:line="288" w:before="0" w:after="120"/>
        <w:jc w:val="both"/>
        <w:rPr/>
      </w:pPr>
      <w:r>
        <w:rPr>
          <w:rFonts w:ascii="Times New Roman;sans-serif" w:hAnsi="Times New Roman;sans-serif"/>
          <w:b/>
          <w:color w:val="000000"/>
          <w:sz w:val="20"/>
        </w:rPr>
        <w:t>11.    </w:t>
      </w:r>
      <w:r>
        <w:rPr>
          <w:rFonts w:ascii="Times New Roman;sans-serif" w:hAnsi="Times New Roman;sans-serif"/>
          <w:b/>
          <w:color w:val="000000"/>
          <w:sz w:val="20"/>
          <w:u w:val="single"/>
        </w:rPr>
        <w:t>PAYMENT FOR SHARE PURCHASES</w:t>
      </w:r>
      <w:r>
        <w:rPr>
          <w:rFonts w:ascii="Times New Roman;sans-serif" w:hAnsi="Times New Roman;sans-serif"/>
          <w:b w:val="false"/>
          <w:color w:val="000000"/>
          <w:sz w:val="20"/>
        </w:rPr>
        <w:t>. Payment from a Participant for Shares purchased pursuant to this Plan may be made in cash or by cash equivalents or, where expressly approved for the Participant by the Committee and where permitted by law (and to the extent not otherwise set forth in the applicable Award Agreement):</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    by cancellation of indebtedness of the Company owed to the Participant;</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    by surrender of shares of the Company held by the Participant that have a Fair Market Value on the date of surrender equal to the aggregate Exercise Price of the Shares as to which said Award will be exercised or settled;</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    by waiver of compensation due or accrued to the Participant for services rendered or to be rendered to the Company or a Parent, Subsidiary or Affiliate;</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by consideration received by the Company pursuant to a broker-assisted or other form of cashless exercise program implemented by the Company in connection with this Plan;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    by any combination of the foregoing; or</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    by any other method of payment as is permitted by applicable law.</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Committee may limit the availability of any method of payment, to the extent the Committee determines, in its discretion, such limitation is necessary or advisable to comply with applicable law or facilitate the administration of this Plan. Unless determined otherwise by the Committee, all payments under any of the methods indicated above shall be made in United States dollars.</w:t>
      </w:r>
    </w:p>
    <w:p>
      <w:pPr>
        <w:pStyle w:val="TextBody"/>
        <w:spacing w:lineRule="auto" w:line="288" w:before="0" w:after="120"/>
        <w:jc w:val="both"/>
        <w:rPr/>
      </w:pPr>
      <w:r>
        <w:rPr>
          <w:rFonts w:ascii="Times New Roman;sans-serif" w:hAnsi="Times New Roman;sans-serif"/>
          <w:b/>
          <w:color w:val="000000"/>
          <w:sz w:val="20"/>
        </w:rPr>
        <w:t>12.    </w:t>
      </w:r>
      <w:r>
        <w:rPr>
          <w:rFonts w:ascii="Times New Roman;sans-serif" w:hAnsi="Times New Roman;sans-serif"/>
          <w:b/>
          <w:color w:val="000000"/>
          <w:sz w:val="20"/>
          <w:u w:val="single"/>
        </w:rPr>
        <w:t>GRANTS TO NON-EMPLOYEE DIRECTORS</w:t>
      </w:r>
      <w:r>
        <w:rPr>
          <w:rFonts w:ascii="Times New Roman;sans-serif" w:hAnsi="Times New Roman;sans-serif"/>
          <w:b/>
          <w:color w:val="000000"/>
          <w:sz w:val="20"/>
        </w:rPr>
        <w:t>.</w:t>
      </w:r>
      <w:r>
        <w:rPr>
          <w:color w:val="000000"/>
        </w:rPr>
        <w:t xml:space="preserve"> </w:t>
      </w:r>
    </w:p>
    <w:p>
      <w:pPr>
        <w:pStyle w:val="TextBody"/>
        <w:spacing w:lineRule="auto" w:line="288" w:before="0" w:after="120"/>
        <w:ind w:left="0" w:right="0" w:firstLine="720"/>
        <w:jc w:val="both"/>
        <w:rPr/>
      </w:pPr>
      <w:r>
        <w:rPr>
          <w:rFonts w:ascii="Times New Roman;sans-serif" w:hAnsi="Times New Roman;sans-serif"/>
          <w:b/>
          <w:color w:val="000000"/>
          <w:sz w:val="20"/>
        </w:rPr>
        <w:t>12.1.    </w:t>
      </w:r>
      <w:r>
        <w:rPr>
          <w:rFonts w:ascii="Times New Roman;sans-serif" w:hAnsi="Times New Roman;sans-serif"/>
          <w:b w:val="false"/>
          <w:color w:val="000000"/>
          <w:sz w:val="20"/>
          <w:u w:val="single"/>
        </w:rPr>
        <w:t>Grants and Eligibility</w:t>
      </w:r>
      <w:r>
        <w:rPr>
          <w:rFonts w:ascii="Times New Roman;sans-serif" w:hAnsi="Times New Roman;sans-serif"/>
          <w:b w:val="false"/>
          <w:color w:val="000000"/>
          <w:sz w:val="20"/>
        </w:rPr>
        <w:t xml:space="preserve">. Awards pursuant to this </w:t>
      </w:r>
      <w:r>
        <w:rPr>
          <w:rFonts w:ascii="Times New Roman;sans-serif" w:hAnsi="Times New Roman;sans-serif"/>
          <w:b w:val="false"/>
          <w:color w:val="000000"/>
          <w:sz w:val="20"/>
          <w:u w:val="single"/>
        </w:rPr>
        <w:t>Section 12</w:t>
      </w:r>
      <w:r>
        <w:rPr>
          <w:color w:val="000000"/>
        </w:rPr>
        <w:t xml:space="preserve"> </w:t>
      </w:r>
      <w:r>
        <w:rPr>
          <w:rFonts w:ascii="Times New Roman;sans-serif" w:hAnsi="Times New Roman;sans-serif"/>
          <w:b w:val="false"/>
          <w:color w:val="000000"/>
          <w:sz w:val="20"/>
        </w:rPr>
        <w:t xml:space="preserve">shall be granted only to Non-Employee Directors who are eligible to receive any type of Award offered under this Plan except ISOs. Awards pursuant to this </w:t>
      </w:r>
      <w:r>
        <w:rPr>
          <w:rFonts w:ascii="Times New Roman;sans-serif" w:hAnsi="Times New Roman;sans-serif"/>
          <w:b w:val="false"/>
          <w:color w:val="000000"/>
          <w:sz w:val="20"/>
          <w:u w:val="single"/>
        </w:rPr>
        <w:t>Section 12</w:t>
      </w:r>
      <w:r>
        <w:rPr>
          <w:color w:val="000000"/>
        </w:rPr>
        <w:t xml:space="preserve"> </w:t>
      </w:r>
      <w:r>
        <w:rPr>
          <w:rFonts w:ascii="Times New Roman;sans-serif" w:hAnsi="Times New Roman;sans-serif"/>
          <w:b w:val="false"/>
          <w:color w:val="000000"/>
          <w:sz w:val="20"/>
        </w:rPr>
        <w:t xml:space="preserve">may be </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8"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A-7</w:t>
                      </w:r>
                    </w:p>
                  </w:txbxContent>
                </v:textbox>
              </v:rect>
            </w:pict>
          </mc:Fallback>
        </mc:AlternateContent>
      </w:r>
    </w:p>
    <w:p>
      <w:pPr>
        <w:pStyle w:val="TextBody"/>
        <w:spacing w:before="0" w:after="0"/>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automatically made pursuant to a policy adopted by the Board, or made from time to time as determined in the discretion of the Board. </w:t>
      </w:r>
    </w:p>
    <w:p>
      <w:pPr>
        <w:pStyle w:val="TextBody"/>
        <w:spacing w:lineRule="auto" w:line="288" w:before="0" w:after="120"/>
        <w:ind w:left="0" w:right="0" w:firstLine="720"/>
        <w:jc w:val="both"/>
        <w:rPr/>
      </w:pPr>
      <w:r>
        <w:rPr>
          <w:rFonts w:ascii="Times New Roman;sans-serif" w:hAnsi="Times New Roman;sans-serif"/>
          <w:b/>
          <w:color w:val="000000"/>
          <w:sz w:val="20"/>
        </w:rPr>
        <w:t>12.2.    </w:t>
      </w:r>
      <w:r>
        <w:rPr>
          <w:rFonts w:ascii="Times New Roman;sans-serif" w:hAnsi="Times New Roman;sans-serif"/>
          <w:b w:val="false"/>
          <w:color w:val="000000"/>
          <w:sz w:val="20"/>
          <w:u w:val="single"/>
        </w:rPr>
        <w:t>Calendar Year Limitation</w:t>
      </w:r>
      <w:r>
        <w:rPr>
          <w:rFonts w:ascii="Times New Roman;sans-serif" w:hAnsi="Times New Roman;sans-serif"/>
          <w:b w:val="false"/>
          <w:color w:val="000000"/>
          <w:sz w:val="20"/>
        </w:rPr>
        <w:t xml:space="preserve">. A Non-Employee Director may not receive Awards under this Plan that, when combined with cash compensation received for service as a Non-Employee Director, exceed (x) $750,000 in value (as described below) in any calendar year, for continuing Non-Employee Directors, or (y) $1,500,000 in value (as described below) in the initial calendar year, for a new Non-Employee Director. The value of Awards for purposes of complying with this maximum will be determined as follows: (a) for Options and SARs, grant date fair value will be calculated using the Black-Scholes valuation methodology or the Company’s regular valuation methodology for determining the grant date fair value of Options for reporting purposes, and (b) for all other Awards other than Options and SARs,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they were serving in the capacity as an Employee or while they were a Consultant but not a Non-Employee Director will not count for purposes of the limitations set forth in this </w:t>
      </w:r>
      <w:r>
        <w:rPr>
          <w:rFonts w:ascii="Times New Roman;sans-serif" w:hAnsi="Times New Roman;sans-serif"/>
          <w:b w:val="false"/>
          <w:color w:val="000000"/>
          <w:sz w:val="20"/>
          <w:u w:val="single"/>
        </w:rPr>
        <w:t>Section 12.2</w:t>
      </w:r>
      <w:r>
        <w:rPr>
          <w:rFonts w:ascii="Times New Roman;sans-serif" w:hAnsi="Times New Roman;sans-serif"/>
          <w:b w:val="false"/>
          <w:color w:val="000000"/>
          <w:sz w:val="20"/>
        </w:rPr>
        <w:t>.</w:t>
      </w:r>
    </w:p>
    <w:p>
      <w:pPr>
        <w:pStyle w:val="TextBody"/>
        <w:spacing w:lineRule="auto" w:line="288" w:before="0" w:after="120"/>
        <w:ind w:left="0" w:right="0" w:firstLine="720"/>
        <w:jc w:val="both"/>
        <w:rPr/>
      </w:pPr>
      <w:r>
        <w:rPr>
          <w:rFonts w:ascii="Times New Roman;sans-serif" w:hAnsi="Times New Roman;sans-serif"/>
          <w:b/>
          <w:color w:val="000000"/>
          <w:sz w:val="20"/>
        </w:rPr>
        <w:t>12.3.    </w:t>
      </w:r>
      <w:r>
        <w:rPr>
          <w:rFonts w:ascii="Times New Roman;sans-serif" w:hAnsi="Times New Roman;sans-serif"/>
          <w:b w:val="false"/>
          <w:color w:val="000000"/>
          <w:sz w:val="20"/>
          <w:u w:val="single"/>
        </w:rPr>
        <w:t>Vesting, Exercisability and Settlement</w:t>
      </w:r>
      <w:r>
        <w:rPr>
          <w:rFonts w:ascii="Times New Roman;sans-serif" w:hAnsi="Times New Roman;sans-serif"/>
          <w:b w:val="false"/>
          <w:color w:val="000000"/>
          <w:sz w:val="20"/>
        </w:rPr>
        <w:t xml:space="preserve">. Except as set forth in </w:t>
      </w:r>
      <w:r>
        <w:rPr>
          <w:rFonts w:ascii="Times New Roman;sans-serif" w:hAnsi="Times New Roman;sans-serif"/>
          <w:b w:val="false"/>
          <w:color w:val="000000"/>
          <w:sz w:val="20"/>
          <w:u w:val="single"/>
        </w:rPr>
        <w:t>Section 21</w:t>
      </w:r>
      <w:r>
        <w:rPr>
          <w:rFonts w:ascii="Times New Roman;sans-serif" w:hAnsi="Times New Roman;sans-serif"/>
          <w:b w:val="false"/>
          <w:color w:val="000000"/>
          <w:sz w:val="20"/>
        </w:rPr>
        <w:t>, Awards will vest, become exercisable, and be settled as determined by the Board. The Exercise Price of Options and SARs granted to Non-Employee Directors will not be less than the Fair Market Value of the Shares at the time that such Option or SAR is granted.</w:t>
      </w:r>
    </w:p>
    <w:p>
      <w:pPr>
        <w:pStyle w:val="TextBody"/>
        <w:spacing w:lineRule="auto" w:line="288" w:before="0" w:after="120"/>
        <w:ind w:left="0" w:right="0" w:firstLine="720"/>
        <w:jc w:val="both"/>
        <w:rPr/>
      </w:pPr>
      <w:r>
        <w:rPr>
          <w:rFonts w:ascii="Times New Roman;sans-serif" w:hAnsi="Times New Roman;sans-serif"/>
          <w:b/>
          <w:color w:val="000000"/>
          <w:sz w:val="20"/>
        </w:rPr>
        <w:t>12.4.    </w:t>
      </w:r>
      <w:r>
        <w:rPr>
          <w:rFonts w:ascii="Times New Roman;sans-serif" w:hAnsi="Times New Roman;sans-serif"/>
          <w:b w:val="false"/>
          <w:color w:val="000000"/>
          <w:sz w:val="20"/>
          <w:u w:val="single"/>
        </w:rPr>
        <w:t>Election to Receive Awards in Lieu of Cash</w:t>
      </w:r>
      <w:r>
        <w:rPr>
          <w:rFonts w:ascii="Times New Roman;sans-serif" w:hAnsi="Times New Roman;sans-serif"/>
          <w:b w:val="false"/>
          <w:color w:val="000000"/>
          <w:sz w:val="20"/>
        </w:rPr>
        <w:t xml:space="preserve">. If permitted by the Committee, a Non-Employee Director may elect to receive his or her annual retainer payments and/or meeting fees from the Company in the form of cash or Awards or a combination thereof, as determined by the Committee. Such Awards will be issued under this Plan. An election under this </w:t>
      </w:r>
      <w:r>
        <w:rPr>
          <w:rFonts w:ascii="Times New Roman;sans-serif" w:hAnsi="Times New Roman;sans-serif"/>
          <w:b w:val="false"/>
          <w:color w:val="000000"/>
          <w:sz w:val="20"/>
          <w:u w:val="single"/>
        </w:rPr>
        <w:t>Section 12.4</w:t>
      </w:r>
      <w:r>
        <w:rPr>
          <w:color w:val="000000"/>
        </w:rPr>
        <w:t xml:space="preserve"> </w:t>
      </w:r>
      <w:r>
        <w:rPr>
          <w:rFonts w:ascii="Times New Roman;sans-serif" w:hAnsi="Times New Roman;sans-serif"/>
          <w:b w:val="false"/>
          <w:color w:val="000000"/>
          <w:sz w:val="20"/>
        </w:rPr>
        <w:t>will be filed with the Company on the form prescribed by the Company.</w:t>
      </w:r>
    </w:p>
    <w:p>
      <w:pPr>
        <w:pStyle w:val="TextBody"/>
        <w:spacing w:lineRule="auto" w:line="288" w:before="0" w:after="120"/>
        <w:jc w:val="both"/>
        <w:rPr/>
      </w:pPr>
      <w:r>
        <w:rPr>
          <w:rFonts w:ascii="Times New Roman;sans-serif" w:hAnsi="Times New Roman;sans-serif"/>
          <w:b/>
          <w:color w:val="000000"/>
          <w:sz w:val="20"/>
        </w:rPr>
        <w:t>13.    </w:t>
      </w:r>
      <w:r>
        <w:rPr>
          <w:rFonts w:ascii="Times New Roman;sans-serif" w:hAnsi="Times New Roman;sans-serif"/>
          <w:b/>
          <w:color w:val="000000"/>
          <w:sz w:val="20"/>
          <w:u w:val="single"/>
        </w:rPr>
        <w:t>WITHHOLDING TAXES</w:t>
      </w:r>
      <w:r>
        <w:rPr>
          <w:rFonts w:ascii="Times New Roman;sans-serif" w:hAnsi="Times New Roman;sans-serif"/>
          <w:b w:val="false"/>
          <w:color w:val="000000"/>
          <w:sz w:val="20"/>
        </w:rPr>
        <w:t>.</w:t>
      </w:r>
    </w:p>
    <w:p>
      <w:pPr>
        <w:pStyle w:val="TextBody"/>
        <w:spacing w:lineRule="auto" w:line="288" w:before="0" w:after="120"/>
        <w:ind w:left="0" w:right="0" w:firstLine="720"/>
        <w:jc w:val="both"/>
        <w:rPr/>
      </w:pPr>
      <w:r>
        <w:rPr>
          <w:rFonts w:ascii="Times New Roman;sans-serif" w:hAnsi="Times New Roman;sans-serif"/>
          <w:b/>
          <w:color w:val="000000"/>
          <w:sz w:val="20"/>
        </w:rPr>
        <w:t>13.1.    </w:t>
      </w:r>
      <w:r>
        <w:rPr>
          <w:rFonts w:ascii="Times New Roman;sans-serif" w:hAnsi="Times New Roman;sans-serif"/>
          <w:b w:val="false"/>
          <w:color w:val="000000"/>
          <w:sz w:val="20"/>
          <w:u w:val="single"/>
        </w:rPr>
        <w:t>Withholding Generally</w:t>
      </w:r>
      <w:r>
        <w:rPr>
          <w:rFonts w:ascii="Times New Roman;sans-serif" w:hAnsi="Times New Roman;sans-serif"/>
          <w:b w:val="false"/>
          <w:color w:val="000000"/>
          <w:sz w:val="20"/>
        </w:rPr>
        <w:t>. Whenever Shares are to be issued in satisfaction of Awards granted under this Plan or a tax event occurs, the Company may require the Participant to remit to the Company, or to the Parent, Subsidiary, or Affiliate, as applicable, employing the Participant an amount sufficient to satisfy applicable U.S. federal, state, local, and international income tax, social insurance, payroll tax, fringe benefits tax, payment on account or other tax</w:t>
        <w:noBreakHyphen/>
        <w:t>related items (the “</w:t>
      </w:r>
      <w:r>
        <w:rPr>
          <w:rFonts w:ascii="Times New Roman;sans-serif" w:hAnsi="Times New Roman;sans-serif"/>
          <w:b/>
          <w:i/>
          <w:color w:val="000000"/>
          <w:sz w:val="20"/>
        </w:rPr>
        <w:t>Tax-Related Items</w:t>
      </w:r>
      <w:r>
        <w:rPr>
          <w:color w:val="000000"/>
        </w:rPr>
        <w:t>”</w:t>
      </w:r>
      <w:r>
        <w:rPr>
          <w:rFonts w:ascii="Times New Roman;sans-serif" w:hAnsi="Times New Roman;sans-serif"/>
          <w:b w:val="false"/>
          <w:color w:val="000000"/>
          <w:sz w:val="20"/>
        </w:rPr>
        <w:t>) legally due from the Participant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Items.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pStyle w:val="TextBody"/>
        <w:spacing w:lineRule="auto" w:line="288" w:before="0" w:after="120"/>
        <w:ind w:left="0" w:right="0" w:firstLine="720"/>
        <w:jc w:val="both"/>
        <w:rPr/>
      </w:pPr>
      <w:r>
        <w:rPr>
          <w:rFonts w:ascii="Times New Roman;sans-serif" w:hAnsi="Times New Roman;sans-serif"/>
          <w:b/>
          <w:color w:val="000000"/>
          <w:sz w:val="20"/>
        </w:rPr>
        <w:t>13.2.    </w:t>
      </w:r>
      <w:r>
        <w:rPr>
          <w:rFonts w:ascii="Times New Roman;sans-serif" w:hAnsi="Times New Roman;sans-serif"/>
          <w:b w:val="false"/>
          <w:color w:val="000000"/>
          <w:sz w:val="20"/>
          <w:u w:val="single"/>
        </w:rPr>
        <w:t>Stock Withholding</w:t>
      </w:r>
      <w:r>
        <w:rPr>
          <w:rFonts w:ascii="Times New Roman;sans-serif" w:hAnsi="Times New Roman;sans-serif"/>
          <w:b w:val="false"/>
          <w:color w:val="000000"/>
          <w:sz w:val="20"/>
        </w:rPr>
        <w:t>. The Committee, or its delegate(s), as permitted by applicable law, in its sole discretion and pursuant to such procedures as it may specify from time to time and subject to limitations of local law, may require or permit a Participant to satisfy such Tax Related Items legally due from the Participant, in whole or in part by (without limitation) (a) paying cash, (b) having the Company withhold otherwise deliverable cash or Shares having a Fair Market Value equal to the Tax-Related Items to be withheld, (c) delivering to the Company already-owned shares having a Fair Market Value equal to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the maximum permissible statutory tax rate for the applicable tax jurisdiction, to the extent consistent with applicable laws.</w:t>
      </w:r>
    </w:p>
    <w:p>
      <w:pPr>
        <w:pStyle w:val="TextBody"/>
        <w:spacing w:lineRule="auto" w:line="288" w:before="0" w:after="120"/>
        <w:jc w:val="both"/>
        <w:rPr/>
      </w:pPr>
      <w:r>
        <w:rPr>
          <w:rFonts w:ascii="Times New Roman;sans-serif" w:hAnsi="Times New Roman;sans-serif"/>
          <w:b/>
          <w:color w:val="000000"/>
          <w:sz w:val="20"/>
        </w:rPr>
        <w:t>14.    </w:t>
      </w:r>
      <w:r>
        <w:rPr>
          <w:rFonts w:ascii="Times New Roman;sans-serif" w:hAnsi="Times New Roman;sans-serif"/>
          <w:b/>
          <w:color w:val="000000"/>
          <w:sz w:val="20"/>
          <w:u w:val="single"/>
        </w:rPr>
        <w:t>TRANSFERABILITY</w:t>
      </w:r>
      <w:r>
        <w:rPr>
          <w:rFonts w:ascii="Times New Roman;sans-serif" w:hAnsi="Times New Roman;sans-serif"/>
          <w:b w:val="false"/>
          <w:color w:val="000000"/>
          <w:sz w:val="20"/>
        </w:rPr>
        <w:t>. Unless determined otherwise by the Committee, an Award may not be sold, pledged, 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will be exercisable: (a) during the Participant’s lifetime only by the Participant or the Participant’s guardian or legal representative; (b) after the Participant’s death, by the legal representative of the Participant’s heirs or legatees; and (c) in the case of all awards except ISOs, by a Permitted Transferee.</w:t>
      </w:r>
    </w:p>
    <w:p>
      <w:pPr>
        <w:pStyle w:val="TextBody"/>
        <w:spacing w:lineRule="auto" w:line="288" w:before="0" w:after="120"/>
        <w:jc w:val="both"/>
        <w:rPr/>
      </w:pPr>
      <w:r>
        <w:rPr>
          <w:rFonts w:ascii="Times New Roman;sans-serif" w:hAnsi="Times New Roman;sans-serif"/>
          <w:b/>
          <w:color w:val="000000"/>
          <w:sz w:val="20"/>
        </w:rPr>
        <w:t>15.    </w:t>
      </w:r>
      <w:r>
        <w:rPr>
          <w:rFonts w:ascii="Times New Roman;sans-serif" w:hAnsi="Times New Roman;sans-serif"/>
          <w:b/>
          <w:color w:val="000000"/>
          <w:sz w:val="20"/>
          <w:u w:val="single"/>
        </w:rPr>
        <w:t>PRIVILEGES OF STOCK OWNERSHIP; RESTRICTIONS ON SHARES</w:t>
      </w:r>
      <w:r>
        <w:rPr>
          <w:rFonts w:ascii="Times New Roman;sans-serif" w:hAnsi="Times New Roman;sans-serif"/>
          <w:b w:val="false"/>
          <w:color w:val="000000"/>
          <w:sz w:val="20"/>
        </w:rPr>
        <w:t>.</w:t>
      </w:r>
    </w:p>
    <w:p>
      <w:pPr>
        <w:pStyle w:val="TextBody"/>
        <w:spacing w:lineRule="auto" w:line="288" w:before="0" w:after="120"/>
        <w:ind w:left="0" w:right="0" w:firstLine="720"/>
        <w:jc w:val="both"/>
        <w:rPr/>
      </w:pPr>
      <w:r>
        <w:rPr>
          <w:rFonts w:ascii="Times New Roman;sans-serif" w:hAnsi="Times New Roman;sans-serif"/>
          <w:b/>
          <w:color w:val="000000"/>
          <w:sz w:val="20"/>
        </w:rPr>
        <w:t>15.1.    </w:t>
      </w:r>
      <w:r>
        <w:rPr>
          <w:rFonts w:ascii="Times New Roman;sans-serif" w:hAnsi="Times New Roman;sans-serif"/>
          <w:b w:val="false"/>
          <w:color w:val="000000"/>
          <w:sz w:val="20"/>
          <w:u w:val="single"/>
        </w:rPr>
        <w:t>Voting and Dividends</w:t>
      </w:r>
      <w:r>
        <w:rPr>
          <w:rFonts w:ascii="Times New Roman;sans-serif" w:hAnsi="Times New Roman;sans-serif"/>
          <w:b w:val="false"/>
          <w:color w:val="000000"/>
          <w:sz w:val="20"/>
        </w:rPr>
        <w:t xml:space="preserve">. No Participant will have any of the rights of a stockholder with respect to any Shares until the Shares are issued to the Participant, except for any Dividend Equivalent Rights permitted by an applicable Award Agreement. Any Dividend Equivalent Rights will be subject to the same vesting or performance conditions as the underlying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9"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A-8</w:t>
                      </w:r>
                    </w:p>
                  </w:txbxContent>
                </v:textbox>
              </v:rect>
            </w:pict>
          </mc:Fallback>
        </mc:AlternateContent>
      </w:r>
    </w:p>
    <w:p>
      <w:pPr>
        <w:pStyle w:val="TextBody"/>
        <w:spacing w:before="0" w:after="0"/>
        <w:rPr/>
      </w:pPr>
      <w:r>
        <w:rPr/>
      </w:r>
    </w:p>
    <w:p>
      <w:pPr>
        <w:pStyle w:val="TextBody"/>
        <w:spacing w:lineRule="auto" w:line="288" w:before="0" w:after="120"/>
        <w:jc w:val="both"/>
        <w:rPr/>
      </w:pPr>
      <w:r>
        <w:rPr>
          <w:rFonts w:ascii="Times New Roman;sans-serif" w:hAnsi="Times New Roman;sans-serif"/>
          <w:b w:val="false"/>
          <w:color w:val="000000"/>
          <w:sz w:val="20"/>
        </w:rPr>
        <w:t xml:space="preserve">Award. In addition, the Committee may provide that any Dividend Equivalent Rights permitted by an applicable Award Agreement will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such Shares are Restricted Stock, then any new, additional or different securities, or cash dividends, the Participant may become entitled to receive with respect to such Shares by virtue of a stock dividend, cash dividend, stock split or any other change in the corporate or capital structure of the Company will be subject to the same restrictions as the Restricted Stock;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that the Participant will have no right to such stock dividends, cash dividends or stock distributions with respect to Unvested Shares, and any such dividends or stock distributions will be accrued and paid only at 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w:t>
      </w:r>
      <w:r>
        <w:rPr>
          <w:color w:val="000000"/>
          <w:u w:val="single"/>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 Shares as of the date of payment of such cash dividends on Shares. </w:t>
      </w:r>
    </w:p>
    <w:p>
      <w:pPr>
        <w:pStyle w:val="TextBody"/>
        <w:spacing w:lineRule="auto" w:line="288" w:before="0" w:after="120"/>
        <w:ind w:left="0" w:right="0" w:firstLine="720"/>
        <w:jc w:val="both"/>
        <w:rPr/>
      </w:pPr>
      <w:r>
        <w:rPr>
          <w:rFonts w:ascii="Times New Roman;sans-serif" w:hAnsi="Times New Roman;sans-serif"/>
          <w:b/>
          <w:color w:val="000000"/>
          <w:sz w:val="20"/>
        </w:rPr>
        <w:t>15.2.    </w:t>
      </w:r>
      <w:r>
        <w:rPr>
          <w:rFonts w:ascii="Times New Roman;sans-serif" w:hAnsi="Times New Roman;sans-serif"/>
          <w:b w:val="false"/>
          <w:color w:val="000000"/>
          <w:sz w:val="20"/>
          <w:u w:val="single"/>
        </w:rPr>
        <w:t>Restrictions on Shares</w:t>
      </w:r>
      <w:r>
        <w:rPr>
          <w:rFonts w:ascii="Times New Roman;sans-serif" w:hAnsi="Times New Roman;sans-serif"/>
          <w:b w:val="false"/>
          <w:color w:val="000000"/>
          <w:sz w:val="20"/>
        </w:rPr>
        <w:t>. At the discretion of the Committee, the Company may reserve to itself and/or its assignee(s) a right to repurchase (a “</w:t>
      </w:r>
      <w:r>
        <w:rPr>
          <w:rFonts w:ascii="Times New Roman;sans-serif" w:hAnsi="Times New Roman;sans-serif"/>
          <w:b/>
          <w:i/>
          <w:color w:val="000000"/>
          <w:sz w:val="20"/>
        </w:rPr>
        <w:t>Right of Repurchase</w:t>
      </w:r>
      <w:r>
        <w:rPr>
          <w:color w:val="000000"/>
        </w:rPr>
        <w:t>”</w:t>
      </w:r>
      <w:r>
        <w:rPr>
          <w:rFonts w:ascii="Times New Roman;sans-serif" w:hAnsi="Times New Roman;sans-serif"/>
          <w:b w:val="false"/>
          <w:color w:val="000000"/>
          <w:sz w:val="20"/>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pStyle w:val="TextBody"/>
        <w:spacing w:lineRule="auto" w:line="288" w:before="0" w:after="120"/>
        <w:jc w:val="both"/>
        <w:rPr/>
      </w:pPr>
      <w:r>
        <w:rPr>
          <w:rFonts w:ascii="Times New Roman;sans-serif" w:hAnsi="Times New Roman;sans-serif"/>
          <w:b/>
          <w:color w:val="000000"/>
          <w:sz w:val="20"/>
        </w:rPr>
        <w:t>16.    </w:t>
      </w:r>
      <w:r>
        <w:rPr>
          <w:rFonts w:ascii="Times New Roman;sans-serif" w:hAnsi="Times New Roman;sans-serif"/>
          <w:b/>
          <w:color w:val="000000"/>
          <w:sz w:val="20"/>
          <w:u w:val="single"/>
        </w:rPr>
        <w:t>CERTIFICATES</w:t>
      </w:r>
      <w:r>
        <w:rPr>
          <w:rFonts w:ascii="Times New Roman;sans-serif" w:hAnsi="Times New Roman;sans-serif"/>
          <w:b w:val="false"/>
          <w:color w:val="000000"/>
          <w:sz w:val="20"/>
        </w:rPr>
        <w:t>. All Shares or other securities whether or not certificated, delivered under this Plan will be subject to such stock transfer 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pStyle w:val="TextBody"/>
        <w:spacing w:lineRule="auto" w:line="288" w:before="0" w:after="120"/>
        <w:jc w:val="both"/>
        <w:rPr/>
      </w:pPr>
      <w:r>
        <w:rPr>
          <w:rFonts w:ascii="Times New Roman;sans-serif" w:hAnsi="Times New Roman;sans-serif"/>
          <w:b/>
          <w:color w:val="000000"/>
          <w:sz w:val="20"/>
        </w:rPr>
        <w:t>17.    </w:t>
      </w:r>
      <w:r>
        <w:rPr>
          <w:rFonts w:ascii="Times New Roman;sans-serif" w:hAnsi="Times New Roman;sans-serif"/>
          <w:b/>
          <w:color w:val="000000"/>
          <w:sz w:val="20"/>
          <w:u w:val="single"/>
        </w:rPr>
        <w:t>ESCROW; PLEDGE OF SHARES</w:t>
      </w:r>
      <w:r>
        <w:rPr>
          <w:rFonts w:ascii="Times New Roman;sans-serif" w:hAnsi="Times New Roman;sans-serif"/>
          <w:b w:val="false"/>
          <w:color w:val="000000"/>
          <w:sz w:val="20"/>
        </w:rPr>
        <w:t>. To enforce any restrictions on a Participant’s Shares, the Committee may require the Participant to 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provided, however,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pStyle w:val="TextBody"/>
        <w:spacing w:lineRule="auto" w:line="288" w:before="0" w:after="120"/>
        <w:jc w:val="both"/>
        <w:rPr/>
      </w:pPr>
      <w:r>
        <w:rPr>
          <w:rFonts w:ascii="Times New Roman;sans-serif" w:hAnsi="Times New Roman;sans-serif"/>
          <w:b/>
          <w:color w:val="000000"/>
          <w:sz w:val="20"/>
        </w:rPr>
        <w:t>18.    </w:t>
      </w:r>
      <w:r>
        <w:rPr>
          <w:rFonts w:ascii="Times New Roman;sans-serif" w:hAnsi="Times New Roman;sans-serif"/>
          <w:b/>
          <w:color w:val="000000"/>
          <w:sz w:val="20"/>
          <w:u w:val="single"/>
        </w:rPr>
        <w:t>REPRICING; EXCHANGE AND BUYOUT OF AWARDS</w:t>
      </w:r>
      <w:r>
        <w:rPr>
          <w:rFonts w:ascii="Times New Roman;sans-serif" w:hAnsi="Times New Roman;sans-serif"/>
          <w:b w:val="false"/>
          <w:color w:val="000000"/>
          <w:sz w:val="20"/>
        </w:rPr>
        <w:t xml:space="preserve">. The repricing of Options or SARs, including pursuant to an Exchange Program, is not permitted without prior stockholder approval. </w:t>
      </w:r>
    </w:p>
    <w:p>
      <w:pPr>
        <w:pStyle w:val="TextBody"/>
        <w:spacing w:lineRule="auto" w:line="288" w:before="0" w:after="120"/>
        <w:jc w:val="both"/>
        <w:rPr/>
      </w:pPr>
      <w:r>
        <w:rPr>
          <w:rFonts w:ascii="Times New Roman;sans-serif" w:hAnsi="Times New Roman;sans-serif"/>
          <w:b/>
          <w:color w:val="000000"/>
          <w:sz w:val="20"/>
        </w:rPr>
        <w:t>19.    </w:t>
      </w:r>
      <w:r>
        <w:rPr>
          <w:rFonts w:ascii="Times New Roman;sans-serif" w:hAnsi="Times New Roman;sans-serif"/>
          <w:b/>
          <w:color w:val="000000"/>
          <w:sz w:val="20"/>
          <w:u w:val="single"/>
        </w:rPr>
        <w:t>SECURITIES LAW AND OTHER REGULATORY COMPLIANCE</w:t>
      </w:r>
      <w:r>
        <w:rPr>
          <w:rFonts w:ascii="Times New Roman;sans-serif" w:hAnsi="Times New Roman;sans-serif"/>
          <w:b w:val="false"/>
          <w:color w:val="000000"/>
          <w:sz w:val="20"/>
        </w:rPr>
        <w:t>. An Award will not be effective unless such Award is in compliance 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pStyle w:val="TextBody"/>
        <w:spacing w:lineRule="auto" w:line="288" w:before="0" w:after="120"/>
        <w:jc w:val="both"/>
        <w:rPr/>
      </w:pPr>
      <w:r>
        <w:rPr>
          <w:rFonts w:ascii="Times New Roman;sans-serif" w:hAnsi="Times New Roman;sans-serif"/>
          <w:b/>
          <w:color w:val="000000"/>
          <w:sz w:val="20"/>
        </w:rPr>
        <w:t>20.    </w:t>
      </w:r>
      <w:r>
        <w:rPr>
          <w:rFonts w:ascii="Times New Roman;sans-serif" w:hAnsi="Times New Roman;sans-serif"/>
          <w:b/>
          <w:color w:val="000000"/>
          <w:sz w:val="20"/>
          <w:u w:val="single"/>
        </w:rPr>
        <w:t>NO OBLIGATION TO EMPLOY</w:t>
      </w:r>
      <w:r>
        <w:rPr>
          <w:rFonts w:ascii="Times New Roman;sans-serif" w:hAnsi="Times New Roman;sans-serif"/>
          <w:b w:val="false"/>
          <w:color w:val="000000"/>
          <w:sz w:val="20"/>
        </w:rPr>
        <w:t xml:space="preserve">. Nothing in this Plan or any Award granted under this Plan will confer or be deemed to confer on any Participant any right to continue in the employ of, or to continue any other relationship with, the </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0"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A-9</w:t>
                      </w:r>
                    </w:p>
                  </w:txbxContent>
                </v:textbox>
              </v:rect>
            </w:pict>
          </mc:Fallback>
        </mc:AlternateContent>
      </w:r>
    </w:p>
    <w:p>
      <w:pPr>
        <w:pStyle w:val="TextBody"/>
        <w:spacing w:before="0" w:after="0"/>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Company or any Parent, Subsidiary, or Affiliate or limit in any way the right of the Company or any Parent, Subsidiary, or Affiliate to terminate Participant’s employment or other relationship at any time.</w:t>
      </w:r>
    </w:p>
    <w:p>
      <w:pPr>
        <w:pStyle w:val="TextBody"/>
        <w:spacing w:lineRule="auto" w:line="288" w:before="0" w:after="120"/>
        <w:jc w:val="both"/>
        <w:rPr/>
      </w:pPr>
      <w:r>
        <w:rPr>
          <w:rFonts w:ascii="Times New Roman;sans-serif" w:hAnsi="Times New Roman;sans-serif"/>
          <w:b/>
          <w:color w:val="000000"/>
          <w:sz w:val="20"/>
        </w:rPr>
        <w:t>21.    </w:t>
      </w:r>
      <w:r>
        <w:rPr>
          <w:rFonts w:ascii="Times New Roman;sans-serif" w:hAnsi="Times New Roman;sans-serif"/>
          <w:b/>
          <w:color w:val="000000"/>
          <w:sz w:val="20"/>
          <w:u w:val="single"/>
        </w:rPr>
        <w:t>CORPORATE TRANSACTIONS</w:t>
      </w:r>
      <w:r>
        <w:rPr>
          <w:rFonts w:ascii="Times New Roman;sans-serif" w:hAnsi="Times New Roman;sans-serif"/>
          <w:b w:val="false"/>
          <w:color w:val="000000"/>
          <w:sz w:val="20"/>
        </w:rPr>
        <w:t>.</w:t>
      </w:r>
    </w:p>
    <w:p>
      <w:pPr>
        <w:pStyle w:val="TextBody"/>
        <w:spacing w:lineRule="auto" w:line="288" w:before="0" w:after="120"/>
        <w:ind w:left="0" w:right="0" w:firstLine="720"/>
        <w:jc w:val="both"/>
        <w:rPr/>
      </w:pPr>
      <w:r>
        <w:rPr>
          <w:rFonts w:ascii="Times New Roman;sans-serif" w:hAnsi="Times New Roman;sans-serif"/>
          <w:b/>
          <w:color w:val="000000"/>
          <w:sz w:val="20"/>
        </w:rPr>
        <w:t>21.1.    </w:t>
      </w:r>
      <w:r>
        <w:rPr>
          <w:rFonts w:ascii="Times New Roman;sans-serif" w:hAnsi="Times New Roman;sans-serif"/>
          <w:b w:val="false"/>
          <w:color w:val="000000"/>
          <w:sz w:val="20"/>
          <w:u w:val="single"/>
        </w:rPr>
        <w:t>Treatment of Awards in the event of Corporate Transaction</w:t>
      </w:r>
      <w:r>
        <w:rPr>
          <w:rFonts w:ascii="Times New Roman;sans-serif" w:hAnsi="Times New Roman;sans-serif"/>
          <w:b w:val="false"/>
          <w:color w:val="000000"/>
          <w:sz w:val="20"/>
        </w:rPr>
        <w:t>. In the event of a Corporate Transaction any or all outstanding Awards shall be subject to the definitive agreement related thereto, and may be (a) continued, assumed or replaced by the successor corporation, which assumption or replacement shall be binding on all Participants, provided that the Exercise Price and the number and nature of shares issuable upon exercise of any Option or SAR, or any Award that is subject to Section 409A of the Code, will be adjusted appropriately pursuant to Section 424(a) of the Code and/or Section 409A of the Code, as applicable, (b) substituted by the successor corporation for equivalent awards or substantially similar consideration as was provided to stockholders (after taking into account the existing provisions of the Awards), provided that the Exercise Price and the number and nature of shares issuable upon exercise of any Option or SAR, or any Award that is subject to Section 409A of the Code, will be adjusted appropriately pursuant to Section 424(a) of the Code and/or Section 409A of the Code, as applicable, (c)replaced with substantially similar shares or other property subject to repurchase restrictions no less favorable to the Participant, (d) immediately vested (and exercisable, as applicable) and settled (as applicable), followed by the cancellation of such Awards upon or immediately prior to the effectiveness of such transaction or (e)settled for their intrinsic value (whether or not vested or exercisable) in cash or cash equivalents or equity (including cash or equity subject to deferred vesting and delivery consistent with vesting restrictions applicable to such Awards or the underlying Shares) followed by the cancellation of such Awards and, for the avoidance of doubt, if as of the date of the occurrence of the Corporate Transaction, the Committee determines in good faith that no amount would have been attained upon the exercise of such Award or realization of the Participant’s rights, then such Award may be terminated by the Company without payment, in each case without the Participant’s consent.</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such successor or acquiring corporation (if any) refuses to continue, assume, convert, replace or substitute Awards or such Awards are not settled for their intrinsic value, as provided above, pursuant to a Corporate Transaction, then notwithstanding any other provision in this Plan to the contrary, such Awards shall have their vesting accelerate as to all Shares subject to such Award (and any applicable right of repurchase fully lapse) immediately prior to the Corporate Transaction and then such Awards will terminate. For purposes of determining the foregoing acceleration, Performance Awards shall be deemed earned and vested at the greater of (a) 100% of target level performance and (b) actual performance through the date of the Corporate Transaction. </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 Award vests in lieu of continuation, assumption, conversion, replacement or substitution in connection with a Corporate Transaction, as provided above, the Committee will notify the Participant in writing or electronically that such Award will be exercisable for a period of time determined by the Committee in its sole discretion, and such Award will terminate upon the expiration of such period without consideration. </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acceleration of payment of an amount that is subject to Section 409A of the Code will be delayed, if necessary, until the earliest time that such payment would be permissible under Section 409A without triggering any additional taxes applicable under Section 409A.</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shall have full power and authority to assign the Company’s right to repurchase, right to re-acquire and/or forfeiture rights to such successor or acquiring corporation. Awards need not be treated similarly in a Corporate Transaction and treatment may vary from Award to Award and/or from Participant to Participant.</w:t>
      </w:r>
    </w:p>
    <w:p>
      <w:pPr>
        <w:pStyle w:val="TextBody"/>
        <w:spacing w:lineRule="auto" w:line="288" w:before="0" w:after="120"/>
        <w:ind w:left="0" w:right="0" w:firstLine="720"/>
        <w:jc w:val="both"/>
        <w:rPr/>
      </w:pPr>
      <w:r>
        <w:rPr>
          <w:rFonts w:ascii="Times New Roman;sans-serif" w:hAnsi="Times New Roman;sans-serif"/>
          <w:b/>
          <w:color w:val="000000"/>
          <w:sz w:val="20"/>
        </w:rPr>
        <w:t>21.2.    </w:t>
      </w:r>
      <w:r>
        <w:rPr>
          <w:rFonts w:ascii="Times New Roman;sans-serif" w:hAnsi="Times New Roman;sans-serif"/>
          <w:b w:val="false"/>
          <w:color w:val="000000"/>
          <w:sz w:val="20"/>
          <w:u w:val="single"/>
        </w:rPr>
        <w:t>Assumption of Awards by the Company</w:t>
      </w:r>
      <w:r>
        <w:rPr>
          <w:rFonts w:ascii="Times New Roman;sans-serif" w:hAnsi="Times New Roman;sans-serif"/>
          <w:b w:val="false"/>
          <w:color w:val="000000"/>
          <w:sz w:val="20"/>
        </w:rPr>
        <w:t>. The Company, from time to time, also may substitute or assume outstanding awards 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Times New Roman;sans-serif" w:hAnsi="Times New Roman;sans-serif"/>
          <w:b w:val="false"/>
          <w:color w:val="000000"/>
          <w:sz w:val="20"/>
          <w:u w:val="single"/>
        </w:rPr>
        <w:t>except</w:t>
      </w:r>
      <w:r>
        <w:rPr>
          <w:color w:val="000000"/>
        </w:rPr>
        <w:t xml:space="preserve"> </w:t>
      </w:r>
      <w:r>
        <w:rPr>
          <w:rFonts w:ascii="Times New Roman;sans-serif" w:hAnsi="Times New Roman;sans-serif"/>
          <w:b w:val="false"/>
          <w:color w:val="000000"/>
          <w:sz w:val="20"/>
        </w:rPr>
        <w:t>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will not reduce the number of Shares authorized for grant under this Plan or authorized for grant to a Participant in a calendar year.</w:t>
      </w:r>
    </w:p>
    <w:p>
      <w:pPr>
        <w:pStyle w:val="TextBody"/>
        <w:spacing w:lineRule="auto" w:line="288" w:before="0" w:after="120"/>
        <w:ind w:left="0" w:right="0" w:firstLine="720"/>
        <w:jc w:val="both"/>
        <w:rPr/>
      </w:pPr>
      <w:r>
        <w:rPr>
          <w:rFonts w:ascii="Times New Roman;sans-serif" w:hAnsi="Times New Roman;sans-serif"/>
          <w:b/>
          <w:color w:val="000000"/>
          <w:sz w:val="20"/>
        </w:rPr>
        <w:t>21.3.    </w:t>
      </w:r>
      <w:r>
        <w:rPr>
          <w:rFonts w:ascii="Times New Roman;sans-serif" w:hAnsi="Times New Roman;sans-serif"/>
          <w:b w:val="false"/>
          <w:color w:val="000000"/>
          <w:sz w:val="20"/>
          <w:u w:val="single"/>
        </w:rPr>
        <w:t>Non-Employee Directors’ Awards</w:t>
      </w:r>
      <w:r>
        <w:rPr>
          <w:rFonts w:ascii="Times New Roman;sans-serif" w:hAnsi="Times New Roman;sans-serif"/>
          <w:b w:val="false"/>
          <w:color w:val="000000"/>
          <w:sz w:val="20"/>
        </w:rPr>
        <w:t>. Notwithstanding any provision to the contrary herein, in the event of a Corporate Transaction, the vesting of all Awards granted to Non-Employee Directors will accelerate and such Awards will become exercisable (as applicable) in full prior to the consummation of such event at such times and on such conditions as the Committee determines.</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1"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A-10</w:t>
                      </w:r>
                    </w:p>
                  </w:txbxContent>
                </v:textbox>
              </v:rect>
            </w:pict>
          </mc:Fallback>
        </mc:AlternateContent>
      </w:r>
    </w:p>
    <w:p>
      <w:pPr>
        <w:pStyle w:val="TextBody"/>
        <w:spacing w:before="0" w:after="0"/>
        <w:rPr/>
      </w:pPr>
      <w:r>
        <w:rPr/>
      </w:r>
    </w:p>
    <w:p>
      <w:pPr>
        <w:pStyle w:val="TextBody"/>
        <w:spacing w:lineRule="auto" w:line="288" w:before="0" w:after="120"/>
        <w:jc w:val="both"/>
        <w:rPr/>
      </w:pPr>
      <w:r>
        <w:rPr>
          <w:rFonts w:ascii="Times New Roman;sans-serif" w:hAnsi="Times New Roman;sans-serif"/>
          <w:b/>
          <w:color w:val="000000"/>
          <w:sz w:val="20"/>
        </w:rPr>
        <w:t>22.    </w:t>
      </w:r>
      <w:r>
        <w:rPr>
          <w:rFonts w:ascii="Times New Roman;sans-serif" w:hAnsi="Times New Roman;sans-serif"/>
          <w:b/>
          <w:color w:val="000000"/>
          <w:sz w:val="20"/>
          <w:u w:val="single"/>
        </w:rPr>
        <w:t>ADOPTION AND STOCKHOLDER APPROVAL</w:t>
      </w:r>
      <w:r>
        <w:rPr>
          <w:rFonts w:ascii="Times New Roman;sans-serif" w:hAnsi="Times New Roman;sans-serif"/>
          <w:b w:val="false"/>
          <w:color w:val="000000"/>
          <w:sz w:val="20"/>
        </w:rPr>
        <w:t>. This Plan will be submitted for the approval of the Company’s stockholders, consistent with applicable laws, within twelve (12) months before or after the date this Plan is adopted by the Board.</w:t>
      </w:r>
    </w:p>
    <w:p>
      <w:pPr>
        <w:pStyle w:val="TextBody"/>
        <w:spacing w:lineRule="auto" w:line="288" w:before="0" w:after="120"/>
        <w:jc w:val="both"/>
        <w:rPr/>
      </w:pPr>
      <w:r>
        <w:rPr>
          <w:rFonts w:ascii="Times New Roman;sans-serif" w:hAnsi="Times New Roman;sans-serif"/>
          <w:b/>
          <w:color w:val="000000"/>
          <w:sz w:val="20"/>
        </w:rPr>
        <w:t>23.    </w:t>
      </w:r>
      <w:r>
        <w:rPr>
          <w:rFonts w:ascii="Times New Roman;sans-serif" w:hAnsi="Times New Roman;sans-serif"/>
          <w:b/>
          <w:color w:val="000000"/>
          <w:sz w:val="20"/>
          <w:u w:val="single"/>
        </w:rPr>
        <w:t>TERM OF PLAN/GOVERNING LAW.</w:t>
      </w:r>
      <w:r>
        <w:rPr>
          <w:color w:val="000000"/>
        </w:rPr>
        <w:t xml:space="preserve"> </w:t>
      </w:r>
      <w:r>
        <w:rPr>
          <w:rFonts w:ascii="Times New Roman;sans-serif" w:hAnsi="Times New Roman;sans-serif"/>
          <w:b w:val="false"/>
          <w:color w:val="000000"/>
          <w:sz w:val="20"/>
        </w:rPr>
        <w:t>Unless earlier terminated as provided herein, this Plan will become effective on the Effective Date and will terminate ten (10) years from the date this Plan is adopted by the Board. After this Plan is terminated or expires, no Awards may be granted but Awards previously granted shall remain outstanding in accordance with their applicable terms and conditions and this Plan’s terms and conditions. This Plan and all Awards granted hereunder will be governed by and construed in accordance with the laws of the State of Delaware (excluding its conflict of laws rules).</w:t>
      </w:r>
    </w:p>
    <w:p>
      <w:pPr>
        <w:pStyle w:val="TextBody"/>
        <w:spacing w:lineRule="auto" w:line="288" w:before="0" w:after="120"/>
        <w:jc w:val="both"/>
        <w:rPr/>
      </w:pPr>
      <w:r>
        <w:rPr>
          <w:rFonts w:ascii="Times New Roman;sans-serif" w:hAnsi="Times New Roman;sans-serif"/>
          <w:b/>
          <w:color w:val="000000"/>
          <w:sz w:val="20"/>
        </w:rPr>
        <w:t>24.    </w:t>
      </w:r>
      <w:r>
        <w:rPr>
          <w:rFonts w:ascii="Times New Roman;sans-serif" w:hAnsi="Times New Roman;sans-serif"/>
          <w:b/>
          <w:color w:val="000000"/>
          <w:sz w:val="20"/>
          <w:u w:val="single"/>
        </w:rPr>
        <w:t>AMENDMENT OR TERMINATION OF PLAN</w:t>
      </w:r>
      <w:r>
        <w:rPr>
          <w:rFonts w:ascii="Times New Roman;sans-serif" w:hAnsi="Times New Roman;sans-serif"/>
          <w:b w:val="false"/>
          <w:color w:val="000000"/>
          <w:sz w:val="20"/>
        </w:rPr>
        <w:t>. The Board may at any time terminate or amend this Plan in any respect, including, without limitation, amendment of any form of Award Agreement or instrument to be executed pursuant to this Plan, provided, however, that the Board will not, without the approval of the stockholders of the Company, amend this Plan in any manner that requires such stockholder approval, provided further that a Participant’s Award will be governed by the version of this Plan then in effect at the time such Award was granted. No termination or amendment of this Plan will affect any then-outstanding Award unless expressly provided by the Committee. In any event, no termination or amendment of this Plan or any outstanding Award may adversely affect any then outstanding Award without the consent of the Participant, unless such termination or amendment is necessary to comply with applicable law, regulation, or rule.</w:t>
      </w:r>
    </w:p>
    <w:p>
      <w:pPr>
        <w:pStyle w:val="TextBody"/>
        <w:spacing w:lineRule="auto" w:line="288" w:before="0" w:after="120"/>
        <w:jc w:val="both"/>
        <w:rPr/>
      </w:pPr>
      <w:r>
        <w:rPr>
          <w:rFonts w:ascii="Times New Roman;sans-serif" w:hAnsi="Times New Roman;sans-serif"/>
          <w:b/>
          <w:color w:val="000000"/>
          <w:sz w:val="20"/>
        </w:rPr>
        <w:t>25.    </w:t>
      </w:r>
      <w:r>
        <w:rPr>
          <w:rFonts w:ascii="Times New Roman;sans-serif" w:hAnsi="Times New Roman;sans-serif"/>
          <w:b/>
          <w:color w:val="000000"/>
          <w:sz w:val="20"/>
          <w:u w:val="single"/>
        </w:rPr>
        <w:t>NONEXCLUSIVITY OF THIS PLAN</w:t>
      </w:r>
      <w:r>
        <w:rPr>
          <w:rFonts w:ascii="Times New Roman;sans-serif" w:hAnsi="Times New Roman;sans-serif"/>
          <w:b w:val="false"/>
          <w:color w:val="000000"/>
          <w:sz w:val="20"/>
        </w:rPr>
        <w:t>. Neither the adoption of this Plan by the Board, the submission of this Plan to the stockholders of the 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pStyle w:val="TextBody"/>
        <w:spacing w:lineRule="auto" w:line="288" w:before="0" w:after="120"/>
        <w:jc w:val="both"/>
        <w:rPr/>
      </w:pPr>
      <w:r>
        <w:rPr>
          <w:rFonts w:ascii="Times New Roman;sans-serif" w:hAnsi="Times New Roman;sans-serif"/>
          <w:b/>
          <w:color w:val="000000"/>
          <w:sz w:val="20"/>
        </w:rPr>
        <w:t>26.    </w:t>
      </w:r>
      <w:r>
        <w:rPr>
          <w:rFonts w:ascii="Times New Roman;sans-serif" w:hAnsi="Times New Roman;sans-serif"/>
          <w:b/>
          <w:color w:val="000000"/>
          <w:sz w:val="20"/>
          <w:u w:val="single"/>
        </w:rPr>
        <w:t>INSIDER TRADING POLICY</w:t>
      </w:r>
      <w:r>
        <w:rPr>
          <w:rFonts w:ascii="Times New Roman;sans-serif" w:hAnsi="Times New Roman;sans-serif"/>
          <w:b w:val="false"/>
          <w:color w:val="000000"/>
          <w:sz w:val="20"/>
        </w:rPr>
        <w:t>. Each Participant who receives an Award will comply with any policy adopted by the Company from time to time covering transactions in the Company’s securities by Employees, officers, and/or Directors of the Company, as well as with any applicable insider trading or market abuse laws to which the Participant may be subject.</w:t>
      </w:r>
    </w:p>
    <w:p>
      <w:pPr>
        <w:pStyle w:val="TextBody"/>
        <w:spacing w:lineRule="auto" w:line="288" w:before="0" w:after="120"/>
        <w:jc w:val="both"/>
        <w:rPr/>
      </w:pPr>
      <w:r>
        <w:rPr>
          <w:rFonts w:ascii="Times New Roman;sans-serif" w:hAnsi="Times New Roman;sans-serif"/>
          <w:b/>
          <w:color w:val="000000"/>
          <w:sz w:val="20"/>
        </w:rPr>
        <w:t>27.    </w:t>
      </w:r>
      <w:r>
        <w:rPr>
          <w:rFonts w:ascii="Times New Roman;sans-serif" w:hAnsi="Times New Roman;sans-serif"/>
          <w:b/>
          <w:color w:val="000000"/>
          <w:sz w:val="20"/>
          <w:u w:val="single"/>
        </w:rPr>
        <w:t>ALL AWARDS SUBJECT TO COMPANY CLAWBACK OR RECOUPMENT POLICY</w:t>
      </w:r>
      <w:r>
        <w:rPr>
          <w:rFonts w:ascii="Times New Roman;sans-serif" w:hAnsi="Times New Roman;sans-serif"/>
          <w:b w:val="false"/>
          <w:color w:val="000000"/>
          <w:sz w:val="20"/>
        </w:rPr>
        <w:t>. All Awards, subject to applicable law, will be subject to clawback or recoupment pursuant to any compensation clawback or recoupment policy adopted by the Board or required by law during the term of Participant’s employment or other service with the Company that is applicable to officers, Employees, Directors or other service providers of the Company, and in addition to any other remedies available under such policy and applicable law, may require the cancellation of outstanding Awards and the recoupment of any gains realized with respect to Awards.</w:t>
      </w:r>
    </w:p>
    <w:p>
      <w:pPr>
        <w:pStyle w:val="TextBody"/>
        <w:spacing w:lineRule="auto" w:line="288" w:before="0" w:after="120"/>
        <w:jc w:val="both"/>
        <w:rPr/>
      </w:pPr>
      <w:r>
        <w:rPr>
          <w:rFonts w:ascii="Times New Roman;sans-serif" w:hAnsi="Times New Roman;sans-serif"/>
          <w:b/>
          <w:color w:val="000000"/>
          <w:sz w:val="20"/>
        </w:rPr>
        <w:t>28.    </w:t>
      </w:r>
      <w:r>
        <w:rPr>
          <w:rFonts w:ascii="Times New Roman;sans-serif" w:hAnsi="Times New Roman;sans-serif"/>
          <w:b/>
          <w:color w:val="000000"/>
          <w:sz w:val="20"/>
          <w:u w:val="single"/>
        </w:rPr>
        <w:t>DEFINITIONS</w:t>
      </w:r>
      <w:r>
        <w:rPr>
          <w:rFonts w:ascii="Times New Roman;sans-serif" w:hAnsi="Times New Roman;sans-serif"/>
          <w:b w:val="false"/>
          <w:color w:val="000000"/>
          <w:sz w:val="20"/>
        </w:rPr>
        <w:t>. As used in this Plan, and except as elsewhere defined herein, the following terms will have the following meanings:</w:t>
      </w:r>
    </w:p>
    <w:p>
      <w:pPr>
        <w:pStyle w:val="TextBody"/>
        <w:spacing w:lineRule="auto" w:line="288" w:before="0" w:after="120"/>
        <w:ind w:left="0" w:right="0" w:firstLine="720"/>
        <w:jc w:val="both"/>
        <w:rPr/>
      </w:pPr>
      <w:r>
        <w:rPr>
          <w:rFonts w:ascii="Times New Roman;sans-serif" w:hAnsi="Times New Roman;sans-serif"/>
          <w:b/>
          <w:color w:val="000000"/>
          <w:sz w:val="20"/>
        </w:rPr>
        <w:t>28.1.    </w:t>
      </w:r>
      <w:r>
        <w:rPr>
          <w:color w:val="000000"/>
        </w:rPr>
        <w:t>“</w:t>
      </w:r>
      <w:r>
        <w:rPr>
          <w:rFonts w:ascii="Times New Roman;sans-serif" w:hAnsi="Times New Roman;sans-serif"/>
          <w:b/>
          <w:i/>
          <w:color w:val="000000"/>
          <w:sz w:val="20"/>
        </w:rPr>
        <w:t>Affiliate</w:t>
      </w:r>
      <w:r>
        <w:rPr>
          <w:color w:val="000000"/>
        </w:rPr>
        <w:t xml:space="preserve">” </w:t>
      </w:r>
      <w:r>
        <w:rPr>
          <w:rFonts w:ascii="Times New Roman;sans-serif" w:hAnsi="Times New Roman;sans-serif"/>
          <w:b w:val="false"/>
          <w:color w:val="000000"/>
          <w:sz w:val="20"/>
        </w:rPr>
        <w:t>means (a) any entity that, directly or indirectly, is controlled by, controls, or is under common control with, the Company, and (b) any entity in which the Company has a significant equity interest, in either case as determined by the Committee, whether now or hereafter existing.</w:t>
      </w:r>
    </w:p>
    <w:p>
      <w:pPr>
        <w:pStyle w:val="TextBody"/>
        <w:spacing w:lineRule="auto" w:line="288" w:before="0" w:after="120"/>
        <w:ind w:left="0" w:right="0" w:firstLine="720"/>
        <w:jc w:val="both"/>
        <w:rPr/>
      </w:pPr>
      <w:r>
        <w:rPr>
          <w:rFonts w:ascii="Times New Roman;sans-serif" w:hAnsi="Times New Roman;sans-serif"/>
          <w:b/>
          <w:color w:val="000000"/>
          <w:sz w:val="20"/>
        </w:rPr>
        <w:t>28.2.    </w:t>
      </w:r>
      <w:r>
        <w:rPr>
          <w:color w:val="000000"/>
        </w:rPr>
        <w:t>“</w:t>
      </w:r>
      <w:r>
        <w:rPr>
          <w:rFonts w:ascii="Times New Roman;sans-serif" w:hAnsi="Times New Roman;sans-serif"/>
          <w:b/>
          <w:i/>
          <w:color w:val="000000"/>
          <w:sz w:val="20"/>
        </w:rPr>
        <w:t>Award</w:t>
      </w:r>
      <w:r>
        <w:rPr>
          <w:color w:val="000000"/>
        </w:rPr>
        <w:t xml:space="preserve">” </w:t>
      </w:r>
      <w:r>
        <w:rPr>
          <w:rFonts w:ascii="Times New Roman;sans-serif" w:hAnsi="Times New Roman;sans-serif"/>
          <w:b w:val="false"/>
          <w:color w:val="000000"/>
          <w:sz w:val="20"/>
        </w:rPr>
        <w:t>means any award under this Plan, including any Option, Restricted Stock Award, Stock Bonus, Stock Appreciation Right, Restricted Stock Unit or Performance Award.</w:t>
      </w:r>
    </w:p>
    <w:p>
      <w:pPr>
        <w:pStyle w:val="TextBody"/>
        <w:spacing w:lineRule="auto" w:line="288" w:before="0" w:after="120"/>
        <w:ind w:left="0" w:right="0" w:firstLine="720"/>
        <w:jc w:val="both"/>
        <w:rPr/>
      </w:pPr>
      <w:r>
        <w:rPr>
          <w:rFonts w:ascii="Times New Roman;sans-serif" w:hAnsi="Times New Roman;sans-serif"/>
          <w:b/>
          <w:color w:val="000000"/>
          <w:sz w:val="20"/>
        </w:rPr>
        <w:t>28.3.    </w:t>
      </w:r>
      <w:r>
        <w:rPr>
          <w:color w:val="000000"/>
        </w:rPr>
        <w:t>“</w:t>
      </w:r>
      <w:r>
        <w:rPr>
          <w:rFonts w:ascii="Times New Roman;sans-serif" w:hAnsi="Times New Roman;sans-serif"/>
          <w:b/>
          <w:i/>
          <w:color w:val="000000"/>
          <w:sz w:val="20"/>
        </w:rPr>
        <w:t>Award Agreement</w:t>
      </w:r>
      <w:r>
        <w:rPr>
          <w:color w:val="000000"/>
        </w:rPr>
        <w:t xml:space="preserve">” </w:t>
      </w:r>
      <w:r>
        <w:rPr>
          <w:rFonts w:ascii="Times New Roman;sans-serif" w:hAnsi="Times New Roman;sans-serif"/>
          <w:b w:val="false"/>
          <w:color w:val="000000"/>
          <w:sz w:val="20"/>
        </w:rPr>
        <w:t>means, with respect to each Award, the written or electronic agreement between the Company and the Participant setting forth the terms and conditions of the Award, and country-specific appendix thereto for grants to non-U.S. Participants, which will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pStyle w:val="TextBody"/>
        <w:spacing w:lineRule="auto" w:line="288" w:before="0" w:after="120"/>
        <w:ind w:left="0" w:right="0" w:firstLine="720"/>
        <w:jc w:val="both"/>
        <w:rPr/>
      </w:pPr>
      <w:r>
        <w:rPr>
          <w:rFonts w:ascii="Times New Roman;sans-serif" w:hAnsi="Times New Roman;sans-serif"/>
          <w:b/>
          <w:color w:val="000000"/>
          <w:sz w:val="20"/>
        </w:rPr>
        <w:t>28.4.    </w:t>
      </w:r>
      <w:r>
        <w:rPr>
          <w:color w:val="000000"/>
        </w:rPr>
        <w:t>“</w:t>
      </w:r>
      <w:r>
        <w:rPr>
          <w:rFonts w:ascii="Times New Roman;sans-serif" w:hAnsi="Times New Roman;sans-serif"/>
          <w:b/>
          <w:i/>
          <w:color w:val="000000"/>
          <w:sz w:val="20"/>
        </w:rPr>
        <w:t>Board</w:t>
      </w:r>
      <w:r>
        <w:rPr>
          <w:color w:val="000000"/>
        </w:rPr>
        <w:t xml:space="preserve">” </w:t>
      </w:r>
      <w:r>
        <w:rPr>
          <w:rFonts w:ascii="Times New Roman;sans-serif" w:hAnsi="Times New Roman;sans-serif"/>
          <w:b w:val="false"/>
          <w:color w:val="000000"/>
          <w:sz w:val="20"/>
        </w:rPr>
        <w:t>means the Board of Directors of the Company.</w:t>
      </w:r>
    </w:p>
    <w:p>
      <w:pPr>
        <w:pStyle w:val="TextBody"/>
        <w:spacing w:lineRule="auto" w:line="288" w:before="0" w:after="120"/>
        <w:ind w:left="0" w:right="0" w:firstLine="720"/>
        <w:jc w:val="both"/>
        <w:rPr/>
      </w:pPr>
      <w:r>
        <w:rPr>
          <w:rFonts w:ascii="Times New Roman;sans-serif" w:hAnsi="Times New Roman;sans-serif"/>
          <w:b/>
          <w:color w:val="000000"/>
          <w:sz w:val="20"/>
        </w:rPr>
        <w:t>28.5.    </w:t>
      </w:r>
      <w:r>
        <w:rPr>
          <w:color w:val="000000"/>
        </w:rPr>
        <w:t>“</w:t>
      </w:r>
      <w:r>
        <w:rPr>
          <w:rFonts w:ascii="Times New Roman;sans-serif" w:hAnsi="Times New Roman;sans-serif"/>
          <w:b/>
          <w:i/>
          <w:color w:val="000000"/>
          <w:sz w:val="20"/>
        </w:rPr>
        <w:t>Cause</w:t>
      </w:r>
      <w:r>
        <w:rPr>
          <w:color w:val="000000"/>
        </w:rPr>
        <w:t xml:space="preserve">” </w:t>
      </w:r>
      <w:r>
        <w:rPr>
          <w:rFonts w:ascii="Times New Roman;sans-serif" w:hAnsi="Times New Roman;sans-serif"/>
          <w:b w:val="false"/>
          <w:color w:val="000000"/>
          <w:sz w:val="20"/>
        </w:rPr>
        <w:t xml:space="preserve">means a determination by the Company (and in the case of Participant who is subject to Section 16 of the Exchange Act, the Committee) that the Participant has committed an act or acts constituting any of the following: (a) willful failure substantially to perform his or her duties and responsibilities to the Company or deliberate violation of a Company policy (including the Company’s code of conduct); (b) commission of any act of fraud, embezzlement, dishonesty or any other willful misconduct that has caused or is reasonably expected to result in material injury to the Company; (c) unauthorized use or disclosure of any proprietary information or trade secrets of the Company or any other party to whom the Participant owes an obligation of nondisclosure as a result of his or her relationship with the Company; (d) misappropriation of a business opportunity of the Company; (e) while providing service to the Company, the provision of material aid to a competitor of the Company; (f) willful breach of any of his or her obligations under any written agreement or covenant with the Company; or (g) failure to cooperate with an internal investigation or an investigation by regulatory or law enforcement </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2"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A-11</w:t>
                      </w:r>
                    </w:p>
                  </w:txbxContent>
                </v:textbox>
              </v:rect>
            </w:pict>
          </mc:Fallback>
        </mc:AlternateContent>
      </w:r>
    </w:p>
    <w:p>
      <w:pPr>
        <w:pStyle w:val="TextBody"/>
        <w:spacing w:before="0" w:after="0"/>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authorities after being instructed by the Company to cooperate. The determination as to whether Cause for a Participant’s termination exists will be made in good faith by the Company and will be final and binding on the Participant. This definition does not in any way limit the Company’s or any Parent’s or Subsidiary’s or Affiliate’s ability to terminate a Participant’s Service at any time. Notwithstanding the foregoing, the foregoing definition of “Cause” may, in part or in whole, be modified or replaced in each individual employment agreement, Award Agreement, or other applicable agreement with any Participant provided that such document specifically supersedes this definition. </w:t>
      </w:r>
    </w:p>
    <w:p>
      <w:pPr>
        <w:pStyle w:val="TextBody"/>
        <w:spacing w:lineRule="auto" w:line="288" w:before="0" w:after="120"/>
        <w:ind w:left="0" w:right="0" w:firstLine="720"/>
        <w:jc w:val="both"/>
        <w:rPr/>
      </w:pPr>
      <w:r>
        <w:rPr>
          <w:rFonts w:ascii="Times New Roman;sans-serif" w:hAnsi="Times New Roman;sans-serif"/>
          <w:b/>
          <w:color w:val="000000"/>
          <w:sz w:val="20"/>
        </w:rPr>
        <w:t>28.6.    </w:t>
      </w:r>
      <w:r>
        <w:rPr>
          <w:color w:val="000000"/>
        </w:rPr>
        <w:t>“</w:t>
      </w:r>
      <w:r>
        <w:rPr>
          <w:rFonts w:ascii="Times New Roman;sans-serif" w:hAnsi="Times New Roman;sans-serif"/>
          <w:b/>
          <w:i/>
          <w:color w:val="000000"/>
          <w:sz w:val="20"/>
        </w:rPr>
        <w:t>Code</w:t>
      </w:r>
      <w:r>
        <w:rPr>
          <w:color w:val="000000"/>
        </w:rPr>
        <w:t xml:space="preserve">” </w:t>
      </w:r>
      <w:r>
        <w:rPr>
          <w:rFonts w:ascii="Times New Roman;sans-serif" w:hAnsi="Times New Roman;sans-serif"/>
          <w:b w:val="false"/>
          <w:color w:val="000000"/>
          <w:sz w:val="20"/>
        </w:rPr>
        <w:t>means the United States Internal Revenue Code of 1986, as amended, and the regulations promulgated thereunder.</w:t>
      </w:r>
    </w:p>
    <w:p>
      <w:pPr>
        <w:pStyle w:val="TextBody"/>
        <w:spacing w:lineRule="auto" w:line="288" w:before="0" w:after="120"/>
        <w:ind w:left="0" w:right="0" w:firstLine="720"/>
        <w:jc w:val="both"/>
        <w:rPr/>
      </w:pPr>
      <w:r>
        <w:rPr>
          <w:rFonts w:ascii="Times New Roman;sans-serif" w:hAnsi="Times New Roman;sans-serif"/>
          <w:b/>
          <w:color w:val="000000"/>
          <w:sz w:val="20"/>
        </w:rPr>
        <w:t>28.7.    </w:t>
      </w:r>
      <w:r>
        <w:rPr>
          <w:color w:val="000000"/>
        </w:rPr>
        <w:t>“</w:t>
      </w:r>
      <w:r>
        <w:rPr>
          <w:rFonts w:ascii="Times New Roman;sans-serif" w:hAnsi="Times New Roman;sans-serif"/>
          <w:b/>
          <w:i/>
          <w:color w:val="000000"/>
          <w:sz w:val="20"/>
        </w:rPr>
        <w:t>Committee</w:t>
      </w:r>
      <w:r>
        <w:rPr>
          <w:color w:val="000000"/>
        </w:rPr>
        <w:t xml:space="preserve">” </w:t>
      </w:r>
      <w:r>
        <w:rPr>
          <w:rFonts w:ascii="Times New Roman;sans-serif" w:hAnsi="Times New Roman;sans-serif"/>
          <w:b w:val="false"/>
          <w:color w:val="000000"/>
          <w:sz w:val="20"/>
        </w:rPr>
        <w:t>means the Compensation Committee of the Board or those persons to whom administration of this Plan, or part of this Plan, has been delegated as permitted by law.</w:t>
      </w:r>
    </w:p>
    <w:p>
      <w:pPr>
        <w:pStyle w:val="TextBody"/>
        <w:spacing w:lineRule="auto" w:line="288" w:before="0" w:after="120"/>
        <w:ind w:left="0" w:right="0" w:firstLine="720"/>
        <w:jc w:val="both"/>
        <w:rPr/>
      </w:pPr>
      <w:r>
        <w:rPr>
          <w:rFonts w:ascii="Times New Roman;sans-serif" w:hAnsi="Times New Roman;sans-serif"/>
          <w:b/>
          <w:color w:val="000000"/>
          <w:sz w:val="20"/>
        </w:rPr>
        <w:t>28.8.    </w:t>
      </w:r>
      <w:r>
        <w:rPr>
          <w:color w:val="000000"/>
        </w:rPr>
        <w:t>“</w:t>
      </w:r>
      <w:r>
        <w:rPr>
          <w:rFonts w:ascii="Times New Roman;sans-serif" w:hAnsi="Times New Roman;sans-serif"/>
          <w:b/>
          <w:i/>
          <w:color w:val="000000"/>
          <w:sz w:val="20"/>
        </w:rPr>
        <w:t>Common Stock</w:t>
      </w:r>
      <w:r>
        <w:rPr>
          <w:color w:val="000000"/>
        </w:rPr>
        <w:t xml:space="preserve">” </w:t>
      </w:r>
      <w:r>
        <w:rPr>
          <w:rFonts w:ascii="Times New Roman;sans-serif" w:hAnsi="Times New Roman;sans-serif"/>
          <w:b w:val="false"/>
          <w:color w:val="000000"/>
          <w:sz w:val="20"/>
        </w:rPr>
        <w:t>means the common stock of the Company.</w:t>
      </w:r>
    </w:p>
    <w:p>
      <w:pPr>
        <w:pStyle w:val="TextBody"/>
        <w:spacing w:lineRule="auto" w:line="288" w:before="0" w:after="120"/>
        <w:ind w:left="0" w:right="0" w:firstLine="720"/>
        <w:jc w:val="both"/>
        <w:rPr/>
      </w:pPr>
      <w:r>
        <w:rPr>
          <w:rFonts w:ascii="Times New Roman;sans-serif" w:hAnsi="Times New Roman;sans-serif"/>
          <w:b/>
          <w:color w:val="000000"/>
          <w:sz w:val="20"/>
        </w:rPr>
        <w:t>28.9.    </w:t>
      </w:r>
      <w:r>
        <w:rPr>
          <w:color w:val="000000"/>
        </w:rPr>
        <w:t>“</w:t>
      </w:r>
      <w:r>
        <w:rPr>
          <w:rFonts w:ascii="Times New Roman;sans-serif" w:hAnsi="Times New Roman;sans-serif"/>
          <w:b/>
          <w:i/>
          <w:color w:val="000000"/>
          <w:sz w:val="20"/>
        </w:rPr>
        <w:t>Company</w:t>
      </w:r>
      <w:r>
        <w:rPr>
          <w:color w:val="000000"/>
        </w:rPr>
        <w:t xml:space="preserve">” </w:t>
      </w:r>
      <w:r>
        <w:rPr>
          <w:rFonts w:ascii="Times New Roman;sans-serif" w:hAnsi="Times New Roman;sans-serif"/>
          <w:b w:val="false"/>
          <w:color w:val="000000"/>
          <w:sz w:val="20"/>
        </w:rPr>
        <w:t>means Veracyte, Inc., a Delaware corporation, or any successor corporation.</w:t>
      </w:r>
    </w:p>
    <w:p>
      <w:pPr>
        <w:pStyle w:val="TextBody"/>
        <w:spacing w:lineRule="auto" w:line="288" w:before="0" w:after="120"/>
        <w:ind w:left="0" w:right="0" w:firstLine="720"/>
        <w:jc w:val="both"/>
        <w:rPr/>
      </w:pPr>
      <w:r>
        <w:rPr>
          <w:rFonts w:ascii="Times New Roman;sans-serif" w:hAnsi="Times New Roman;sans-serif"/>
          <w:b/>
          <w:color w:val="000000"/>
          <w:sz w:val="20"/>
        </w:rPr>
        <w:t>28.10.    </w:t>
      </w:r>
      <w:r>
        <w:rPr>
          <w:color w:val="000000"/>
        </w:rPr>
        <w:t>“</w:t>
      </w:r>
      <w:r>
        <w:rPr>
          <w:rFonts w:ascii="Times New Roman;sans-serif" w:hAnsi="Times New Roman;sans-serif"/>
          <w:b/>
          <w:i/>
          <w:color w:val="000000"/>
          <w:sz w:val="20"/>
        </w:rPr>
        <w:t>Consultant</w:t>
      </w:r>
      <w:r>
        <w:rPr>
          <w:color w:val="000000"/>
        </w:rPr>
        <w:t xml:space="preserve">” </w:t>
      </w:r>
      <w:r>
        <w:rPr>
          <w:rFonts w:ascii="Times New Roman;sans-serif" w:hAnsi="Times New Roman;sans-serif"/>
          <w:b w:val="false"/>
          <w:color w:val="000000"/>
          <w:sz w:val="20"/>
        </w:rPr>
        <w:t>means any natural person, including an advisor or independent contractor, engaged by the Company or a Parent, Subsidiary, or Affiliate to render services to such entity.</w:t>
      </w:r>
    </w:p>
    <w:p>
      <w:pPr>
        <w:pStyle w:val="TextBody"/>
        <w:spacing w:lineRule="auto" w:line="288" w:before="0" w:after="120"/>
        <w:ind w:left="0" w:right="0" w:firstLine="720"/>
        <w:jc w:val="both"/>
        <w:rPr/>
      </w:pPr>
      <w:r>
        <w:rPr>
          <w:rFonts w:ascii="Times New Roman;sans-serif" w:hAnsi="Times New Roman;sans-serif"/>
          <w:b/>
          <w:color w:val="000000"/>
          <w:sz w:val="20"/>
        </w:rPr>
        <w:t>28.11.    </w:t>
      </w:r>
      <w:r>
        <w:rPr>
          <w:color w:val="000000"/>
        </w:rPr>
        <w:t>“</w:t>
      </w:r>
      <w:r>
        <w:rPr>
          <w:rFonts w:ascii="Times New Roman;sans-serif" w:hAnsi="Times New Roman;sans-serif"/>
          <w:b/>
          <w:i/>
          <w:color w:val="000000"/>
          <w:sz w:val="20"/>
        </w:rPr>
        <w:t>Corporate Transaction</w:t>
      </w:r>
      <w:r>
        <w:rPr>
          <w:color w:val="000000"/>
        </w:rPr>
        <w:t xml:space="preserve">” </w:t>
      </w:r>
      <w:r>
        <w:rPr>
          <w:rFonts w:ascii="Times New Roman;sans-serif" w:hAnsi="Times New Roman;sans-serif"/>
          <w:b w:val="false"/>
          <w:color w:val="000000"/>
          <w:sz w:val="20"/>
        </w:rPr>
        <w:t>means the occurrence of any of the following events: (i) 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(ii) the consummation of the sale or disposition by the Company of all or substantially all of the Company’s assets;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or (iv)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will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a transaction shall not constitute a Corporate Transaction if its sole purpose is to change the state of the Company’s incorporation or to create a holding company that will be owned in substantially the same proportions by the persons who held the Company’s securities immediately before such transaction, and a Corporate Transaction shall not be deemed to occur if the Company files a registration statement with the United States Securities and Exchange Commission for the initial or secondary public offering of securities or debt of the Company to the public.</w:t>
      </w:r>
    </w:p>
    <w:p>
      <w:pPr>
        <w:pStyle w:val="TextBody"/>
        <w:spacing w:lineRule="auto" w:line="288" w:before="0" w:after="120"/>
        <w:ind w:left="0" w:right="0" w:firstLine="720"/>
        <w:jc w:val="both"/>
        <w:rPr/>
      </w:pPr>
      <w:r>
        <w:rPr>
          <w:rFonts w:ascii="Times New Roman;sans-serif" w:hAnsi="Times New Roman;sans-serif"/>
          <w:b/>
          <w:color w:val="000000"/>
          <w:sz w:val="20"/>
        </w:rPr>
        <w:t>28.12.    </w:t>
      </w:r>
      <w:r>
        <w:rPr>
          <w:color w:val="000000"/>
        </w:rPr>
        <w:t>“</w:t>
      </w:r>
      <w:r>
        <w:rPr>
          <w:rFonts w:ascii="Times New Roman;sans-serif" w:hAnsi="Times New Roman;sans-serif"/>
          <w:b/>
          <w:i/>
          <w:color w:val="000000"/>
          <w:sz w:val="20"/>
        </w:rPr>
        <w:t>Director</w:t>
      </w:r>
      <w:r>
        <w:rPr>
          <w:color w:val="000000"/>
        </w:rPr>
        <w:t xml:space="preserve">” </w:t>
      </w:r>
      <w:r>
        <w:rPr>
          <w:rFonts w:ascii="Times New Roman;sans-serif" w:hAnsi="Times New Roman;sans-serif"/>
          <w:b w:val="false"/>
          <w:color w:val="000000"/>
          <w:sz w:val="20"/>
        </w:rPr>
        <w:t>means a member of the Board.</w:t>
      </w:r>
    </w:p>
    <w:p>
      <w:pPr>
        <w:pStyle w:val="TextBody"/>
        <w:spacing w:lineRule="auto" w:line="288" w:before="0" w:after="120"/>
        <w:ind w:left="0" w:right="0" w:firstLine="720"/>
        <w:jc w:val="both"/>
        <w:rPr/>
      </w:pPr>
      <w:r>
        <w:rPr>
          <w:rFonts w:ascii="Times New Roman;sans-serif" w:hAnsi="Times New Roman;sans-serif"/>
          <w:b/>
          <w:color w:val="000000"/>
          <w:sz w:val="20"/>
        </w:rPr>
        <w:t>28.13.    </w:t>
      </w:r>
      <w:r>
        <w:rPr>
          <w:color w:val="000000"/>
        </w:rPr>
        <w:t>“</w:t>
      </w:r>
      <w:r>
        <w:rPr>
          <w:rFonts w:ascii="Times New Roman;sans-serif" w:hAnsi="Times New Roman;sans-serif"/>
          <w:b/>
          <w:i/>
          <w:color w:val="000000"/>
          <w:sz w:val="20"/>
        </w:rPr>
        <w:t>Disability</w:t>
      </w:r>
      <w:r>
        <w:rPr>
          <w:color w:val="000000"/>
        </w:rPr>
        <w:t xml:space="preserve">” </w:t>
      </w:r>
      <w:r>
        <w:rPr>
          <w:rFonts w:ascii="Times New Roman;sans-serif" w:hAnsi="Times New Roman;sans-serif"/>
          <w:b w:val="false"/>
          <w:color w:val="000000"/>
          <w:sz w:val="20"/>
        </w:rPr>
        <w:t>means in the case of ISOs, total and permanent disability as defined in Section 22(e)(3) of the Code and in the case of other Awards, that the 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pStyle w:val="TextBody"/>
        <w:spacing w:lineRule="auto" w:line="288" w:before="0" w:after="120"/>
        <w:ind w:left="0" w:right="0" w:firstLine="720"/>
        <w:jc w:val="both"/>
        <w:rPr/>
      </w:pPr>
      <w:r>
        <w:rPr>
          <w:rFonts w:ascii="Times New Roman;sans-serif" w:hAnsi="Times New Roman;sans-serif"/>
          <w:b/>
          <w:color w:val="000000"/>
          <w:sz w:val="20"/>
        </w:rPr>
        <w:t>28.14.    </w:t>
      </w:r>
      <w:r>
        <w:rPr>
          <w:rFonts w:ascii="Times New Roman;sans-serif" w:hAnsi="Times New Roman;sans-serif"/>
          <w:b/>
          <w:i/>
          <w:color w:val="000000"/>
          <w:sz w:val="20"/>
        </w:rPr>
        <w:t>Dividend Equivalent Right</w:t>
      </w:r>
      <w:r>
        <w:rPr>
          <w:color w:val="000000"/>
        </w:rPr>
        <w:t xml:space="preserve">” </w:t>
      </w:r>
      <w:r>
        <w:rPr>
          <w:rFonts w:ascii="Times New Roman;sans-serif" w:hAnsi="Times New Roman;sans-serif"/>
          <w:b w:val="false"/>
          <w:color w:val="000000"/>
          <w:sz w:val="20"/>
        </w:rPr>
        <w:t>means the right of a Participant, granted at the discretion of the Committee or as otherwise provided by the Plan, to receive a credit for the account of such Participant in an amount equal to the cash, stock or other property dividends in amounts equivalent to cash, stock or other property dividends for each Share represented by an Award held by such Participant.</w:t>
      </w:r>
    </w:p>
    <w:p>
      <w:pPr>
        <w:pStyle w:val="TextBody"/>
        <w:spacing w:lineRule="auto" w:line="288" w:before="0" w:after="120"/>
        <w:ind w:left="0" w:right="0" w:firstLine="720"/>
        <w:jc w:val="both"/>
        <w:rPr/>
      </w:pPr>
      <w:r>
        <w:rPr>
          <w:rFonts w:ascii="Times New Roman;sans-serif" w:hAnsi="Times New Roman;sans-serif"/>
          <w:b/>
          <w:color w:val="000000"/>
          <w:sz w:val="20"/>
        </w:rPr>
        <w:t>28.15.    </w:t>
      </w:r>
      <w:r>
        <w:rPr>
          <w:color w:val="000000"/>
        </w:rPr>
        <w:t>“</w:t>
      </w:r>
      <w:r>
        <w:rPr>
          <w:rFonts w:ascii="Times New Roman;sans-serif" w:hAnsi="Times New Roman;sans-serif"/>
          <w:b/>
          <w:i/>
          <w:color w:val="000000"/>
          <w:sz w:val="20"/>
        </w:rPr>
        <w:t>Effective Date</w:t>
      </w:r>
      <w:r>
        <w:rPr>
          <w:color w:val="000000"/>
        </w:rPr>
        <w:t xml:space="preserve">” </w:t>
      </w:r>
      <w:r>
        <w:rPr>
          <w:rFonts w:ascii="Times New Roman;sans-serif" w:hAnsi="Times New Roman;sans-serif"/>
          <w:b w:val="false"/>
          <w:color w:val="000000"/>
          <w:sz w:val="20"/>
        </w:rPr>
        <w:t>means the date this Plan is approved by the stockholders of the Company (which shall be within twelve (12) months of the approval of this Plan by the Board).</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3"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A-12</w:t>
                      </w:r>
                    </w:p>
                  </w:txbxContent>
                </v:textbox>
              </v:rect>
            </w:pict>
          </mc:Fallback>
        </mc:AlternateContent>
      </w:r>
    </w:p>
    <w:p>
      <w:pPr>
        <w:pStyle w:val="TextBody"/>
        <w:spacing w:before="0" w:after="0"/>
        <w:rPr/>
      </w:pPr>
      <w:r>
        <w:rPr/>
      </w:r>
    </w:p>
    <w:p>
      <w:pPr>
        <w:pStyle w:val="TextBody"/>
        <w:spacing w:lineRule="auto" w:line="288" w:before="0" w:after="120"/>
        <w:ind w:left="0" w:right="0" w:firstLine="720"/>
        <w:jc w:val="both"/>
        <w:rPr/>
      </w:pPr>
      <w:r>
        <w:rPr>
          <w:rFonts w:ascii="Times New Roman;sans-serif" w:hAnsi="Times New Roman;sans-serif"/>
          <w:b/>
          <w:color w:val="000000"/>
          <w:sz w:val="20"/>
        </w:rPr>
        <w:t>28.16.    </w:t>
      </w:r>
      <w:r>
        <w:rPr>
          <w:color w:val="000000"/>
        </w:rPr>
        <w:t>“</w:t>
      </w:r>
      <w:r>
        <w:rPr>
          <w:rFonts w:ascii="Times New Roman;sans-serif" w:hAnsi="Times New Roman;sans-serif"/>
          <w:b/>
          <w:i/>
          <w:color w:val="000000"/>
          <w:sz w:val="20"/>
        </w:rPr>
        <w:t>Employee</w:t>
      </w:r>
      <w:r>
        <w:rPr>
          <w:color w:val="000000"/>
        </w:rPr>
        <w:t xml:space="preserve">” </w:t>
      </w:r>
      <w:r>
        <w:rPr>
          <w:rFonts w:ascii="Times New Roman;sans-serif" w:hAnsi="Times New Roman;sans-serif"/>
          <w:b w:val="false"/>
          <w:color w:val="000000"/>
          <w:sz w:val="20"/>
        </w:rPr>
        <w:t>means any person, including officers and Directors, providing services as an employee to the Company or any Parent, Subsidiary, or Affiliate. Neither service as a Director nor payment of a director’s fee by the Company will be sufficient to constitute “employment” by the Company.</w:t>
      </w:r>
    </w:p>
    <w:p>
      <w:pPr>
        <w:pStyle w:val="TextBody"/>
        <w:spacing w:lineRule="auto" w:line="288" w:before="0" w:after="120"/>
        <w:ind w:left="0" w:right="0" w:firstLine="720"/>
        <w:jc w:val="both"/>
        <w:rPr/>
      </w:pPr>
      <w:r>
        <w:rPr>
          <w:rFonts w:ascii="Times New Roman;sans-serif" w:hAnsi="Times New Roman;sans-serif"/>
          <w:b/>
          <w:color w:val="000000"/>
          <w:sz w:val="20"/>
        </w:rPr>
        <w:t>28.17.    </w:t>
      </w:r>
      <w:r>
        <w:rPr>
          <w:color w:val="000000"/>
        </w:rPr>
        <w:t>“</w:t>
      </w:r>
      <w:r>
        <w:rPr>
          <w:rFonts w:ascii="Times New Roman;sans-serif" w:hAnsi="Times New Roman;sans-serif"/>
          <w:b/>
          <w:i/>
          <w:color w:val="000000"/>
          <w:sz w:val="20"/>
        </w:rPr>
        <w:t>Exchange Act</w:t>
      </w:r>
      <w:r>
        <w:rPr>
          <w:color w:val="000000"/>
        </w:rPr>
        <w:t xml:space="preserve">” </w:t>
      </w:r>
      <w:r>
        <w:rPr>
          <w:rFonts w:ascii="Times New Roman;sans-serif" w:hAnsi="Times New Roman;sans-serif"/>
          <w:b w:val="false"/>
          <w:color w:val="000000"/>
          <w:sz w:val="20"/>
        </w:rPr>
        <w:t>means the United States Securities Exchange Act of 1934, as amended.</w:t>
      </w:r>
    </w:p>
    <w:p>
      <w:pPr>
        <w:pStyle w:val="TextBody"/>
        <w:spacing w:lineRule="auto" w:line="288" w:before="0" w:after="120"/>
        <w:ind w:left="0" w:right="0" w:firstLine="720"/>
        <w:jc w:val="both"/>
        <w:rPr/>
      </w:pPr>
      <w:r>
        <w:rPr>
          <w:rFonts w:ascii="Times New Roman;sans-serif" w:hAnsi="Times New Roman;sans-serif"/>
          <w:b/>
          <w:color w:val="000000"/>
          <w:sz w:val="20"/>
        </w:rPr>
        <w:t>28.18.    </w:t>
      </w:r>
      <w:r>
        <w:rPr>
          <w:color w:val="000000"/>
        </w:rPr>
        <w:t>“</w:t>
      </w:r>
      <w:r>
        <w:rPr>
          <w:rFonts w:ascii="Times New Roman;sans-serif" w:hAnsi="Times New Roman;sans-serif"/>
          <w:b/>
          <w:i/>
          <w:color w:val="000000"/>
          <w:sz w:val="20"/>
        </w:rPr>
        <w:t>Exchange Program</w:t>
      </w:r>
      <w:r>
        <w:rPr>
          <w:color w:val="000000"/>
        </w:rPr>
        <w:t xml:space="preserve">” </w:t>
      </w:r>
      <w:r>
        <w:rPr>
          <w:rFonts w:ascii="Times New Roman;sans-serif" w:hAnsi="Times New Roman;sans-serif"/>
          <w:b w:val="false"/>
          <w:color w:val="000000"/>
          <w:sz w:val="20"/>
        </w:rPr>
        <w:t>means a program approved by the Company’s stockholders pursuant to which (i) outstanding Awards are surrendered, cancelled, or exchanged for cash, the same type of Award, or a different Award (or combination thereof) or (ii) the exercise price of an outstanding Award is reduced.</w:t>
      </w:r>
    </w:p>
    <w:p>
      <w:pPr>
        <w:pStyle w:val="TextBody"/>
        <w:spacing w:lineRule="auto" w:line="288" w:before="0" w:after="120"/>
        <w:ind w:left="0" w:right="0" w:firstLine="720"/>
        <w:jc w:val="both"/>
        <w:rPr/>
      </w:pPr>
      <w:r>
        <w:rPr>
          <w:rFonts w:ascii="Times New Roman;sans-serif" w:hAnsi="Times New Roman;sans-serif"/>
          <w:b/>
          <w:color w:val="000000"/>
          <w:sz w:val="20"/>
        </w:rPr>
        <w:t>28.19.    </w:t>
      </w:r>
      <w:r>
        <w:rPr>
          <w:color w:val="000000"/>
        </w:rPr>
        <w:t>“</w:t>
      </w:r>
      <w:r>
        <w:rPr>
          <w:rFonts w:ascii="Times New Roman;sans-serif" w:hAnsi="Times New Roman;sans-serif"/>
          <w:b/>
          <w:i/>
          <w:color w:val="000000"/>
          <w:sz w:val="20"/>
        </w:rPr>
        <w:t>Exercise Price</w:t>
      </w:r>
      <w:r>
        <w:rPr>
          <w:color w:val="000000"/>
        </w:rPr>
        <w:t xml:space="preserve">” </w:t>
      </w:r>
      <w:r>
        <w:rPr>
          <w:rFonts w:ascii="Times New Roman;sans-serif" w:hAnsi="Times New Roman;sans-serif"/>
          <w:b w:val="false"/>
          <w:color w:val="000000"/>
          <w:sz w:val="20"/>
        </w:rPr>
        <w:t>means, with respect to an Option, the price at which a holder may purchase the Shares issuable upon exercise of an Option and with respect to a SAR, the price at which the SAR is granted to the holder thereof.</w:t>
      </w:r>
    </w:p>
    <w:p>
      <w:pPr>
        <w:pStyle w:val="TextBody"/>
        <w:spacing w:lineRule="auto" w:line="288" w:before="0" w:after="120"/>
        <w:ind w:left="0" w:right="0" w:firstLine="720"/>
        <w:jc w:val="both"/>
        <w:rPr/>
      </w:pPr>
      <w:r>
        <w:rPr>
          <w:rFonts w:ascii="Times New Roman;sans-serif" w:hAnsi="Times New Roman;sans-serif"/>
          <w:b/>
          <w:color w:val="000000"/>
          <w:sz w:val="20"/>
        </w:rPr>
        <w:t>28.20.    </w:t>
      </w:r>
      <w:r>
        <w:rPr>
          <w:color w:val="000000"/>
        </w:rPr>
        <w:t>“</w:t>
      </w:r>
      <w:r>
        <w:rPr>
          <w:rFonts w:ascii="Times New Roman;sans-serif" w:hAnsi="Times New Roman;sans-serif"/>
          <w:b/>
          <w:i/>
          <w:color w:val="000000"/>
          <w:sz w:val="20"/>
        </w:rPr>
        <w:t>Fair Market Value</w:t>
      </w:r>
      <w:r>
        <w:rPr>
          <w:color w:val="000000"/>
        </w:rPr>
        <w:t xml:space="preserve">” </w:t>
      </w:r>
      <w:r>
        <w:rPr>
          <w:rFonts w:ascii="Times New Roman;sans-serif" w:hAnsi="Times New Roman;sans-serif"/>
          <w:b w:val="false"/>
          <w:color w:val="000000"/>
          <w:sz w:val="20"/>
        </w:rPr>
        <w:t>means, as of any date, the value of a Share, determined as follows:</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    If such Common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Common Stock is quoted or, if the Common Stock is not quoted on any such system, by the OTC Link Quote system;</w:t>
      </w:r>
    </w:p>
    <w:p>
      <w:pPr>
        <w:pStyle w:val="TextBody"/>
        <w:spacing w:lineRule="auto" w:line="288" w:before="0" w:after="120"/>
        <w:ind w:left="0" w:right="0" w:firstLine="1440"/>
        <w:jc w:val="both"/>
        <w:rPr/>
      </w:pPr>
      <w:r>
        <w:rPr>
          <w:rFonts w:ascii="Times New Roman;sans-serif" w:hAnsi="Times New Roman;sans-serif"/>
          <w:b w:val="false"/>
          <w:color w:val="000000"/>
          <w:sz w:val="20"/>
        </w:rPr>
        <w:t xml:space="preserve">(b)    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Times New Roman;sans-serif" w:hAnsi="Times New Roman;sans-serif"/>
          <w:b w:val="false"/>
          <w:i/>
          <w:color w:val="000000"/>
          <w:sz w:val="20"/>
        </w:rPr>
        <w:t xml:space="preserve">The Wall Street </w:t>
      </w:r>
      <w:r>
        <w:rPr>
          <w:rFonts w:ascii="Times New Roman;sans-serif" w:hAnsi="Times New Roman;sans-serif"/>
          <w:b w:val="false"/>
          <w:color w:val="000000"/>
          <w:sz w:val="20"/>
        </w:rPr>
        <w:t>Journal or such other source as the Committee determines;</w:t>
      </w:r>
    </w:p>
    <w:p>
      <w:pPr>
        <w:pStyle w:val="TextBody"/>
        <w:spacing w:lineRule="auto" w:line="288" w:before="0" w:after="120"/>
        <w:ind w:left="0" w:right="0" w:firstLine="1440"/>
        <w:jc w:val="both"/>
        <w:rPr/>
      </w:pPr>
      <w:r>
        <w:rPr>
          <w:rFonts w:ascii="Times New Roman;sans-serif" w:hAnsi="Times New Roman;sans-serif"/>
          <w:b w:val="false"/>
          <w:color w:val="000000"/>
          <w:sz w:val="20"/>
        </w:rPr>
        <w:t xml:space="preserve">(c)    if such Common Stock is publicly traded but is neither listed nor admitted to trading on a national securities exchange, the average of the closing bid and asked prices on the date of determination as reported in </w:t>
      </w:r>
      <w:r>
        <w:rPr>
          <w:rFonts w:ascii="Times New Roman;sans-serif" w:hAnsi="Times New Roman;sans-serif"/>
          <w:b w:val="false"/>
          <w:i/>
          <w:color w:val="000000"/>
          <w:sz w:val="20"/>
        </w:rPr>
        <w:t>The Wall Street Journal</w:t>
      </w:r>
      <w:r>
        <w:rPr>
          <w:color w:val="000000"/>
        </w:rPr>
        <w:t xml:space="preserve"> </w:t>
      </w:r>
      <w:r>
        <w:rPr>
          <w:rFonts w:ascii="Times New Roman;sans-serif" w:hAnsi="Times New Roman;sans-serif"/>
          <w:b w:val="false"/>
          <w:color w:val="000000"/>
          <w:sz w:val="20"/>
        </w:rPr>
        <w:t>or such other source as the Committee determines; or</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    by the Board or the Committee in good faith.</w:t>
      </w:r>
    </w:p>
    <w:p>
      <w:pPr>
        <w:pStyle w:val="TextBody"/>
        <w:spacing w:lineRule="auto" w:line="288" w:before="0" w:after="120"/>
        <w:ind w:left="0" w:right="0" w:firstLine="720"/>
        <w:jc w:val="both"/>
        <w:rPr/>
      </w:pPr>
      <w:r>
        <w:rPr>
          <w:rFonts w:ascii="Times New Roman;sans-serif" w:hAnsi="Times New Roman;sans-serif"/>
          <w:b/>
          <w:color w:val="000000"/>
          <w:sz w:val="20"/>
        </w:rPr>
        <w:t>28.21.    </w:t>
      </w:r>
      <w:r>
        <w:rPr>
          <w:color w:val="000000"/>
        </w:rPr>
        <w:t>“</w:t>
      </w:r>
      <w:r>
        <w:rPr>
          <w:rFonts w:ascii="Times New Roman;sans-serif" w:hAnsi="Times New Roman;sans-serif"/>
          <w:b/>
          <w:i/>
          <w:color w:val="000000"/>
          <w:sz w:val="20"/>
        </w:rPr>
        <w:t>Insider</w:t>
      </w:r>
      <w:r>
        <w:rPr>
          <w:color w:val="000000"/>
        </w:rPr>
        <w:t xml:space="preserve">” </w:t>
      </w:r>
      <w:r>
        <w:rPr>
          <w:rFonts w:ascii="Times New Roman;sans-serif" w:hAnsi="Times New Roman;sans-serif"/>
          <w:b w:val="false"/>
          <w:color w:val="000000"/>
          <w:sz w:val="20"/>
        </w:rPr>
        <w:t>means an officer or Director of the Company or any other person whose transactions in the Company’s Common Stock are subject to Section 16 of the Exchange Act.</w:t>
      </w:r>
    </w:p>
    <w:p>
      <w:pPr>
        <w:pStyle w:val="TextBody"/>
        <w:spacing w:lineRule="auto" w:line="288" w:before="0" w:after="120"/>
        <w:ind w:left="0" w:right="0" w:firstLine="720"/>
        <w:jc w:val="both"/>
        <w:rPr/>
      </w:pPr>
      <w:r>
        <w:rPr>
          <w:rFonts w:ascii="Times New Roman;sans-serif" w:hAnsi="Times New Roman;sans-serif"/>
          <w:b/>
          <w:color w:val="000000"/>
          <w:sz w:val="20"/>
        </w:rPr>
        <w:t>28.22.    </w:t>
      </w:r>
      <w:r>
        <w:rPr>
          <w:color w:val="000000"/>
        </w:rPr>
        <w:t>“</w:t>
      </w:r>
      <w:r>
        <w:rPr>
          <w:rFonts w:ascii="Times New Roman;sans-serif" w:hAnsi="Times New Roman;sans-serif"/>
          <w:b/>
          <w:i/>
          <w:color w:val="000000"/>
          <w:sz w:val="20"/>
        </w:rPr>
        <w:t>IRS</w:t>
      </w:r>
      <w:r>
        <w:rPr>
          <w:color w:val="000000"/>
        </w:rPr>
        <w:t xml:space="preserve">” </w:t>
      </w:r>
      <w:r>
        <w:rPr>
          <w:rFonts w:ascii="Times New Roman;sans-serif" w:hAnsi="Times New Roman;sans-serif"/>
          <w:b w:val="false"/>
          <w:color w:val="000000"/>
          <w:sz w:val="20"/>
        </w:rPr>
        <w:t>means the United States Internal Revenue Service.</w:t>
      </w:r>
    </w:p>
    <w:p>
      <w:pPr>
        <w:pStyle w:val="TextBody"/>
        <w:spacing w:lineRule="auto" w:line="288" w:before="0" w:after="120"/>
        <w:ind w:left="0" w:right="0" w:firstLine="720"/>
        <w:jc w:val="both"/>
        <w:rPr/>
      </w:pPr>
      <w:r>
        <w:rPr>
          <w:rFonts w:ascii="Times New Roman;sans-serif" w:hAnsi="Times New Roman;sans-serif"/>
          <w:b/>
          <w:color w:val="000000"/>
          <w:sz w:val="20"/>
        </w:rPr>
        <w:t>28.23.    </w:t>
      </w:r>
      <w:r>
        <w:rPr>
          <w:color w:val="000000"/>
        </w:rPr>
        <w:t>“</w:t>
      </w:r>
      <w:r>
        <w:rPr>
          <w:rFonts w:ascii="Times New Roman;sans-serif" w:hAnsi="Times New Roman;sans-serif"/>
          <w:b/>
          <w:i/>
          <w:color w:val="000000"/>
          <w:sz w:val="20"/>
        </w:rPr>
        <w:t>Non-Employee Director</w:t>
      </w:r>
      <w:r>
        <w:rPr>
          <w:color w:val="000000"/>
        </w:rPr>
        <w:t xml:space="preserve">” </w:t>
      </w:r>
      <w:r>
        <w:rPr>
          <w:rFonts w:ascii="Times New Roman;sans-serif" w:hAnsi="Times New Roman;sans-serif"/>
          <w:b w:val="false"/>
          <w:color w:val="000000"/>
          <w:sz w:val="20"/>
        </w:rPr>
        <w:t>means a Director who is not an Employee of the Company or any Parent, Subsidiary, or Affiliate.</w:t>
      </w:r>
    </w:p>
    <w:p>
      <w:pPr>
        <w:pStyle w:val="TextBody"/>
        <w:spacing w:lineRule="auto" w:line="288" w:before="0" w:after="120"/>
        <w:ind w:left="0" w:right="0" w:firstLine="720"/>
        <w:jc w:val="both"/>
        <w:rPr/>
      </w:pPr>
      <w:r>
        <w:rPr>
          <w:rFonts w:ascii="Times New Roman;sans-serif" w:hAnsi="Times New Roman;sans-serif"/>
          <w:b/>
          <w:color w:val="000000"/>
          <w:sz w:val="20"/>
        </w:rPr>
        <w:t>28.24.    </w:t>
      </w:r>
      <w:r>
        <w:rPr>
          <w:color w:val="000000"/>
        </w:rPr>
        <w:t>“</w:t>
      </w:r>
      <w:r>
        <w:rPr>
          <w:rFonts w:ascii="Times New Roman;sans-serif" w:hAnsi="Times New Roman;sans-serif"/>
          <w:b/>
          <w:i/>
          <w:color w:val="000000"/>
          <w:sz w:val="20"/>
        </w:rPr>
        <w:t>Option</w:t>
      </w:r>
      <w:r>
        <w:rPr>
          <w:color w:val="000000"/>
        </w:rPr>
        <w:t xml:space="preserve">” </w:t>
      </w:r>
      <w:r>
        <w:rPr>
          <w:rFonts w:ascii="Times New Roman;sans-serif" w:hAnsi="Times New Roman;sans-serif"/>
          <w:b w:val="false"/>
          <w:color w:val="000000"/>
          <w:sz w:val="20"/>
        </w:rPr>
        <w:t xml:space="preserve">means an Award as defined in </w:t>
      </w:r>
      <w:r>
        <w:rPr>
          <w:rFonts w:ascii="Times New Roman;sans-serif" w:hAnsi="Times New Roman;sans-serif"/>
          <w:b w:val="false"/>
          <w:color w:val="000000"/>
          <w:sz w:val="20"/>
          <w:u w:val="single"/>
        </w:rPr>
        <w:t>Section 5</w:t>
      </w:r>
      <w:r>
        <w:rPr>
          <w:color w:val="000000"/>
        </w:rPr>
        <w:t xml:space="preserve"> </w:t>
      </w:r>
      <w:r>
        <w:rPr>
          <w:rFonts w:ascii="Times New Roman;sans-serif" w:hAnsi="Times New Roman;sans-serif"/>
          <w:b w:val="false"/>
          <w:color w:val="000000"/>
          <w:sz w:val="20"/>
        </w:rPr>
        <w:t>and granted under this Plan.</w:t>
      </w:r>
    </w:p>
    <w:p>
      <w:pPr>
        <w:pStyle w:val="TextBody"/>
        <w:spacing w:lineRule="auto" w:line="288" w:before="0" w:after="120"/>
        <w:ind w:left="0" w:right="0" w:firstLine="720"/>
        <w:jc w:val="both"/>
        <w:rPr/>
      </w:pPr>
      <w:r>
        <w:rPr>
          <w:rFonts w:ascii="Times New Roman;sans-serif" w:hAnsi="Times New Roman;sans-serif"/>
          <w:b/>
          <w:color w:val="000000"/>
          <w:sz w:val="20"/>
        </w:rPr>
        <w:t>28.25.    </w:t>
      </w:r>
      <w:r>
        <w:rPr>
          <w:color w:val="000000"/>
        </w:rPr>
        <w:t>“</w:t>
      </w:r>
      <w:r>
        <w:rPr>
          <w:rFonts w:ascii="Times New Roman;sans-serif" w:hAnsi="Times New Roman;sans-serif"/>
          <w:b/>
          <w:i/>
          <w:color w:val="000000"/>
          <w:sz w:val="20"/>
        </w:rPr>
        <w:t>Parent</w:t>
      </w:r>
      <w:r>
        <w:rPr>
          <w:color w:val="000000"/>
        </w:rPr>
        <w:t xml:space="preserve">” </w:t>
      </w:r>
      <w:r>
        <w:rPr>
          <w:rFonts w:ascii="Times New Roman;sans-serif" w:hAnsi="Times New Roman;sans-serif"/>
          <w:b w:val="false"/>
          <w:color w:val="000000"/>
          <w:sz w:val="20"/>
        </w:rPr>
        <w:t>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pStyle w:val="TextBody"/>
        <w:spacing w:lineRule="auto" w:line="288" w:before="0" w:after="120"/>
        <w:ind w:left="0" w:right="0" w:firstLine="720"/>
        <w:jc w:val="both"/>
        <w:rPr/>
      </w:pPr>
      <w:r>
        <w:rPr>
          <w:rFonts w:ascii="Times New Roman;sans-serif" w:hAnsi="Times New Roman;sans-serif"/>
          <w:b/>
          <w:color w:val="000000"/>
          <w:sz w:val="20"/>
        </w:rPr>
        <w:t>28.26.    </w:t>
      </w:r>
      <w:r>
        <w:rPr>
          <w:color w:val="000000"/>
        </w:rPr>
        <w:t>“</w:t>
      </w:r>
      <w:r>
        <w:rPr>
          <w:rFonts w:ascii="Times New Roman;sans-serif" w:hAnsi="Times New Roman;sans-serif"/>
          <w:b/>
          <w:i/>
          <w:color w:val="000000"/>
          <w:sz w:val="20"/>
        </w:rPr>
        <w:t>Participant</w:t>
      </w:r>
      <w:r>
        <w:rPr>
          <w:color w:val="000000"/>
        </w:rPr>
        <w:t xml:space="preserve">” </w:t>
      </w:r>
      <w:r>
        <w:rPr>
          <w:rFonts w:ascii="Times New Roman;sans-serif" w:hAnsi="Times New Roman;sans-serif"/>
          <w:b w:val="false"/>
          <w:color w:val="000000"/>
          <w:sz w:val="20"/>
        </w:rPr>
        <w:t>means a person who holds an Award under this Plan.</w:t>
      </w:r>
    </w:p>
    <w:p>
      <w:pPr>
        <w:pStyle w:val="TextBody"/>
        <w:spacing w:lineRule="auto" w:line="288" w:before="0" w:after="120"/>
        <w:ind w:left="0" w:right="0" w:firstLine="720"/>
        <w:jc w:val="both"/>
        <w:rPr/>
      </w:pPr>
      <w:r>
        <w:rPr>
          <w:rFonts w:ascii="Times New Roman;sans-serif" w:hAnsi="Times New Roman;sans-serif"/>
          <w:b/>
          <w:color w:val="000000"/>
          <w:sz w:val="20"/>
        </w:rPr>
        <w:t>28.27.    </w:t>
      </w:r>
      <w:r>
        <w:rPr>
          <w:color w:val="000000"/>
        </w:rPr>
        <w:t>“</w:t>
      </w:r>
      <w:r>
        <w:rPr>
          <w:rFonts w:ascii="Times New Roman;sans-serif" w:hAnsi="Times New Roman;sans-serif"/>
          <w:b/>
          <w:i/>
          <w:color w:val="000000"/>
          <w:sz w:val="20"/>
        </w:rPr>
        <w:t>Performance Award</w:t>
      </w:r>
      <w:r>
        <w:rPr>
          <w:color w:val="000000"/>
        </w:rPr>
        <w:t xml:space="preserve">” </w:t>
      </w:r>
      <w:r>
        <w:rPr>
          <w:rFonts w:ascii="Times New Roman;sans-serif" w:hAnsi="Times New Roman;sans-serif"/>
          <w:b w:val="false"/>
          <w:color w:val="000000"/>
          <w:sz w:val="20"/>
        </w:rPr>
        <w:t xml:space="preserve">means an Award as defined in </w:t>
      </w:r>
      <w:r>
        <w:rPr>
          <w:rFonts w:ascii="Times New Roman;sans-serif" w:hAnsi="Times New Roman;sans-serif"/>
          <w:b w:val="false"/>
          <w:color w:val="000000"/>
          <w:sz w:val="20"/>
          <w:u w:val="single"/>
        </w:rPr>
        <w:t>Section 10</w:t>
      </w:r>
      <w:r>
        <w:rPr>
          <w:color w:val="000000"/>
        </w:rPr>
        <w:t xml:space="preserve"> </w:t>
      </w:r>
      <w:r>
        <w:rPr>
          <w:rFonts w:ascii="Times New Roman;sans-serif" w:hAnsi="Times New Roman;sans-serif"/>
          <w:b w:val="false"/>
          <w:color w:val="000000"/>
          <w:sz w:val="20"/>
        </w:rPr>
        <w:t>and granted under this Plan.</w:t>
      </w:r>
    </w:p>
    <w:p>
      <w:pPr>
        <w:pStyle w:val="TextBody"/>
        <w:spacing w:lineRule="auto" w:line="288" w:before="0" w:after="120"/>
        <w:ind w:left="0" w:right="0" w:firstLine="720"/>
        <w:jc w:val="both"/>
        <w:rPr/>
      </w:pPr>
      <w:r>
        <w:rPr>
          <w:rFonts w:ascii="Times New Roman;sans-serif" w:hAnsi="Times New Roman;sans-serif"/>
          <w:b/>
          <w:color w:val="000000"/>
          <w:sz w:val="20"/>
        </w:rPr>
        <w:t>28.28.    </w:t>
      </w:r>
      <w:r>
        <w:rPr>
          <w:color w:val="000000"/>
        </w:rPr>
        <w:t>“</w:t>
      </w:r>
      <w:r>
        <w:rPr>
          <w:rFonts w:ascii="Times New Roman;sans-serif" w:hAnsi="Times New Roman;sans-serif"/>
          <w:b/>
          <w:i/>
          <w:color w:val="000000"/>
          <w:sz w:val="20"/>
        </w:rPr>
        <w:t>Performance Factors</w:t>
      </w:r>
      <w:r>
        <w:rPr>
          <w:color w:val="000000"/>
        </w:rPr>
        <w:t xml:space="preserve">” </w:t>
      </w:r>
      <w:r>
        <w:rPr>
          <w:rFonts w:ascii="Times New Roman;sans-serif" w:hAnsi="Times New Roman;sans-serif"/>
          <w:b w:val="false"/>
          <w:color w:val="000000"/>
          <w:sz w:val="20"/>
        </w:rPr>
        <w:t>means any of the factors selected by the Committee and specified in an Award Agreement, from among the following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    profit before tax;</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    billings;</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revenue;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net revenue or return on operating revenue;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    earnings (which may include earnings before interest and taxes, earnings before taxes, net earnings, stock-based compensation expenses, depreciation, and amortization);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    operating income;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    operating margin;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    operating profit; </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4"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A-13</w:t>
                      </w:r>
                    </w:p>
                  </w:txbxContent>
                </v:textbox>
              </v:rect>
            </w:pict>
          </mc:Fallback>
        </mc:AlternateContent>
      </w:r>
    </w:p>
    <w:p>
      <w:pPr>
        <w:pStyle w:val="TextBody"/>
        <w:spacing w:before="0" w:after="0"/>
        <w:rPr/>
      </w:pPr>
      <w:r>
        <w:rPr/>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controllable operating profit or net operating profit;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    net profit;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    gross margin;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    cost, operating expenses or operating expenses as a percentage of revenue;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    net income;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    earning per share;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    total stockholder return or relative total stockholder return;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    market share or market segment share;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(q)    return on assets or net assets;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    the Company’s stock price;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growth in stockholder value relative to a pre-determined index;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    return on equity;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    return on capital or on invested capital;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    cash flow (including free cash flow or operating cash flows) or cash flow margins;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    cash conversion cycle;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    economic value added;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    individual confidential business objectives;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(z)    contract awards or backlog;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    overhead or other expense reduction;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(bb)    credit rating;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(cc)    strategic plan development and implementation;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    succession plan development and implementation;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(ee)    improvement in workforce diversity;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    customer indicators and/or satisfaction;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(gg)    new product invention or innovation;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(hh)    achievement of target levels of discovery and/or development of products and services, including but not limited to research or regulatory achievements; attainment of research and development milestones;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(ii)    third party coverage and/or reimbursement objectives;</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(jj)    test volume metrics;</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(kk)    improvements in productivity;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(ll)    bookings;</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(mm)    attainment of objective operating goals and employee metrics;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(nn)    sales;</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(oo)    expenses;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(pp)    balance of cash, cash equivalents, and marketable securities;</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(qq)    completion of an identified special project;</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(rr)    completion of a joint venture or other corporate transaction;</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(ss)    employee satisfaction and/or retention;</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(tt)    research and development expenses;</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(uu)    working capital targets and changes in working capital; </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5"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A-14</w:t>
                      </w:r>
                    </w:p>
                  </w:txbxContent>
                </v:textbox>
              </v:rect>
            </w:pict>
          </mc:Fallback>
        </mc:AlternateContent>
      </w:r>
    </w:p>
    <w:p>
      <w:pPr>
        <w:pStyle w:val="TextBody"/>
        <w:spacing w:before="0" w:after="0"/>
        <w:rPr/>
      </w:pPr>
      <w:r>
        <w:rPr/>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(vv)    net new annual contract value; </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(ww)    net expansion rate; and</w:t>
      </w:r>
    </w:p>
    <w:p>
      <w:pPr>
        <w:pStyle w:val="TextBody"/>
        <w:spacing w:lineRule="auto" w:line="288" w:before="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(xx)    any other metric that is capable of measurement as determined by the Committee. </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Committee may provide for one or more equitable adjustments to the Performance Factors to preserve the Committee’s original intent regarding the Performance Factors at the time of the initial award grant, such as but not limited to, adjustments in recognition of unusual or non-recurring items such as acquisition related activities or changes in applicable accounting rules. It is within the sole discretion of the Committee to make or not make any such equitable adjustments.</w:t>
      </w:r>
    </w:p>
    <w:p>
      <w:pPr>
        <w:pStyle w:val="TextBody"/>
        <w:spacing w:lineRule="auto" w:line="288" w:before="0" w:after="120"/>
        <w:ind w:left="0" w:right="0" w:firstLine="720"/>
        <w:jc w:val="both"/>
        <w:rPr/>
      </w:pPr>
      <w:r>
        <w:rPr>
          <w:rFonts w:ascii="Times New Roman;sans-serif" w:hAnsi="Times New Roman;sans-serif"/>
          <w:b/>
          <w:color w:val="000000"/>
          <w:sz w:val="20"/>
        </w:rPr>
        <w:t>28.29.    </w:t>
      </w:r>
      <w:r>
        <w:rPr>
          <w:color w:val="000000"/>
        </w:rPr>
        <w:t>“</w:t>
      </w:r>
      <w:r>
        <w:rPr>
          <w:rFonts w:ascii="Times New Roman;sans-serif" w:hAnsi="Times New Roman;sans-serif"/>
          <w:b/>
          <w:i/>
          <w:color w:val="000000"/>
          <w:sz w:val="20"/>
        </w:rPr>
        <w:t>Performance Period</w:t>
      </w:r>
      <w:r>
        <w:rPr>
          <w:color w:val="000000"/>
        </w:rPr>
        <w:t xml:space="preserve">” </w:t>
      </w:r>
      <w:r>
        <w:rPr>
          <w:rFonts w:ascii="Times New Roman;sans-serif" w:hAnsi="Times New Roman;sans-serif"/>
          <w:b w:val="false"/>
          <w:color w:val="000000"/>
          <w:sz w:val="20"/>
        </w:rPr>
        <w:t>means one or more periods of time, which may be of varying and overlapping durations, as the Committee may select, over which the attainment of one or more Performance Factors will be measured for the purpose of determining a Participant’s right to, and the payment of, a Performance Award.</w:t>
      </w:r>
    </w:p>
    <w:p>
      <w:pPr>
        <w:pStyle w:val="TextBody"/>
        <w:spacing w:lineRule="auto" w:line="288" w:before="0" w:after="120"/>
        <w:ind w:left="0" w:right="0" w:firstLine="720"/>
        <w:jc w:val="both"/>
        <w:rPr/>
      </w:pPr>
      <w:r>
        <w:rPr>
          <w:rFonts w:ascii="Times New Roman;sans-serif" w:hAnsi="Times New Roman;sans-serif"/>
          <w:b/>
          <w:color w:val="000000"/>
          <w:sz w:val="20"/>
        </w:rPr>
        <w:t>28.30.    </w:t>
      </w:r>
      <w:r>
        <w:rPr>
          <w:color w:val="000000"/>
        </w:rPr>
        <w:t>“</w:t>
      </w:r>
      <w:r>
        <w:rPr>
          <w:rFonts w:ascii="Times New Roman;sans-serif" w:hAnsi="Times New Roman;sans-serif"/>
          <w:b/>
          <w:i/>
          <w:color w:val="000000"/>
          <w:sz w:val="20"/>
        </w:rPr>
        <w:t>Permitted Transferee</w:t>
      </w:r>
      <w:r>
        <w:rPr>
          <w:color w:val="000000"/>
        </w:rPr>
        <w:t xml:space="preserve">” </w:t>
      </w:r>
      <w:r>
        <w:rPr>
          <w:rFonts w:ascii="Times New Roman;sans-serif" w:hAnsi="Times New Roman;sans-serif"/>
          <w:b w:val="false"/>
          <w:color w:val="000000"/>
          <w:sz w:val="20"/>
        </w:rPr>
        <w:t>means any child, stepchild, grandchild, parent, stepparent, grandparent, spouse, former spouse, sibling, 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pStyle w:val="TextBody"/>
        <w:spacing w:lineRule="auto" w:line="288" w:before="0" w:after="120"/>
        <w:ind w:left="0" w:right="0" w:firstLine="720"/>
        <w:jc w:val="both"/>
        <w:rPr/>
      </w:pPr>
      <w:r>
        <w:rPr>
          <w:rFonts w:ascii="Times New Roman;sans-serif" w:hAnsi="Times New Roman;sans-serif"/>
          <w:b/>
          <w:color w:val="000000"/>
          <w:sz w:val="20"/>
        </w:rPr>
        <w:t>28.31.    </w:t>
      </w:r>
      <w:r>
        <w:rPr>
          <w:color w:val="000000"/>
        </w:rPr>
        <w:t>“</w:t>
      </w:r>
      <w:r>
        <w:rPr>
          <w:rFonts w:ascii="Times New Roman;sans-serif" w:hAnsi="Times New Roman;sans-serif"/>
          <w:b/>
          <w:i/>
          <w:color w:val="000000"/>
          <w:sz w:val="20"/>
        </w:rPr>
        <w:t>Plan</w:t>
      </w:r>
      <w:r>
        <w:rPr>
          <w:color w:val="000000"/>
        </w:rPr>
        <w:t xml:space="preserve">” </w:t>
      </w:r>
      <w:r>
        <w:rPr>
          <w:rFonts w:ascii="Times New Roman;sans-serif" w:hAnsi="Times New Roman;sans-serif"/>
          <w:b w:val="false"/>
          <w:color w:val="000000"/>
          <w:sz w:val="20"/>
        </w:rPr>
        <w:t>means this Veracyte, Inc. 2023 Equity Incentive Plan.</w:t>
      </w:r>
    </w:p>
    <w:p>
      <w:pPr>
        <w:pStyle w:val="TextBody"/>
        <w:spacing w:lineRule="auto" w:line="288" w:before="0" w:after="120"/>
        <w:ind w:left="0" w:right="0" w:firstLine="720"/>
        <w:jc w:val="both"/>
        <w:rPr/>
      </w:pPr>
      <w:r>
        <w:rPr>
          <w:rFonts w:ascii="Times New Roman;sans-serif" w:hAnsi="Times New Roman;sans-serif"/>
          <w:b/>
          <w:color w:val="000000"/>
          <w:sz w:val="20"/>
        </w:rPr>
        <w:t>28.32.    </w:t>
      </w:r>
      <w:r>
        <w:rPr>
          <w:color w:val="000000"/>
        </w:rPr>
        <w:t>“</w:t>
      </w:r>
      <w:r>
        <w:rPr>
          <w:rFonts w:ascii="Times New Roman;sans-serif" w:hAnsi="Times New Roman;sans-serif"/>
          <w:b/>
          <w:i/>
          <w:color w:val="000000"/>
          <w:sz w:val="20"/>
        </w:rPr>
        <w:t>Prior Plan</w:t>
      </w:r>
      <w:r>
        <w:rPr>
          <w:color w:val="000000"/>
        </w:rPr>
        <w:t xml:space="preserve">” </w:t>
      </w:r>
      <w:r>
        <w:rPr>
          <w:rFonts w:ascii="Times New Roman;sans-serif" w:hAnsi="Times New Roman;sans-serif"/>
          <w:b w:val="false"/>
          <w:color w:val="000000"/>
          <w:sz w:val="20"/>
        </w:rPr>
        <w:t>means the Veracyte, Inc. 2013 Stock Incentive Plan.</w:t>
      </w:r>
    </w:p>
    <w:p>
      <w:pPr>
        <w:pStyle w:val="TextBody"/>
        <w:spacing w:lineRule="auto" w:line="288" w:before="0" w:after="120"/>
        <w:ind w:left="0" w:right="0" w:firstLine="720"/>
        <w:jc w:val="both"/>
        <w:rPr/>
      </w:pPr>
      <w:r>
        <w:rPr>
          <w:rFonts w:ascii="Times New Roman;sans-serif" w:hAnsi="Times New Roman;sans-serif"/>
          <w:b/>
          <w:color w:val="000000"/>
          <w:sz w:val="20"/>
        </w:rPr>
        <w:t>28.33.    </w:t>
      </w:r>
      <w:r>
        <w:rPr>
          <w:color w:val="000000"/>
        </w:rPr>
        <w:t>“</w:t>
      </w:r>
      <w:r>
        <w:rPr>
          <w:rFonts w:ascii="Times New Roman;sans-serif" w:hAnsi="Times New Roman;sans-serif"/>
          <w:b/>
          <w:i/>
          <w:color w:val="000000"/>
          <w:sz w:val="20"/>
        </w:rPr>
        <w:t>Purchase Price</w:t>
      </w:r>
      <w:r>
        <w:rPr>
          <w:color w:val="000000"/>
        </w:rPr>
        <w:t xml:space="preserve">” </w:t>
      </w:r>
      <w:r>
        <w:rPr>
          <w:rFonts w:ascii="Times New Roman;sans-serif" w:hAnsi="Times New Roman;sans-serif"/>
          <w:b w:val="false"/>
          <w:color w:val="000000"/>
          <w:sz w:val="20"/>
        </w:rPr>
        <w:t>means the price to be paid for Shares acquired under this Plan, other than Shares acquired upon exercise of an Option or SAR.</w:t>
      </w:r>
    </w:p>
    <w:p>
      <w:pPr>
        <w:pStyle w:val="TextBody"/>
        <w:spacing w:lineRule="auto" w:line="288" w:before="0" w:after="120"/>
        <w:ind w:left="0" w:right="0" w:firstLine="720"/>
        <w:jc w:val="both"/>
        <w:rPr/>
      </w:pPr>
      <w:r>
        <w:rPr>
          <w:rFonts w:ascii="Times New Roman;sans-serif" w:hAnsi="Times New Roman;sans-serif"/>
          <w:b/>
          <w:color w:val="000000"/>
          <w:sz w:val="20"/>
        </w:rPr>
        <w:t>28.34.    </w:t>
      </w:r>
      <w:r>
        <w:rPr>
          <w:color w:val="000000"/>
        </w:rPr>
        <w:t>“</w:t>
      </w:r>
      <w:r>
        <w:rPr>
          <w:rFonts w:ascii="Times New Roman;sans-serif" w:hAnsi="Times New Roman;sans-serif"/>
          <w:b/>
          <w:i/>
          <w:color w:val="000000"/>
          <w:sz w:val="20"/>
        </w:rPr>
        <w:t>Restricted Stock Award</w:t>
      </w:r>
      <w:r>
        <w:rPr>
          <w:color w:val="000000"/>
        </w:rPr>
        <w:t xml:space="preserve">” </w:t>
      </w:r>
      <w:r>
        <w:rPr>
          <w:rFonts w:ascii="Times New Roman;sans-serif" w:hAnsi="Times New Roman;sans-serif"/>
          <w:b w:val="false"/>
          <w:color w:val="000000"/>
          <w:sz w:val="20"/>
        </w:rPr>
        <w:t xml:space="preserve">means an Award as defined in </w:t>
      </w:r>
      <w:r>
        <w:rPr>
          <w:rFonts w:ascii="Times New Roman;sans-serif" w:hAnsi="Times New Roman;sans-serif"/>
          <w:b w:val="false"/>
          <w:color w:val="000000"/>
          <w:sz w:val="20"/>
          <w:u w:val="single"/>
        </w:rPr>
        <w:t>Section 6</w:t>
      </w:r>
      <w:r>
        <w:rPr>
          <w:color w:val="000000"/>
        </w:rPr>
        <w:t xml:space="preserve"> </w:t>
      </w:r>
      <w:r>
        <w:rPr>
          <w:rFonts w:ascii="Times New Roman;sans-serif" w:hAnsi="Times New Roman;sans-serif"/>
          <w:b w:val="false"/>
          <w:color w:val="000000"/>
          <w:sz w:val="20"/>
        </w:rPr>
        <w:t>and granted under this Plan, or issued pursuant to the early exercise of an Option.</w:t>
      </w:r>
    </w:p>
    <w:p>
      <w:pPr>
        <w:pStyle w:val="TextBody"/>
        <w:spacing w:lineRule="auto" w:line="288" w:before="0" w:after="120"/>
        <w:ind w:left="0" w:right="0" w:firstLine="720"/>
        <w:jc w:val="both"/>
        <w:rPr/>
      </w:pPr>
      <w:r>
        <w:rPr>
          <w:rFonts w:ascii="Times New Roman;sans-serif" w:hAnsi="Times New Roman;sans-serif"/>
          <w:b/>
          <w:color w:val="000000"/>
          <w:sz w:val="20"/>
        </w:rPr>
        <w:t>28.35.    </w:t>
      </w:r>
      <w:r>
        <w:rPr>
          <w:color w:val="000000"/>
        </w:rPr>
        <w:t>“</w:t>
      </w:r>
      <w:r>
        <w:rPr>
          <w:rFonts w:ascii="Times New Roman;sans-serif" w:hAnsi="Times New Roman;sans-serif"/>
          <w:b/>
          <w:i/>
          <w:color w:val="000000"/>
          <w:sz w:val="20"/>
        </w:rPr>
        <w:t>Restricted Stock Unit</w:t>
      </w:r>
      <w:r>
        <w:rPr>
          <w:color w:val="000000"/>
        </w:rPr>
        <w:t xml:space="preserve">” </w:t>
      </w:r>
      <w:r>
        <w:rPr>
          <w:rFonts w:ascii="Times New Roman;sans-serif" w:hAnsi="Times New Roman;sans-serif"/>
          <w:b w:val="false"/>
          <w:color w:val="000000"/>
          <w:sz w:val="20"/>
        </w:rPr>
        <w:t xml:space="preserve">means an Award as defined in </w:t>
      </w:r>
      <w:r>
        <w:rPr>
          <w:rFonts w:ascii="Times New Roman;sans-serif" w:hAnsi="Times New Roman;sans-serif"/>
          <w:b w:val="false"/>
          <w:color w:val="000000"/>
          <w:sz w:val="20"/>
          <w:u w:val="single"/>
        </w:rPr>
        <w:t>Section 9</w:t>
      </w:r>
      <w:r>
        <w:rPr>
          <w:color w:val="000000"/>
        </w:rPr>
        <w:t xml:space="preserve"> </w:t>
      </w:r>
      <w:r>
        <w:rPr>
          <w:rFonts w:ascii="Times New Roman;sans-serif" w:hAnsi="Times New Roman;sans-serif"/>
          <w:b w:val="false"/>
          <w:color w:val="000000"/>
          <w:sz w:val="20"/>
        </w:rPr>
        <w:t>and granted under this Plan.</w:t>
      </w:r>
    </w:p>
    <w:p>
      <w:pPr>
        <w:pStyle w:val="TextBody"/>
        <w:spacing w:lineRule="auto" w:line="288" w:before="0" w:after="120"/>
        <w:ind w:left="0" w:right="0" w:firstLine="720"/>
        <w:jc w:val="both"/>
        <w:rPr/>
      </w:pPr>
      <w:r>
        <w:rPr>
          <w:rFonts w:ascii="Times New Roman;sans-serif" w:hAnsi="Times New Roman;sans-serif"/>
          <w:b/>
          <w:color w:val="000000"/>
          <w:sz w:val="20"/>
        </w:rPr>
        <w:t>28.36.    </w:t>
      </w:r>
      <w:r>
        <w:rPr>
          <w:color w:val="000000"/>
        </w:rPr>
        <w:t>“</w:t>
      </w:r>
      <w:r>
        <w:rPr>
          <w:rFonts w:ascii="Times New Roman;sans-serif" w:hAnsi="Times New Roman;sans-serif"/>
          <w:b/>
          <w:i/>
          <w:color w:val="000000"/>
          <w:sz w:val="20"/>
        </w:rPr>
        <w:t>SEC</w:t>
      </w:r>
      <w:r>
        <w:rPr>
          <w:color w:val="000000"/>
        </w:rPr>
        <w:t xml:space="preserve">” </w:t>
      </w:r>
      <w:r>
        <w:rPr>
          <w:rFonts w:ascii="Times New Roman;sans-serif" w:hAnsi="Times New Roman;sans-serif"/>
          <w:b w:val="false"/>
          <w:color w:val="000000"/>
          <w:sz w:val="20"/>
        </w:rPr>
        <w:t>means the United States Securities and Exchange Commission.</w:t>
      </w:r>
    </w:p>
    <w:p>
      <w:pPr>
        <w:pStyle w:val="TextBody"/>
        <w:spacing w:lineRule="auto" w:line="288" w:before="0" w:after="120"/>
        <w:ind w:left="0" w:right="0" w:firstLine="720"/>
        <w:jc w:val="both"/>
        <w:rPr/>
      </w:pPr>
      <w:r>
        <w:rPr>
          <w:rFonts w:ascii="Times New Roman;sans-serif" w:hAnsi="Times New Roman;sans-serif"/>
          <w:b/>
          <w:color w:val="000000"/>
          <w:sz w:val="20"/>
        </w:rPr>
        <w:t>28.37.    </w:t>
      </w:r>
      <w:r>
        <w:rPr>
          <w:color w:val="000000"/>
        </w:rPr>
        <w:t>“</w:t>
      </w:r>
      <w:r>
        <w:rPr>
          <w:rFonts w:ascii="Times New Roman;sans-serif" w:hAnsi="Times New Roman;sans-serif"/>
          <w:b/>
          <w:i/>
          <w:color w:val="000000"/>
          <w:sz w:val="20"/>
        </w:rPr>
        <w:t>Securities Act</w:t>
      </w:r>
      <w:r>
        <w:rPr>
          <w:color w:val="000000"/>
        </w:rPr>
        <w:t xml:space="preserve">” </w:t>
      </w:r>
      <w:r>
        <w:rPr>
          <w:rFonts w:ascii="Times New Roman;sans-serif" w:hAnsi="Times New Roman;sans-serif"/>
          <w:b w:val="false"/>
          <w:color w:val="000000"/>
          <w:sz w:val="20"/>
        </w:rPr>
        <w:t>means the United States Securities Act of 1933, as amended.</w:t>
      </w:r>
    </w:p>
    <w:p>
      <w:pPr>
        <w:pStyle w:val="TextBody"/>
        <w:spacing w:lineRule="auto" w:line="288" w:before="0" w:after="120"/>
        <w:ind w:left="0" w:right="0" w:firstLine="720"/>
        <w:jc w:val="both"/>
        <w:rPr/>
      </w:pPr>
      <w:r>
        <w:rPr>
          <w:rFonts w:ascii="Times New Roman;sans-serif" w:hAnsi="Times New Roman;sans-serif"/>
          <w:b/>
          <w:color w:val="000000"/>
          <w:sz w:val="20"/>
        </w:rPr>
        <w:t>28.38.    </w:t>
      </w:r>
      <w:r>
        <w:rPr>
          <w:color w:val="000000"/>
        </w:rPr>
        <w:t>“</w:t>
      </w:r>
      <w:r>
        <w:rPr>
          <w:rFonts w:ascii="Times New Roman;sans-serif" w:hAnsi="Times New Roman;sans-serif"/>
          <w:b/>
          <w:i/>
          <w:color w:val="000000"/>
          <w:sz w:val="20"/>
        </w:rPr>
        <w:t>Service</w:t>
      </w:r>
      <w:r>
        <w:rPr>
          <w:color w:val="000000"/>
        </w:rPr>
        <w:t xml:space="preserve">” </w:t>
      </w:r>
      <w:r>
        <w:rPr>
          <w:rFonts w:ascii="Times New Roman;sans-serif" w:hAnsi="Times New Roman;sans-serif"/>
          <w:b w:val="false"/>
          <w:color w:val="000000"/>
          <w:sz w:val="20"/>
        </w:rPr>
        <w:t xml:space="preserve">will mean service as an Employee, Consultant, Director, or Non-Employee Director, subject to such further limitations as may be set forth in this Plan or the applicable Award Agreement. Service does not terminate when a Participant goes on a bona fide leave of absence that (a) was approved by the Company in writing or (b) is taken pursuant to a formal policy adopted from time to time by the Company and provided to Participants in writing, if the terms of such leave, as applicable, provide for continued Service crediting, or when continued Service crediting is required by applicable law. However, for purposes of determining whether an Option qualifies to be treated for tax purposes as an ISO, an Employee’s employment will be treated as terminating three months after such Employee commenced leave, unless such Employee’s right to return to active work is guaranteed by law or by a contract. In the case of any Employee on an approved leave of absence, or a reduction in hours worked (for illustrative purposes only, a change in schedule from that of full-time to part-time), the Committee may make such provisions respecting suspension or modification of vesting of the Award while on leave, or during such change in working hours, as it may deem appropriate, except that in no event may an Award be exercised after the expiration of the term set forth in the applicable Award Agreement. A Participant will have terminated Service as of the date such Participant ceases to provide Service (regardless of whether the termination is in breach of local employment laws or is later found to be invalid) and Service will not be extended by any notice period or garden leave mandated by local law, </w:t>
      </w:r>
      <w:r>
        <w:rPr>
          <w:rFonts w:ascii="Times New Roman;sans-serif" w:hAnsi="Times New Roman;sans-serif"/>
          <w:b w:val="false"/>
          <w:color w:val="000000"/>
          <w:sz w:val="20"/>
          <w:u w:val="single"/>
        </w:rPr>
        <w:t>provided, however</w:t>
      </w:r>
      <w:r>
        <w:rPr>
          <w:rFonts w:ascii="Times New Roman;sans-serif" w:hAnsi="Times New Roman;sans-serif"/>
          <w:b w:val="false"/>
          <w:color w:val="000000"/>
          <w:sz w:val="20"/>
        </w:rPr>
        <w:t>, that a change in status from and amongst Employee, Consultant, Director or Non-Employee Director will not terminate the Participant’s Service, unless determined by the Committee, in its discretion. The Committee will have sole discretion to determine whether a Participant has ceased to provide Service and the effective date on which the Participant ceased to provide Service.</w:t>
      </w:r>
    </w:p>
    <w:p>
      <w:pPr>
        <w:pStyle w:val="TextBody"/>
        <w:spacing w:lineRule="auto" w:line="288" w:before="0" w:after="120"/>
        <w:ind w:left="0" w:right="0" w:firstLine="720"/>
        <w:jc w:val="both"/>
        <w:rPr/>
      </w:pPr>
      <w:r>
        <w:rPr>
          <w:rFonts w:ascii="Times New Roman;sans-serif" w:hAnsi="Times New Roman;sans-serif"/>
          <w:b/>
          <w:color w:val="000000"/>
          <w:sz w:val="20"/>
        </w:rPr>
        <w:t>28.39.    </w:t>
      </w:r>
      <w:r>
        <w:rPr>
          <w:color w:val="000000"/>
        </w:rPr>
        <w:t>“</w:t>
      </w:r>
      <w:r>
        <w:rPr>
          <w:rFonts w:ascii="Times New Roman;sans-serif" w:hAnsi="Times New Roman;sans-serif"/>
          <w:b/>
          <w:i/>
          <w:color w:val="000000"/>
          <w:sz w:val="20"/>
        </w:rPr>
        <w:t>Shares</w:t>
      </w:r>
      <w:r>
        <w:rPr>
          <w:color w:val="000000"/>
        </w:rPr>
        <w:t xml:space="preserve">” </w:t>
      </w:r>
      <w:r>
        <w:rPr>
          <w:rFonts w:ascii="Times New Roman;sans-serif" w:hAnsi="Times New Roman;sans-serif"/>
          <w:b w:val="false"/>
          <w:color w:val="000000"/>
          <w:sz w:val="20"/>
        </w:rPr>
        <w:t>means shares of the Common Stock and the common stock of any successor entity of the Company.</w:t>
      </w:r>
    </w:p>
    <w:p>
      <w:pPr>
        <w:pStyle w:val="TextBody"/>
        <w:spacing w:lineRule="auto" w:line="288" w:before="0" w:after="120"/>
        <w:ind w:left="0" w:right="0" w:firstLine="720"/>
        <w:jc w:val="both"/>
        <w:rPr/>
      </w:pPr>
      <w:r>
        <w:rPr>
          <w:rFonts w:ascii="Times New Roman;sans-serif" w:hAnsi="Times New Roman;sans-serif"/>
          <w:b/>
          <w:color w:val="000000"/>
          <w:sz w:val="20"/>
        </w:rPr>
        <w:t>28.40.    </w:t>
      </w:r>
      <w:r>
        <w:rPr>
          <w:color w:val="000000"/>
        </w:rPr>
        <w:t>“</w:t>
      </w:r>
      <w:r>
        <w:rPr>
          <w:rFonts w:ascii="Times New Roman;sans-serif" w:hAnsi="Times New Roman;sans-serif"/>
          <w:b/>
          <w:i/>
          <w:color w:val="000000"/>
          <w:sz w:val="20"/>
        </w:rPr>
        <w:t>Stock Appreciation Right</w:t>
      </w:r>
      <w:r>
        <w:rPr>
          <w:color w:val="000000"/>
        </w:rPr>
        <w:t xml:space="preserve">” </w:t>
      </w:r>
      <w:r>
        <w:rPr>
          <w:rFonts w:ascii="Times New Roman;sans-serif" w:hAnsi="Times New Roman;sans-serif"/>
          <w:b w:val="false"/>
          <w:color w:val="000000"/>
          <w:sz w:val="20"/>
        </w:rPr>
        <w:t xml:space="preserve">means an Award defined in </w:t>
      </w:r>
      <w:r>
        <w:rPr>
          <w:rFonts w:ascii="Times New Roman;sans-serif" w:hAnsi="Times New Roman;sans-serif"/>
          <w:b w:val="false"/>
          <w:color w:val="000000"/>
          <w:sz w:val="20"/>
          <w:u w:val="single"/>
        </w:rPr>
        <w:t>Section 8</w:t>
      </w:r>
      <w:r>
        <w:rPr>
          <w:color w:val="000000"/>
        </w:rPr>
        <w:t xml:space="preserve"> </w:t>
      </w:r>
      <w:r>
        <w:rPr>
          <w:rFonts w:ascii="Times New Roman;sans-serif" w:hAnsi="Times New Roman;sans-serif"/>
          <w:b w:val="false"/>
          <w:color w:val="000000"/>
          <w:sz w:val="20"/>
        </w:rPr>
        <w:t>and granted under this Plan.</w:t>
      </w:r>
    </w:p>
    <w:p>
      <w:pPr>
        <w:pStyle w:val="TextBody"/>
        <w:spacing w:lineRule="auto" w:line="288" w:before="0" w:after="120"/>
        <w:ind w:left="0" w:right="0" w:firstLine="720"/>
        <w:jc w:val="both"/>
        <w:rPr/>
      </w:pPr>
      <w:r>
        <w:rPr>
          <w:rFonts w:ascii="Times New Roman;sans-serif" w:hAnsi="Times New Roman;sans-serif"/>
          <w:b/>
          <w:color w:val="000000"/>
          <w:sz w:val="20"/>
        </w:rPr>
        <w:t>28.41.    </w:t>
      </w:r>
      <w:r>
        <w:rPr>
          <w:color w:val="000000"/>
        </w:rPr>
        <w:t>“</w:t>
      </w:r>
      <w:r>
        <w:rPr>
          <w:rFonts w:ascii="Times New Roman;sans-serif" w:hAnsi="Times New Roman;sans-serif"/>
          <w:b/>
          <w:i/>
          <w:color w:val="000000"/>
          <w:sz w:val="20"/>
        </w:rPr>
        <w:t>Stock Bonus</w:t>
      </w:r>
      <w:r>
        <w:rPr>
          <w:color w:val="000000"/>
        </w:rPr>
        <w:t xml:space="preserve">” </w:t>
      </w:r>
      <w:r>
        <w:rPr>
          <w:rFonts w:ascii="Times New Roman;sans-serif" w:hAnsi="Times New Roman;sans-serif"/>
          <w:b w:val="false"/>
          <w:color w:val="000000"/>
          <w:sz w:val="20"/>
        </w:rPr>
        <w:t>means an Award defined in Section 7 and granted under this Plan.</w:t>
      </w:r>
    </w:p>
    <w:p>
      <w:pPr>
        <w:pStyle w:val="TextBody"/>
        <w:spacing w:lineRule="auto" w:line="288" w:before="0" w:after="120"/>
        <w:ind w:left="0" w:right="0" w:firstLine="720"/>
        <w:jc w:val="both"/>
        <w:rPr/>
      </w:pPr>
      <w:r>
        <w:rPr>
          <w:rFonts w:ascii="Times New Roman;sans-serif" w:hAnsi="Times New Roman;sans-serif"/>
          <w:b/>
          <w:color w:val="000000"/>
          <w:sz w:val="20"/>
        </w:rPr>
        <w:t>28.42.    </w:t>
      </w:r>
      <w:r>
        <w:rPr>
          <w:color w:val="000000"/>
        </w:rPr>
        <w:t>“</w:t>
      </w:r>
      <w:r>
        <w:rPr>
          <w:rFonts w:ascii="Times New Roman;sans-serif" w:hAnsi="Times New Roman;sans-serif"/>
          <w:b/>
          <w:i/>
          <w:color w:val="000000"/>
          <w:sz w:val="20"/>
        </w:rPr>
        <w:t>Subsidiary</w:t>
      </w:r>
      <w:r>
        <w:rPr>
          <w:color w:val="000000"/>
        </w:rPr>
        <w:t xml:space="preserve">” </w:t>
      </w:r>
      <w:r>
        <w:rPr>
          <w:rFonts w:ascii="Times New Roman;sans-serif" w:hAnsi="Times New Roman;sans-serif"/>
          <w:b w:val="false"/>
          <w:color w:val="000000"/>
          <w:sz w:val="20"/>
        </w:rPr>
        <w:t>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6"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A-15</w:t>
                      </w:r>
                    </w:p>
                  </w:txbxContent>
                </v:textbox>
              </v:rect>
            </w:pict>
          </mc:Fallback>
        </mc:AlternateContent>
      </w:r>
    </w:p>
    <w:p>
      <w:pPr>
        <w:pStyle w:val="TextBody"/>
        <w:spacing w:before="0" w:after="0"/>
        <w:rPr/>
      </w:pPr>
      <w:r>
        <w:rPr/>
      </w:r>
    </w:p>
    <w:p>
      <w:pPr>
        <w:pStyle w:val="TextBody"/>
        <w:spacing w:lineRule="auto" w:line="288" w:before="0" w:after="120"/>
        <w:ind w:left="0" w:right="0" w:firstLine="720"/>
        <w:jc w:val="both"/>
        <w:rPr/>
      </w:pPr>
      <w:r>
        <w:rPr>
          <w:rFonts w:ascii="Times New Roman;sans-serif" w:hAnsi="Times New Roman;sans-serif"/>
          <w:b/>
          <w:color w:val="000000"/>
          <w:sz w:val="20"/>
        </w:rPr>
        <w:t>28.43.    </w:t>
      </w:r>
      <w:r>
        <w:rPr>
          <w:color w:val="000000"/>
        </w:rPr>
        <w:t>“</w:t>
      </w:r>
      <w:r>
        <w:rPr>
          <w:rFonts w:ascii="Times New Roman;sans-serif" w:hAnsi="Times New Roman;sans-serif"/>
          <w:b/>
          <w:i/>
          <w:color w:val="000000"/>
          <w:sz w:val="20"/>
        </w:rPr>
        <w:t>Treasury Regulations</w:t>
      </w:r>
      <w:r>
        <w:rPr>
          <w:color w:val="000000"/>
        </w:rPr>
        <w:t xml:space="preserve">” </w:t>
      </w:r>
      <w:r>
        <w:rPr>
          <w:rFonts w:ascii="Times New Roman;sans-serif" w:hAnsi="Times New Roman;sans-serif"/>
          <w:b w:val="false"/>
          <w:color w:val="000000"/>
          <w:sz w:val="20"/>
        </w:rPr>
        <w:t>means regulations promulgated by the United States Treasury Department.</w:t>
      </w:r>
    </w:p>
    <w:p>
      <w:pPr>
        <w:pStyle w:val="TextBody"/>
        <w:spacing w:lineRule="auto" w:line="288" w:before="0" w:after="120"/>
        <w:ind w:left="0" w:right="0" w:firstLine="720"/>
        <w:jc w:val="both"/>
        <w:rPr/>
      </w:pPr>
      <w:r>
        <w:rPr>
          <w:rFonts w:ascii="Times New Roman;sans-serif" w:hAnsi="Times New Roman;sans-serif"/>
          <w:b/>
          <w:color w:val="000000"/>
          <w:sz w:val="20"/>
        </w:rPr>
        <w:t>28.44.    </w:t>
      </w:r>
      <w:r>
        <w:rPr>
          <w:color w:val="000000"/>
        </w:rPr>
        <w:t>“</w:t>
      </w:r>
      <w:r>
        <w:rPr>
          <w:rFonts w:ascii="Times New Roman;sans-serif" w:hAnsi="Times New Roman;sans-serif"/>
          <w:b/>
          <w:i/>
          <w:color w:val="000000"/>
          <w:sz w:val="20"/>
        </w:rPr>
        <w:t>Unvested Shares</w:t>
      </w:r>
      <w:r>
        <w:rPr>
          <w:color w:val="000000"/>
        </w:rPr>
        <w:t xml:space="preserve">” </w:t>
      </w:r>
      <w:r>
        <w:rPr>
          <w:rFonts w:ascii="Times New Roman;sans-serif" w:hAnsi="Times New Roman;sans-serif"/>
          <w:b w:val="false"/>
          <w:color w:val="000000"/>
          <w:sz w:val="20"/>
        </w:rPr>
        <w:t>means Shares that have not yet vested or are subject to a right of repurchase in favor of the Company (or any successor thereto).</w:t>
      </w:r>
    </w:p>
    <w:p>
      <w:pPr>
        <w:pStyle w:val="TextBody"/>
        <w:spacing w:before="0" w:after="12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7"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4"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APPENDIX B</w:t>
      </w:r>
    </w:p>
    <w:p>
      <w:pPr>
        <w:pStyle w:val="TextBody"/>
        <w:spacing w:before="0" w:after="0"/>
        <w:jc w:val="center"/>
        <w:rPr/>
      </w:pPr>
      <w:r>
        <w:rPr/>
      </w:r>
    </w:p>
    <w:p>
      <w:pPr>
        <w:pStyle w:val="TextBody"/>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DECLASSIFICATION AMENDMENT</w:t>
      </w:r>
    </w:p>
    <w:p>
      <w:pPr>
        <w:pStyle w:val="TextBody"/>
        <w:spacing w:before="0" w:after="0"/>
        <w:jc w:val="center"/>
        <w:rPr/>
      </w:pPr>
      <w:r>
        <w:rPr/>
      </w:r>
    </w:p>
    <w:p>
      <w:pPr>
        <w:pStyle w:val="TextBody"/>
        <w:spacing w:before="0" w:after="0"/>
        <w:rPr/>
      </w:pPr>
      <w:r>
        <w:rPr/>
      </w:r>
    </w:p>
    <w:p>
      <w:pPr>
        <w:pStyle w:val="TextBody"/>
        <w:spacing w:lineRule="auto" w:line="264"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1. Amend Article V.B as follows:</w:t>
      </w:r>
    </w:p>
    <w:p>
      <w:pPr>
        <w:pStyle w:val="TextBody"/>
        <w:spacing w:before="0" w:after="0"/>
        <w:rPr/>
      </w:pPr>
      <w:r>
        <w:rPr/>
      </w:r>
    </w:p>
    <w:p>
      <w:pPr>
        <w:pStyle w:val="TextBody"/>
        <w:spacing w:lineRule="auto" w:line="264" w:before="0" w:after="0"/>
        <w:ind w:left="0" w:right="0" w:hanging="720"/>
        <w:rPr/>
      </w:pPr>
      <w:r>
        <w:rPr>
          <w:rFonts w:ascii="Times New Roman;sans-serif" w:hAnsi="Times New Roman;sans-serif"/>
          <w:b w:val="false"/>
          <w:color w:val="000000"/>
          <w:sz w:val="20"/>
        </w:rPr>
        <w:t>B. The Board of Directors is expressly authorized to adopt, amend or repeal the bylaws of the corporation without any action on the part of the stockholders, by the vote of at least a majority of the directors of the corporation then in office</w:t>
      </w:r>
      <w:r>
        <w:rPr>
          <w:rFonts w:ascii="Times New Roman;sans-serif" w:hAnsi="Times New Roman;sans-serif"/>
          <w:b w:val="false"/>
          <w:strike/>
          <w:color w:val="000000"/>
          <w:sz w:val="20"/>
        </w:rPr>
        <w:t>; which shall include the affirmative vote of at least one director from each class of the Board of Directors if the Board of Directors shall then be divided into classes</w:t>
      </w:r>
      <w:r>
        <w:rPr>
          <w:rFonts w:ascii="Times New Roman;sans-serif" w:hAnsi="Times New Roman;sans-serif"/>
          <w:b w:val="false"/>
          <w:color w:val="000000"/>
          <w:sz w:val="20"/>
        </w:rPr>
        <w:t xml:space="preserve">. In addition to any vote of the holders of any class or series of stock of the corporation required by law or </w:t>
      </w:r>
      <w:r>
        <w:rPr>
          <w:rFonts w:ascii="Times New Roman;sans-serif" w:hAnsi="Times New Roman;sans-serif"/>
          <w:b w:val="false"/>
          <w:color w:val="000000"/>
          <w:sz w:val="20"/>
          <w:u w:val="single"/>
        </w:rPr>
        <w:t>this Restated Certificate of Incorporation</w:t>
      </w:r>
      <w:r>
        <w:rPr>
          <w:strike/>
          <w:color w:val="000000"/>
        </w:rPr>
        <w:t xml:space="preserve"> </w:t>
      </w:r>
      <w:r>
        <w:rPr>
          <w:rFonts w:ascii="Times New Roman;sans-serif" w:hAnsi="Times New Roman;sans-serif"/>
          <w:b w:val="false"/>
          <w:strike/>
          <w:color w:val="000000"/>
          <w:sz w:val="20"/>
        </w:rPr>
        <w:t>the certificate of incorporation of the corporation</w:t>
      </w:r>
      <w:r>
        <w:rPr>
          <w:rFonts w:ascii="Times New Roman;sans-serif" w:hAnsi="Times New Roman;sans-serif"/>
          <w:b w:val="false"/>
          <w:color w:val="000000"/>
          <w:sz w:val="20"/>
        </w:rPr>
        <w:t>, the bylaws may also be adopted, amended or repealed by the affirmative vote of the holders of at least sixty-six and two-thirds percent (66-2/3%) of the voting power of all of the then outstanding shares of the shares of the capital stock of the corporation entitled to vote generally in the election of directors, voting as a single class; provided, however, that the affirmative vote of the holders representing only a majority of the voting power of the shares of the capital stock of the corporation entitled to vote in the election of directors, voting as one class, shall be required if such adoption, amendment or repeal of the bylaws has been previously approved by the affirmative vote of at least two-thirds (2/3) of the directors of the corporation then in office.</w:t>
      </w:r>
    </w:p>
    <w:p>
      <w:pPr>
        <w:pStyle w:val="TextBody"/>
        <w:spacing w:before="0" w:after="0"/>
        <w:rPr/>
      </w:pPr>
      <w:r>
        <w:rPr/>
      </w:r>
    </w:p>
    <w:p>
      <w:pPr>
        <w:pStyle w:val="TextBody"/>
        <w:spacing w:lineRule="auto" w:line="264"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2. Amend Article VI.B as follows:</w:t>
      </w:r>
    </w:p>
    <w:p>
      <w:pPr>
        <w:pStyle w:val="TextBody"/>
        <w:spacing w:before="0" w:after="0"/>
        <w:rPr/>
      </w:pPr>
      <w:r>
        <w:rPr/>
      </w:r>
    </w:p>
    <w:p>
      <w:pPr>
        <w:pStyle w:val="TextBody"/>
        <w:spacing w:lineRule="auto" w:line="264" w:before="0" w:after="0"/>
        <w:ind w:left="0" w:right="0" w:hanging="720"/>
        <w:rPr/>
      </w:pPr>
      <w:r>
        <w:rPr>
          <w:rFonts w:ascii="Times New Roman;sans-serif" w:hAnsi="Times New Roman;sans-serif"/>
          <w:b w:val="false"/>
          <w:color w:val="000000"/>
          <w:sz w:val="20"/>
        </w:rPr>
        <w:t xml:space="preserve">B. Classes of Directors. </w:t>
      </w:r>
      <w:r>
        <w:rPr>
          <w:rFonts w:ascii="Times New Roman;sans-serif" w:hAnsi="Times New Roman;sans-serif"/>
          <w:b w:val="false"/>
          <w:strike/>
          <w:color w:val="000000"/>
          <w:sz w:val="20"/>
        </w:rPr>
        <w:t>The Board of Directors, other than those directors elected by the holders of</w:t>
      </w:r>
      <w:r>
        <w:rPr>
          <w:rFonts w:ascii="Times New Roman;sans-serif" w:hAnsi="Times New Roman;sans-serif"/>
          <w:b w:val="false"/>
          <w:color w:val="000000"/>
          <w:sz w:val="20"/>
          <w:u w:val="single"/>
        </w:rPr>
        <w:t xml:space="preserve">Subject to the provisions of this Restated Certificate of Incorporation relating to the rights of </w:t>
      </w:r>
      <w:r>
        <w:rPr>
          <w:rFonts w:ascii="Times New Roman;sans-serif" w:hAnsi="Times New Roman;sans-serif"/>
          <w:b w:val="false"/>
          <w:color w:val="000000"/>
          <w:sz w:val="20"/>
        </w:rPr>
        <w:t xml:space="preserve">any series of Preferred Stock as provided for or fixed pursuant to the provisions of Article IV </w:t>
      </w:r>
      <w:r>
        <w:rPr>
          <w:rFonts w:ascii="Times New Roman;sans-serif" w:hAnsi="Times New Roman;sans-serif"/>
          <w:b w:val="false"/>
          <w:strike/>
          <w:color w:val="000000"/>
          <w:sz w:val="20"/>
        </w:rPr>
        <w:t>of this Restated Certificate of Incorporation,</w:t>
      </w:r>
      <w:r>
        <w:rPr>
          <w:rFonts w:ascii="Times New Roman;sans-serif" w:hAnsi="Times New Roman;sans-serif"/>
          <w:b w:val="false"/>
          <w:color w:val="000000"/>
          <w:sz w:val="20"/>
          <w:u w:val="single"/>
        </w:rPr>
        <w:t>hereof, directors of the corporation</w:t>
      </w:r>
      <w:r>
        <w:rPr>
          <w:color w:val="000000"/>
        </w:rPr>
        <w:t xml:space="preserve"> </w:t>
      </w:r>
      <w:r>
        <w:rPr>
          <w:rFonts w:ascii="Times New Roman;sans-serif" w:hAnsi="Times New Roman;sans-serif"/>
          <w:b w:val="false"/>
          <w:color w:val="000000"/>
          <w:sz w:val="20"/>
        </w:rPr>
        <w:t xml:space="preserve">shall be </w:t>
      </w:r>
      <w:r>
        <w:rPr>
          <w:rFonts w:ascii="Times New Roman;sans-serif" w:hAnsi="Times New Roman;sans-serif"/>
          <w:b w:val="false"/>
          <w:color w:val="000000"/>
          <w:sz w:val="20"/>
          <w:u w:val="single"/>
        </w:rPr>
        <w:t xml:space="preserve">and are </w:t>
      </w:r>
      <w:r>
        <w:rPr>
          <w:rFonts w:ascii="Times New Roman;sans-serif" w:hAnsi="Times New Roman;sans-serif"/>
          <w:b w:val="false"/>
          <w:color w:val="000000"/>
          <w:sz w:val="20"/>
        </w:rPr>
        <w:t xml:space="preserve">divided into </w:t>
      </w:r>
      <w:r>
        <w:rPr>
          <w:rFonts w:ascii="Times New Roman;sans-serif" w:hAnsi="Times New Roman;sans-serif"/>
          <w:b w:val="false"/>
          <w:strike/>
          <w:color w:val="000000"/>
          <w:sz w:val="20"/>
        </w:rPr>
        <w:t>three</w:t>
      </w:r>
      <w:r>
        <w:rPr>
          <w:rFonts w:ascii="Times New Roman;sans-serif" w:hAnsi="Times New Roman;sans-serif"/>
          <w:b w:val="false"/>
          <w:color w:val="000000"/>
          <w:sz w:val="20"/>
          <w:u w:val="single"/>
        </w:rPr>
        <w:t xml:space="preserve">the following </w:t>
      </w:r>
      <w:r>
        <w:rPr>
          <w:rFonts w:ascii="Times New Roman;sans-serif" w:hAnsi="Times New Roman;sans-serif"/>
          <w:b w:val="false"/>
          <w:color w:val="000000"/>
          <w:sz w:val="20"/>
        </w:rPr>
        <w:t>classes</w:t>
      </w:r>
      <w:r>
        <w:rPr>
          <w:rFonts w:ascii="Times New Roman;sans-serif" w:hAnsi="Times New Roman;sans-serif"/>
          <w:b w:val="false"/>
          <w:strike/>
          <w:color w:val="000000"/>
          <w:sz w:val="20"/>
        </w:rPr>
        <w:t>, designated</w:t>
      </w:r>
      <w:r>
        <w:rPr>
          <w:rFonts w:ascii="Times New Roman;sans-serif" w:hAnsi="Times New Roman;sans-serif"/>
          <w:b w:val="false"/>
          <w:color w:val="000000"/>
          <w:sz w:val="20"/>
          <w:u w:val="single"/>
        </w:rPr>
        <w:t>: the 2024</w:t>
      </w:r>
      <w:r>
        <w:rPr>
          <w:color w:val="000000"/>
        </w:rPr>
        <w:t xml:space="preserve"> </w:t>
      </w:r>
      <w:r>
        <w:rPr>
          <w:rFonts w:ascii="Times New Roman;sans-serif" w:hAnsi="Times New Roman;sans-serif"/>
          <w:b w:val="false"/>
          <w:color w:val="000000"/>
          <w:sz w:val="20"/>
        </w:rPr>
        <w:t>Class</w:t>
      </w:r>
      <w:r>
        <w:rPr>
          <w:strike/>
          <w:color w:val="000000"/>
        </w:rPr>
        <w:t xml:space="preserve"> </w:t>
      </w:r>
      <w:r>
        <w:rPr>
          <w:rFonts w:ascii="Times New Roman;sans-serif" w:hAnsi="Times New Roman;sans-serif"/>
          <w:b w:val="false"/>
          <w:strike/>
          <w:color w:val="000000"/>
          <w:sz w:val="20"/>
        </w:rPr>
        <w:t>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the 2025</w:t>
      </w:r>
      <w:r>
        <w:rPr>
          <w:color w:val="000000"/>
        </w:rPr>
        <w:t xml:space="preserve"> </w:t>
      </w:r>
      <w:r>
        <w:rPr>
          <w:rFonts w:ascii="Times New Roman;sans-serif" w:hAnsi="Times New Roman;sans-serif"/>
          <w:b w:val="false"/>
          <w:color w:val="000000"/>
          <w:sz w:val="20"/>
        </w:rPr>
        <w:t xml:space="preserve">Class </w:t>
      </w:r>
      <w:r>
        <w:rPr>
          <w:rFonts w:ascii="Times New Roman;sans-serif" w:hAnsi="Times New Roman;sans-serif"/>
          <w:b w:val="false"/>
          <w:strike/>
          <w:color w:val="000000"/>
          <w:sz w:val="20"/>
        </w:rPr>
        <w:t xml:space="preserve">II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the 2026</w:t>
      </w:r>
      <w:r>
        <w:rPr>
          <w:color w:val="000000"/>
        </w:rPr>
        <w:t xml:space="preserve"> </w:t>
      </w:r>
      <w:r>
        <w:rPr>
          <w:rFonts w:ascii="Times New Roman;sans-serif" w:hAnsi="Times New Roman;sans-serif"/>
          <w:b w:val="false"/>
          <w:color w:val="000000"/>
          <w:sz w:val="20"/>
        </w:rPr>
        <w:t xml:space="preserve">Class </w:t>
      </w:r>
      <w:r>
        <w:rPr>
          <w:rFonts w:ascii="Times New Roman;sans-serif" w:hAnsi="Times New Roman;sans-serif"/>
          <w:b w:val="false"/>
          <w:strike/>
          <w:color w:val="000000"/>
          <w:sz w:val="20"/>
        </w:rPr>
        <w:t>III,</w:t>
      </w:r>
      <w:r>
        <w:rPr>
          <w:rFonts w:ascii="Times New Roman;sans-serif" w:hAnsi="Times New Roman;sans-serif"/>
          <w:b w:val="false"/>
          <w:color w:val="000000"/>
          <w:sz w:val="20"/>
          <w:u w:val="single"/>
        </w:rPr>
        <w:t>(each</w:t>
      </w:r>
      <w:r>
        <w:rPr>
          <w:color w:val="000000"/>
        </w:rPr>
        <w:t xml:space="preserve"> </w:t>
      </w:r>
      <w:r>
        <w:rPr>
          <w:rFonts w:ascii="Times New Roman;sans-serif" w:hAnsi="Times New Roman;sans-serif"/>
          <w:b w:val="false"/>
          <w:color w:val="000000"/>
          <w:sz w:val="20"/>
        </w:rPr>
        <w:t xml:space="preserve">as </w:t>
      </w:r>
      <w:r>
        <w:rPr>
          <w:rFonts w:ascii="Times New Roman;sans-serif" w:hAnsi="Times New Roman;sans-serif"/>
          <w:b w:val="false"/>
          <w:strike/>
          <w:color w:val="000000"/>
          <w:sz w:val="20"/>
        </w:rPr>
        <w:t>nearly equal in number as possible, and the term of office of directors of one class</w:t>
      </w:r>
      <w:r>
        <w:rPr>
          <w:rFonts w:ascii="Times New Roman;sans-serif" w:hAnsi="Times New Roman;sans-serif"/>
          <w:b w:val="false"/>
          <w:color w:val="000000"/>
          <w:sz w:val="20"/>
          <w:u w:val="single"/>
        </w:rPr>
        <w:t xml:space="preserve">defined below); provided that such division </w:t>
      </w:r>
      <w:r>
        <w:rPr>
          <w:rFonts w:ascii="Times New Roman;sans-serif" w:hAnsi="Times New Roman;sans-serif"/>
          <w:b w:val="false"/>
          <w:color w:val="000000"/>
          <w:sz w:val="20"/>
        </w:rPr>
        <w:t xml:space="preserve">shall </w:t>
      </w:r>
      <w:r>
        <w:rPr>
          <w:rFonts w:ascii="Times New Roman;sans-serif" w:hAnsi="Times New Roman;sans-serif"/>
          <w:b w:val="false"/>
          <w:strike/>
          <w:color w:val="000000"/>
          <w:sz w:val="20"/>
        </w:rPr>
        <w:t>expire</w:t>
      </w:r>
      <w:r>
        <w:rPr>
          <w:rFonts w:ascii="Times New Roman;sans-serif" w:hAnsi="Times New Roman;sans-serif"/>
          <w:b w:val="false"/>
          <w:color w:val="000000"/>
          <w:sz w:val="20"/>
          <w:u w:val="single"/>
        </w:rPr>
        <w:t>terminate</w:t>
      </w:r>
      <w:r>
        <w:rPr>
          <w:color w:val="000000"/>
        </w:rPr>
        <w:t xml:space="preserve"> </w:t>
      </w:r>
      <w:r>
        <w:rPr>
          <w:rFonts w:ascii="Times New Roman;sans-serif" w:hAnsi="Times New Roman;sans-serif"/>
          <w:b w:val="false"/>
          <w:color w:val="000000"/>
          <w:sz w:val="20"/>
        </w:rPr>
        <w:t xml:space="preserve">at </w:t>
      </w:r>
      <w:r>
        <w:rPr>
          <w:rFonts w:ascii="Times New Roman;sans-serif" w:hAnsi="Times New Roman;sans-serif"/>
          <w:b w:val="false"/>
          <w:strike/>
          <w:color w:val="000000"/>
          <w:sz w:val="20"/>
        </w:rPr>
        <w:t>each</w:t>
      </w:r>
      <w:r>
        <w:rPr>
          <w:rFonts w:ascii="Times New Roman;sans-serif" w:hAnsi="Times New Roman;sans-serif"/>
          <w:b w:val="false"/>
          <w:color w:val="000000"/>
          <w:sz w:val="20"/>
          <w:u w:val="single"/>
        </w:rPr>
        <w:t xml:space="preserve">the 2026 </w:t>
      </w:r>
      <w:r>
        <w:rPr>
          <w:rFonts w:ascii="Times New Roman;sans-serif" w:hAnsi="Times New Roman;sans-serif"/>
          <w:b w:val="false"/>
          <w:color w:val="000000"/>
          <w:sz w:val="20"/>
        </w:rPr>
        <w:t>annual meeting of stockholders</w:t>
      </w:r>
      <w:r>
        <w:rPr>
          <w:rFonts w:ascii="Times New Roman;sans-serif" w:hAnsi="Times New Roman;sans-serif"/>
          <w:b w:val="false"/>
          <w:strike/>
          <w:color w:val="000000"/>
          <w:sz w:val="20"/>
        </w:rPr>
        <w:t>, and in all cases as to each director until his or her successor shall be duly elected and qualified or until his or her earlier resignation, removal from office, death or incapacity. Upon</w:t>
      </w:r>
      <w:r>
        <w:rPr>
          <w:rFonts w:ascii="Times New Roman;sans-serif" w:hAnsi="Times New Roman;sans-serif"/>
          <w:b w:val="false"/>
          <w:color w:val="000000"/>
          <w:sz w:val="20"/>
          <w:u w:val="single"/>
        </w:rPr>
        <w:t>. Subject to</w:t>
      </w:r>
      <w:r>
        <w:rPr>
          <w:color w:val="000000"/>
        </w:rPr>
        <w:t xml:space="preserve"> </w:t>
      </w:r>
      <w:r>
        <w:rPr>
          <w:rFonts w:ascii="Times New Roman;sans-serif" w:hAnsi="Times New Roman;sans-serif"/>
          <w:b w:val="false"/>
          <w:color w:val="000000"/>
          <w:sz w:val="20"/>
        </w:rPr>
        <w:t xml:space="preserve">the </w:t>
      </w:r>
      <w:r>
        <w:rPr>
          <w:rFonts w:ascii="Times New Roman;sans-serif" w:hAnsi="Times New Roman;sans-serif"/>
          <w:b w:val="false"/>
          <w:strike/>
          <w:color w:val="000000"/>
          <w:sz w:val="20"/>
        </w:rPr>
        <w:t>effectiveness</w:t>
      </w:r>
      <w:r>
        <w:rPr>
          <w:rFonts w:ascii="Times New Roman;sans-serif" w:hAnsi="Times New Roman;sans-serif"/>
          <w:b w:val="false"/>
          <w:color w:val="000000"/>
          <w:sz w:val="20"/>
          <w:u w:val="single"/>
        </w:rPr>
        <w:t>provisions</w:t>
      </w:r>
      <w:r>
        <w:rPr>
          <w:color w:val="000000"/>
        </w:rPr>
        <w:t xml:space="preserve"> </w:t>
      </w:r>
      <w:r>
        <w:rPr>
          <w:rFonts w:ascii="Times New Roman;sans-serif" w:hAnsi="Times New Roman;sans-serif"/>
          <w:b w:val="false"/>
          <w:color w:val="000000"/>
          <w:sz w:val="20"/>
        </w:rPr>
        <w:t xml:space="preserve">of this Restated Certificate of Incorporation </w:t>
      </w:r>
      <w:r>
        <w:rPr>
          <w:rFonts w:ascii="Times New Roman;sans-serif" w:hAnsi="Times New Roman;sans-serif"/>
          <w:b w:val="false"/>
          <w:strike/>
          <w:color w:val="000000"/>
          <w:sz w:val="20"/>
        </w:rPr>
        <w:t>(</w:t>
      </w:r>
      <w:r>
        <w:rPr>
          <w:rFonts w:ascii="Times New Roman;sans-serif" w:hAnsi="Times New Roman;sans-serif"/>
          <w:b w:val="false"/>
          <w:color w:val="000000"/>
          <w:sz w:val="20"/>
          <w:u w:val="single"/>
        </w:rPr>
        <w:t>relating to</w:t>
      </w:r>
      <w:r>
        <w:rPr>
          <w:color w:val="000000"/>
        </w:rPr>
        <w:t xml:space="preserve"> </w:t>
      </w:r>
      <w:r>
        <w:rPr>
          <w:rFonts w:ascii="Times New Roman;sans-serif" w:hAnsi="Times New Roman;sans-serif"/>
          <w:b w:val="false"/>
          <w:color w:val="000000"/>
          <w:sz w:val="20"/>
        </w:rPr>
        <w:t xml:space="preserve">the </w:t>
      </w:r>
      <w:r>
        <w:rPr>
          <w:strike/>
          <w:color w:val="000000"/>
        </w:rPr>
        <w:t>“</w:t>
      </w:r>
      <w:r>
        <w:rPr>
          <w:rFonts w:ascii="Times New Roman;sans-serif" w:hAnsi="Times New Roman;sans-serif"/>
          <w:b w:val="false"/>
          <w:strike/>
          <w:color w:val="000000"/>
          <w:sz w:val="20"/>
        </w:rPr>
        <w:t>Effective Time”), the Board of Directors shall assign all members of</w:t>
      </w:r>
      <w:r>
        <w:rPr>
          <w:rFonts w:ascii="Times New Roman;sans-serif" w:hAnsi="Times New Roman;sans-serif"/>
          <w:b w:val="false"/>
          <w:color w:val="000000"/>
          <w:sz w:val="20"/>
          <w:u w:val="single"/>
        </w:rPr>
        <w:t xml:space="preserve">rights of any series of Preferred Stock as provided for or fixed pursuant to </w:t>
      </w:r>
      <w:r>
        <w:rPr>
          <w:rFonts w:ascii="Times New Roman;sans-serif" w:hAnsi="Times New Roman;sans-serif"/>
          <w:b w:val="false"/>
          <w:color w:val="000000"/>
          <w:sz w:val="20"/>
        </w:rPr>
        <w:t xml:space="preserve">the </w:t>
      </w:r>
      <w:r>
        <w:rPr>
          <w:rFonts w:ascii="Times New Roman;sans-serif" w:hAnsi="Times New Roman;sans-serif"/>
          <w:b w:val="false"/>
          <w:strike/>
          <w:color w:val="000000"/>
          <w:sz w:val="20"/>
        </w:rPr>
        <w:t>Board</w:t>
      </w:r>
      <w:r>
        <w:rPr>
          <w:rFonts w:ascii="Times New Roman;sans-serif" w:hAnsi="Times New Roman;sans-serif"/>
          <w:b w:val="false"/>
          <w:color w:val="000000"/>
          <w:sz w:val="20"/>
          <w:u w:val="single"/>
        </w:rPr>
        <w:t>provisions</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strike/>
          <w:color w:val="000000"/>
          <w:sz w:val="20"/>
        </w:rPr>
        <w:t>Directors then in office to a class, and those directors assigned to</w:t>
      </w:r>
      <w:r>
        <w:rPr>
          <w:rFonts w:ascii="Times New Roman;sans-serif" w:hAnsi="Times New Roman;sans-serif"/>
          <w:b w:val="false"/>
          <w:color w:val="000000"/>
          <w:sz w:val="20"/>
          <w:u w:val="single"/>
        </w:rPr>
        <w:t>Article IV hereof, commencing with the 2024 annual meeting of stockholders, directors of the corporation other than those in the 2025 Class and 2026</w:t>
      </w:r>
      <w:r>
        <w:rPr>
          <w:color w:val="000000"/>
        </w:rPr>
        <w:t xml:space="preserve"> </w:t>
      </w:r>
      <w:r>
        <w:rPr>
          <w:rFonts w:ascii="Times New Roman;sans-serif" w:hAnsi="Times New Roman;sans-serif"/>
          <w:b w:val="false"/>
          <w:color w:val="000000"/>
          <w:sz w:val="20"/>
        </w:rPr>
        <w:t xml:space="preserve">Class </w:t>
      </w:r>
      <w:r>
        <w:rPr>
          <w:rFonts w:ascii="Times New Roman;sans-serif" w:hAnsi="Times New Roman;sans-serif"/>
          <w:b w:val="false"/>
          <w:strike/>
          <w:color w:val="000000"/>
          <w:sz w:val="20"/>
        </w:rPr>
        <w:t>I</w:t>
      </w:r>
      <w:r>
        <w:rPr>
          <w:rFonts w:ascii="Times New Roman;sans-serif" w:hAnsi="Times New Roman;sans-serif"/>
          <w:b w:val="false"/>
          <w:color w:val="000000"/>
          <w:sz w:val="20"/>
          <w:u w:val="single"/>
        </w:rPr>
        <w:t>(each as defined below)</w:t>
      </w:r>
      <w:r>
        <w:rPr>
          <w:color w:val="000000"/>
        </w:rPr>
        <w:t xml:space="preserve"> </w:t>
      </w:r>
      <w:r>
        <w:rPr>
          <w:rFonts w:ascii="Times New Roman;sans-serif" w:hAnsi="Times New Roman;sans-serif"/>
          <w:b w:val="false"/>
          <w:color w:val="000000"/>
          <w:sz w:val="20"/>
        </w:rPr>
        <w:t xml:space="preserve">shall </w:t>
      </w:r>
      <w:r>
        <w:rPr>
          <w:rFonts w:ascii="Times New Roman;sans-serif" w:hAnsi="Times New Roman;sans-serif"/>
          <w:b w:val="false"/>
          <w:strike/>
          <w:color w:val="000000"/>
          <w:sz w:val="20"/>
        </w:rPr>
        <w:t>hold office</w:t>
      </w:r>
      <w:r>
        <w:rPr>
          <w:rFonts w:ascii="Times New Roman;sans-serif" w:hAnsi="Times New Roman;sans-serif"/>
          <w:b w:val="false"/>
          <w:color w:val="000000"/>
          <w:sz w:val="20"/>
          <w:u w:val="single"/>
        </w:rPr>
        <w:t>be elected</w:t>
      </w:r>
      <w:r>
        <w:rPr>
          <w:color w:val="000000"/>
        </w:rPr>
        <w:t xml:space="preserve"> </w:t>
      </w:r>
      <w:r>
        <w:rPr>
          <w:rFonts w:ascii="Times New Roman;sans-serif" w:hAnsi="Times New Roman;sans-serif"/>
          <w:b w:val="false"/>
          <w:color w:val="000000"/>
          <w:sz w:val="20"/>
        </w:rPr>
        <w:t xml:space="preserve">for a term </w:t>
      </w:r>
      <w:r>
        <w:rPr>
          <w:rFonts w:ascii="Times New Roman;sans-serif" w:hAnsi="Times New Roman;sans-serif"/>
          <w:b w:val="false"/>
          <w:color w:val="000000"/>
          <w:sz w:val="20"/>
          <w:u w:val="single"/>
        </w:rPr>
        <w:t>of one year,</w:t>
      </w:r>
      <w:r>
        <w:rPr>
          <w:color w:val="000000"/>
        </w:rPr>
        <w:t xml:space="preserve"> </w:t>
      </w:r>
      <w:r>
        <w:rPr>
          <w:rFonts w:ascii="Times New Roman;sans-serif" w:hAnsi="Times New Roman;sans-serif"/>
          <w:b w:val="false"/>
          <w:color w:val="000000"/>
          <w:sz w:val="20"/>
        </w:rPr>
        <w:t xml:space="preserve">expiring at the </w:t>
      </w:r>
      <w:r>
        <w:rPr>
          <w:rFonts w:ascii="Times New Roman;sans-serif" w:hAnsi="Times New Roman;sans-serif"/>
          <w:b w:val="false"/>
          <w:strike/>
          <w:color w:val="000000"/>
          <w:sz w:val="20"/>
        </w:rPr>
        <w:t>first regularly scheduled</w:t>
      </w:r>
      <w:r>
        <w:rPr>
          <w:rFonts w:ascii="Times New Roman;sans-serif" w:hAnsi="Times New Roman;sans-serif"/>
          <w:b w:val="false"/>
          <w:color w:val="000000"/>
          <w:sz w:val="20"/>
          <w:u w:val="single"/>
        </w:rPr>
        <w:t>next succeeding</w:t>
      </w:r>
      <w:r>
        <w:rPr>
          <w:color w:val="000000"/>
        </w:rPr>
        <w:t xml:space="preserve"> </w:t>
      </w:r>
      <w:r>
        <w:rPr>
          <w:rFonts w:ascii="Times New Roman;sans-serif" w:hAnsi="Times New Roman;sans-serif"/>
          <w:b w:val="false"/>
          <w:color w:val="000000"/>
          <w:sz w:val="20"/>
        </w:rPr>
        <w:t>annual meeting of stockholders</w:t>
      </w:r>
      <w:r>
        <w:rPr>
          <w:strike/>
          <w:color w:val="000000"/>
        </w:rPr>
        <w:t xml:space="preserve"> </w:t>
      </w:r>
      <w:r>
        <w:rPr>
          <w:rFonts w:ascii="Times New Roman;sans-serif" w:hAnsi="Times New Roman;sans-serif"/>
          <w:b w:val="false"/>
          <w:strike/>
          <w:color w:val="000000"/>
          <w:sz w:val="20"/>
        </w:rPr>
        <w:t>following the Effective Time, those directors assigned to Class II</w:t>
      </w:r>
      <w:r>
        <w:rPr>
          <w:rFonts w:ascii="Times New Roman;sans-serif" w:hAnsi="Times New Roman;sans-serif"/>
          <w:b w:val="false"/>
          <w:color w:val="000000"/>
          <w:sz w:val="20"/>
          <w:u w:val="single"/>
        </w:rPr>
        <w:t>. Each director of the corporation serving in the class elected at the 2021 annual meeting of stockholders</w:t>
      </w:r>
      <w:r>
        <w:rPr>
          <w:color w:val="000000"/>
        </w:rPr>
        <w:t xml:space="preserve"> </w:t>
      </w:r>
      <w:r>
        <w:rPr>
          <w:rFonts w:ascii="Times New Roman;sans-serif" w:hAnsi="Times New Roman;sans-serif"/>
          <w:b w:val="false"/>
          <w:color w:val="000000"/>
          <w:sz w:val="20"/>
        </w:rPr>
        <w:t xml:space="preserve">shall </w:t>
      </w:r>
      <w:r>
        <w:rPr>
          <w:rFonts w:ascii="Times New Roman;sans-serif" w:hAnsi="Times New Roman;sans-serif"/>
          <w:b w:val="false"/>
          <w:strike/>
          <w:color w:val="000000"/>
          <w:sz w:val="20"/>
        </w:rPr>
        <w:t>hold office</w:t>
      </w:r>
      <w:r>
        <w:rPr>
          <w:rFonts w:ascii="Times New Roman;sans-serif" w:hAnsi="Times New Roman;sans-serif"/>
          <w:b w:val="false"/>
          <w:color w:val="000000"/>
          <w:sz w:val="20"/>
          <w:u w:val="single"/>
        </w:rPr>
        <w:t>serve</w:t>
      </w:r>
      <w:r>
        <w:rPr>
          <w:color w:val="000000"/>
        </w:rPr>
        <w:t xml:space="preserve"> </w:t>
      </w:r>
      <w:r>
        <w:rPr>
          <w:rFonts w:ascii="Times New Roman;sans-serif" w:hAnsi="Times New Roman;sans-serif"/>
          <w:b w:val="false"/>
          <w:color w:val="000000"/>
          <w:sz w:val="20"/>
        </w:rPr>
        <w:t xml:space="preserve">for a </w:t>
      </w:r>
      <w:r>
        <w:rPr>
          <w:rFonts w:ascii="Times New Roman;sans-serif" w:hAnsi="Times New Roman;sans-serif"/>
          <w:b w:val="false"/>
          <w:color w:val="000000"/>
          <w:sz w:val="20"/>
          <w:u w:val="single"/>
        </w:rPr>
        <w:t xml:space="preserve">three-year </w:t>
      </w:r>
      <w:r>
        <w:rPr>
          <w:rFonts w:ascii="Times New Roman;sans-serif" w:hAnsi="Times New Roman;sans-serif"/>
          <w:b w:val="false"/>
          <w:color w:val="000000"/>
          <w:sz w:val="20"/>
        </w:rPr>
        <w:t xml:space="preserve">term expiring at the </w:t>
      </w:r>
      <w:r>
        <w:rPr>
          <w:rFonts w:ascii="Times New Roman;sans-serif" w:hAnsi="Times New Roman;sans-serif"/>
          <w:b w:val="false"/>
          <w:strike/>
          <w:color w:val="000000"/>
          <w:sz w:val="20"/>
        </w:rPr>
        <w:t>second regularly scheduled</w:t>
      </w:r>
      <w:r>
        <w:rPr>
          <w:rFonts w:ascii="Times New Roman;sans-serif" w:hAnsi="Times New Roman;sans-serif"/>
          <w:b w:val="false"/>
          <w:color w:val="000000"/>
          <w:sz w:val="20"/>
          <w:u w:val="single"/>
        </w:rPr>
        <w:t>2024</w:t>
      </w:r>
      <w:r>
        <w:rPr>
          <w:color w:val="000000"/>
        </w:rPr>
        <w:t xml:space="preserve"> </w:t>
      </w:r>
      <w:r>
        <w:rPr>
          <w:rFonts w:ascii="Times New Roman;sans-serif" w:hAnsi="Times New Roman;sans-serif"/>
          <w:b w:val="false"/>
          <w:color w:val="000000"/>
          <w:sz w:val="20"/>
        </w:rPr>
        <w:t xml:space="preserve">annual meeting of stockholders </w:t>
      </w:r>
      <w:r>
        <w:rPr>
          <w:rFonts w:ascii="Times New Roman;sans-serif" w:hAnsi="Times New Roman;sans-serif"/>
          <w:b w:val="false"/>
          <w:strike/>
          <w:color w:val="000000"/>
          <w:sz w:val="20"/>
        </w:rPr>
        <w:t xml:space="preserve">following </w:t>
      </w:r>
      <w:r>
        <w:rPr>
          <w:rFonts w:ascii="Times New Roman;sans-serif" w:hAnsi="Times New Roman;sans-serif"/>
          <w:b w:val="false"/>
          <w:color w:val="000000"/>
          <w:sz w:val="20"/>
          <w:u w:val="single"/>
        </w:rPr>
        <w:t>(</w:t>
      </w:r>
      <w:r>
        <w:rPr>
          <w:rFonts w:ascii="Times New Roman;sans-serif" w:hAnsi="Times New Roman;sans-serif"/>
          <w:b w:val="false"/>
          <w:color w:val="000000"/>
          <w:sz w:val="20"/>
        </w:rPr>
        <w:t xml:space="preserve">the </w:t>
      </w:r>
      <w:r>
        <w:rPr>
          <w:rFonts w:ascii="Times New Roman;sans-serif" w:hAnsi="Times New Roman;sans-serif"/>
          <w:b w:val="false"/>
          <w:strike/>
          <w:color w:val="000000"/>
          <w:sz w:val="20"/>
        </w:rPr>
        <w:t>Effective Time, and those directors assigned to Class III</w:t>
      </w:r>
      <w:r>
        <w:rPr>
          <w:color w:val="000000"/>
          <w:u w:val="single"/>
        </w:rPr>
        <w:t>“</w:t>
      </w:r>
      <w:r>
        <w:rPr>
          <w:rFonts w:ascii="Times New Roman;sans-serif" w:hAnsi="Times New Roman;sans-serif"/>
          <w:b w:val="false"/>
          <w:color w:val="000000"/>
          <w:sz w:val="20"/>
          <w:u w:val="single"/>
        </w:rPr>
        <w:t>2024 Class”), each director of the corporation serving in the class elected at the 2022 annual meeting of stockholders</w:t>
      </w:r>
      <w:r>
        <w:rPr>
          <w:color w:val="000000"/>
        </w:rPr>
        <w:t xml:space="preserve"> </w:t>
      </w:r>
      <w:r>
        <w:rPr>
          <w:rFonts w:ascii="Times New Roman;sans-serif" w:hAnsi="Times New Roman;sans-serif"/>
          <w:b w:val="false"/>
          <w:color w:val="000000"/>
          <w:sz w:val="20"/>
        </w:rPr>
        <w:t xml:space="preserve">shall </w:t>
      </w:r>
      <w:r>
        <w:rPr>
          <w:rFonts w:ascii="Times New Roman;sans-serif" w:hAnsi="Times New Roman;sans-serif"/>
          <w:b w:val="false"/>
          <w:strike/>
          <w:color w:val="000000"/>
          <w:sz w:val="20"/>
        </w:rPr>
        <w:t>hold office</w:t>
      </w:r>
      <w:r>
        <w:rPr>
          <w:rFonts w:ascii="Times New Roman;sans-serif" w:hAnsi="Times New Roman;sans-serif"/>
          <w:b w:val="false"/>
          <w:color w:val="000000"/>
          <w:sz w:val="20"/>
          <w:u w:val="single"/>
        </w:rPr>
        <w:t>serve</w:t>
      </w:r>
      <w:r>
        <w:rPr>
          <w:color w:val="000000"/>
        </w:rPr>
        <w:t xml:space="preserve"> </w:t>
      </w:r>
      <w:r>
        <w:rPr>
          <w:rFonts w:ascii="Times New Roman;sans-serif" w:hAnsi="Times New Roman;sans-serif"/>
          <w:b w:val="false"/>
          <w:color w:val="000000"/>
          <w:sz w:val="20"/>
        </w:rPr>
        <w:t xml:space="preserve">for a </w:t>
      </w:r>
      <w:r>
        <w:rPr>
          <w:rFonts w:ascii="Times New Roman;sans-serif" w:hAnsi="Times New Roman;sans-serif"/>
          <w:b w:val="false"/>
          <w:color w:val="000000"/>
          <w:sz w:val="20"/>
          <w:u w:val="single"/>
        </w:rPr>
        <w:t xml:space="preserve">three-year </w:t>
      </w:r>
      <w:r>
        <w:rPr>
          <w:rFonts w:ascii="Times New Roman;sans-serif" w:hAnsi="Times New Roman;sans-serif"/>
          <w:b w:val="false"/>
          <w:color w:val="000000"/>
          <w:sz w:val="20"/>
        </w:rPr>
        <w:t xml:space="preserve">term expiring at the </w:t>
      </w:r>
      <w:r>
        <w:rPr>
          <w:rFonts w:ascii="Times New Roman;sans-serif" w:hAnsi="Times New Roman;sans-serif"/>
          <w:b w:val="false"/>
          <w:strike/>
          <w:color w:val="000000"/>
          <w:sz w:val="20"/>
        </w:rPr>
        <w:t>third regularly scheduled</w:t>
      </w:r>
      <w:r>
        <w:rPr>
          <w:rFonts w:ascii="Times New Roman;sans-serif" w:hAnsi="Times New Roman;sans-serif"/>
          <w:b w:val="false"/>
          <w:color w:val="000000"/>
          <w:sz w:val="20"/>
          <w:u w:val="single"/>
        </w:rPr>
        <w:t>2025</w:t>
      </w:r>
      <w:r>
        <w:rPr>
          <w:color w:val="000000"/>
        </w:rPr>
        <w:t xml:space="preserve"> </w:t>
      </w:r>
      <w:r>
        <w:rPr>
          <w:rFonts w:ascii="Times New Roman;sans-serif" w:hAnsi="Times New Roman;sans-serif"/>
          <w:b w:val="false"/>
          <w:color w:val="000000"/>
          <w:sz w:val="20"/>
        </w:rPr>
        <w:t xml:space="preserve">annual meeting of stockholders </w:t>
      </w:r>
      <w:r>
        <w:rPr>
          <w:rFonts w:ascii="Times New Roman;sans-serif" w:hAnsi="Times New Roman;sans-serif"/>
          <w:b w:val="false"/>
          <w:strike/>
          <w:color w:val="000000"/>
          <w:sz w:val="20"/>
        </w:rPr>
        <w:t xml:space="preserve">following </w:t>
      </w:r>
      <w:r>
        <w:rPr>
          <w:rFonts w:ascii="Times New Roman;sans-serif" w:hAnsi="Times New Roman;sans-serif"/>
          <w:b w:val="false"/>
          <w:color w:val="000000"/>
          <w:sz w:val="20"/>
          <w:u w:val="single"/>
        </w:rPr>
        <w:t>(</w:t>
      </w:r>
      <w:r>
        <w:rPr>
          <w:rFonts w:ascii="Times New Roman;sans-serif" w:hAnsi="Times New Roman;sans-serif"/>
          <w:b w:val="false"/>
          <w:color w:val="000000"/>
          <w:sz w:val="20"/>
        </w:rPr>
        <w:t xml:space="preserve">the </w:t>
      </w:r>
      <w:r>
        <w:rPr>
          <w:rFonts w:ascii="Times New Roman;sans-serif" w:hAnsi="Times New Roman;sans-serif"/>
          <w:b w:val="false"/>
          <w:strike/>
          <w:color w:val="000000"/>
          <w:sz w:val="20"/>
        </w:rPr>
        <w:t>Effective Time. At each succeeding</w:t>
      </w:r>
      <w:r>
        <w:rPr>
          <w:color w:val="000000"/>
          <w:u w:val="single"/>
        </w:rPr>
        <w:t>“</w:t>
      </w:r>
      <w:r>
        <w:rPr>
          <w:rFonts w:ascii="Times New Roman;sans-serif" w:hAnsi="Times New Roman;sans-serif"/>
          <w:b w:val="false"/>
          <w:color w:val="000000"/>
          <w:sz w:val="20"/>
          <w:u w:val="single"/>
        </w:rPr>
        <w:t>2025 Class”), and each director of the corporation serving in the class elected at the 2023</w:t>
      </w:r>
      <w:r>
        <w:rPr>
          <w:color w:val="000000"/>
        </w:rPr>
        <w:t xml:space="preserve"> </w:t>
      </w:r>
      <w:r>
        <w:rPr>
          <w:rFonts w:ascii="Times New Roman;sans-serif" w:hAnsi="Times New Roman;sans-serif"/>
          <w:b w:val="false"/>
          <w:color w:val="000000"/>
          <w:sz w:val="20"/>
        </w:rPr>
        <w:t>annual meeting of stockholders</w:t>
      </w:r>
      <w:r>
        <w:rPr>
          <w:rFonts w:ascii="Times New Roman;sans-serif" w:hAnsi="Times New Roman;sans-serif"/>
          <w:b w:val="false"/>
          <w:strike/>
          <w:color w:val="000000"/>
          <w:sz w:val="20"/>
        </w:rPr>
        <w:t xml:space="preserve">, a number of directors equal </w:t>
      </w:r>
      <w:r>
        <w:rPr>
          <w:rFonts w:ascii="Times New Roman;sans-serif" w:hAnsi="Times New Roman;sans-serif"/>
          <w:b w:val="false"/>
          <w:color w:val="000000"/>
          <w:sz w:val="20"/>
          <w:u w:val="single"/>
        </w:rPr>
        <w:t>shall serve for a three-year term expiring at the 2026 annual meeting of stockholders (the “2026 Class”), including any person appointed to fill a vacancy or newly created directorship occurring in the 2024 Class, 2025 Class or the 2026 Class (each of whom shall be deemed to be a member of</w:t>
      </w:r>
      <w:r>
        <w:rPr>
          <w:color w:val="000000"/>
        </w:rPr>
        <w:t xml:space="preserve"> </w:t>
      </w:r>
      <w:r>
        <w:rPr>
          <w:rFonts w:ascii="Times New Roman;sans-serif" w:hAnsi="Times New Roman;sans-serif"/>
          <w:b w:val="false"/>
          <w:color w:val="000000"/>
          <w:sz w:val="20"/>
        </w:rPr>
        <w:t xml:space="preserve">the </w:t>
      </w:r>
      <w:r>
        <w:rPr>
          <w:rFonts w:ascii="Times New Roman;sans-serif" w:hAnsi="Times New Roman;sans-serif"/>
          <w:b w:val="false"/>
          <w:strike/>
          <w:color w:val="000000"/>
          <w:sz w:val="20"/>
        </w:rPr>
        <w:t>number</w:t>
      </w:r>
      <w:r>
        <w:rPr>
          <w:rFonts w:ascii="Times New Roman;sans-serif" w:hAnsi="Times New Roman;sans-serif"/>
          <w:b w:val="false"/>
          <w:color w:val="000000"/>
          <w:sz w:val="20"/>
          <w:u w:val="single"/>
        </w:rPr>
        <w:t>class</w:t>
      </w:r>
      <w:r>
        <w:rPr>
          <w:color w:val="000000"/>
        </w:rPr>
        <w:t xml:space="preserve"> </w:t>
      </w:r>
      <w:r>
        <w:rPr>
          <w:rFonts w:ascii="Times New Roman;sans-serif" w:hAnsi="Times New Roman;sans-serif"/>
          <w:b w:val="false"/>
          <w:color w:val="000000"/>
          <w:sz w:val="20"/>
        </w:rPr>
        <w:t>of directors</w:t>
      </w:r>
      <w:r>
        <w:rPr>
          <w:color w:val="000000"/>
          <w:u w:val="single"/>
        </w:rPr>
        <w:t xml:space="preserve"> </w:t>
      </w:r>
      <w:r>
        <w:rPr>
          <w:rFonts w:ascii="Times New Roman;sans-serif" w:hAnsi="Times New Roman;sans-serif"/>
          <w:b w:val="false"/>
          <w:color w:val="000000"/>
          <w:sz w:val="20"/>
          <w:u w:val="single"/>
        </w:rPr>
        <w:t>in which the vacancy or newly created directorship occurred), shall continue to hold office until the end</w:t>
      </w:r>
      <w:r>
        <w:rPr>
          <w:color w:val="000000"/>
        </w:rPr>
        <w:t xml:space="preserve"> </w:t>
      </w:r>
      <w:r>
        <w:rPr>
          <w:rFonts w:ascii="Times New Roman;sans-serif" w:hAnsi="Times New Roman;sans-serif"/>
          <w:b w:val="false"/>
          <w:color w:val="000000"/>
          <w:sz w:val="20"/>
        </w:rPr>
        <w:t>of the</w:t>
      </w:r>
      <w:r>
        <w:rPr>
          <w:strike/>
          <w:color w:val="000000"/>
        </w:rPr>
        <w:t xml:space="preserve"> </w:t>
      </w:r>
      <w:r>
        <w:rPr>
          <w:rFonts w:ascii="Times New Roman;sans-serif" w:hAnsi="Times New Roman;sans-serif"/>
          <w:b w:val="false"/>
          <w:strike/>
          <w:color w:val="000000"/>
          <w:sz w:val="20"/>
        </w:rPr>
        <w:t>class whose</w:t>
      </w:r>
      <w:r>
        <w:rPr>
          <w:color w:val="000000"/>
        </w:rPr>
        <w:t xml:space="preserve"> </w:t>
      </w:r>
      <w:r>
        <w:rPr>
          <w:rFonts w:ascii="Times New Roman;sans-serif" w:hAnsi="Times New Roman;sans-serif"/>
          <w:b w:val="false"/>
          <w:color w:val="000000"/>
          <w:sz w:val="20"/>
        </w:rPr>
        <w:t xml:space="preserve">term </w:t>
      </w:r>
      <w:r>
        <w:rPr>
          <w:rFonts w:ascii="Times New Roman;sans-serif" w:hAnsi="Times New Roman;sans-serif"/>
          <w:b w:val="false"/>
          <w:strike/>
          <w:color w:val="000000"/>
          <w:sz w:val="20"/>
        </w:rPr>
        <w:t>expires at</w:t>
      </w:r>
      <w:r>
        <w:rPr>
          <w:rFonts w:ascii="Times New Roman;sans-serif" w:hAnsi="Times New Roman;sans-serif"/>
          <w:b w:val="false"/>
          <w:color w:val="000000"/>
          <w:sz w:val="20"/>
          <w:u w:val="single"/>
        </w:rPr>
        <w:t>for which such director was elected or appointed, as applicable. Subject to</w:t>
      </w:r>
      <w:r>
        <w:rPr>
          <w:color w:val="000000"/>
        </w:rPr>
        <w:t xml:space="preserve"> </w:t>
      </w:r>
      <w:r>
        <w:rPr>
          <w:rFonts w:ascii="Times New Roman;sans-serif" w:hAnsi="Times New Roman;sans-serif"/>
          <w:b w:val="false"/>
          <w:color w:val="000000"/>
          <w:sz w:val="20"/>
        </w:rPr>
        <w:t xml:space="preserve">the </w:t>
      </w:r>
      <w:r>
        <w:rPr>
          <w:rFonts w:ascii="Times New Roman;sans-serif" w:hAnsi="Times New Roman;sans-serif"/>
          <w:b w:val="false"/>
          <w:strike/>
          <w:color w:val="000000"/>
          <w:sz w:val="20"/>
        </w:rPr>
        <w:t>time</w:t>
      </w:r>
      <w:r>
        <w:rPr>
          <w:rFonts w:ascii="Times New Roman;sans-serif" w:hAnsi="Times New Roman;sans-serif"/>
          <w:b w:val="false"/>
          <w:color w:val="000000"/>
          <w:sz w:val="20"/>
          <w:u w:val="single"/>
        </w:rPr>
        <w:t>provisions</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strike/>
          <w:color w:val="000000"/>
          <w:sz w:val="20"/>
        </w:rPr>
        <w:t>such</w:t>
      </w:r>
      <w:r>
        <w:rPr>
          <w:rFonts w:ascii="Times New Roman;sans-serif" w:hAnsi="Times New Roman;sans-serif"/>
          <w:b w:val="false"/>
          <w:color w:val="000000"/>
          <w:sz w:val="20"/>
          <w:u w:val="single"/>
        </w:rPr>
        <w:t>this Restated Certificate of Incorporation relating to directors elected by the holders of one or more series of Preferred Stock as provided for or fixed pursuant to the provisions of Article IV hereof, (a) commencing with the 2024 annual</w:t>
      </w:r>
      <w:r>
        <w:rPr>
          <w:color w:val="000000"/>
        </w:rPr>
        <w:t xml:space="preserve"> </w:t>
      </w:r>
      <w:r>
        <w:rPr>
          <w:rFonts w:ascii="Times New Roman;sans-serif" w:hAnsi="Times New Roman;sans-serif"/>
          <w:b w:val="false"/>
          <w:color w:val="000000"/>
          <w:sz w:val="20"/>
        </w:rPr>
        <w:t>meeting</w:t>
      </w:r>
      <w:r>
        <w:rPr>
          <w:strike/>
          <w:color w:val="000000"/>
        </w:rPr>
        <w:t xml:space="preserve"> </w:t>
      </w:r>
      <w:r>
        <w:rPr>
          <w:rFonts w:ascii="Times New Roman;sans-serif" w:hAnsi="Times New Roman;sans-serif"/>
          <w:b w:val="false"/>
          <w:strike/>
          <w:color w:val="000000"/>
          <w:sz w:val="20"/>
        </w:rPr>
        <w:t>(or, if less, the number</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u w:val="single"/>
        </w:rPr>
        <w:t xml:space="preserve">stockholders, all </w:t>
      </w:r>
      <w:r>
        <w:rPr>
          <w:rFonts w:ascii="Times New Roman;sans-serif" w:hAnsi="Times New Roman;sans-serif"/>
          <w:b w:val="false"/>
          <w:color w:val="000000"/>
          <w:sz w:val="20"/>
        </w:rPr>
        <w:t xml:space="preserve">directors </w:t>
      </w:r>
      <w:r>
        <w:rPr>
          <w:rFonts w:ascii="Times New Roman;sans-serif" w:hAnsi="Times New Roman;sans-serif"/>
          <w:b w:val="false"/>
          <w:strike/>
          <w:color w:val="000000"/>
          <w:sz w:val="20"/>
        </w:rPr>
        <w:t>properly nominated and qualified for election) shall be elected to hold office until the third succeeding</w:t>
      </w:r>
      <w:r>
        <w:rPr>
          <w:rFonts w:ascii="Times New Roman;sans-serif" w:hAnsi="Times New Roman;sans-serif"/>
          <w:b w:val="false"/>
          <w:color w:val="000000"/>
          <w:sz w:val="20"/>
          <w:u w:val="single"/>
        </w:rPr>
        <w:t>of the corporation other than those in the 2025 Class and the 2026 Class will be elected for a term of one year, (b) commencing with the 2025 annual meeting of stockholders, all directors of the corporation other than those in the 2026 Class will be elected for a term of one year, and (c) commencing with the 2026</w:t>
      </w:r>
      <w:r>
        <w:rPr>
          <w:color w:val="000000"/>
        </w:rPr>
        <w:t xml:space="preserve"> </w:t>
      </w:r>
      <w:r>
        <w:rPr>
          <w:rFonts w:ascii="Times New Roman;sans-serif" w:hAnsi="Times New Roman;sans-serif"/>
          <w:b w:val="false"/>
          <w:color w:val="000000"/>
          <w:sz w:val="20"/>
        </w:rPr>
        <w:t>annual meeting of stockholders</w:t>
      </w:r>
      <w:r>
        <w:rPr>
          <w:strike/>
          <w:color w:val="000000"/>
        </w:rPr>
        <w:t xml:space="preserve"> </w:t>
      </w:r>
      <w:r>
        <w:rPr>
          <w:rFonts w:ascii="Times New Roman;sans-serif" w:hAnsi="Times New Roman;sans-serif"/>
          <w:b w:val="false"/>
          <w:strike/>
          <w:color w:val="000000"/>
          <w:sz w:val="20"/>
        </w:rPr>
        <w:t>after their election.</w:t>
      </w:r>
      <w:r>
        <w:rPr>
          <w:rFonts w:ascii="Times New Roman;sans-serif" w:hAnsi="Times New Roman;sans-serif"/>
          <w:b w:val="false"/>
          <w:color w:val="000000"/>
          <w:sz w:val="20"/>
          <w:u w:val="single"/>
        </w:rPr>
        <w:t>, all directors of the corporation will be elected for a term of one-year. In all cases, each director shall serve until such director’s successor has been duly elected and qualified or until such director’s earlier death, resignation, retirement, disqualification, or removal from office. No decrease in the number of directors constituting the Board of Directors shall shorten the term of any incumbent director.</w:t>
      </w:r>
    </w:p>
    <w:p>
      <w:pPr>
        <w:pStyle w:val="TextBody"/>
        <w:spacing w:before="0" w:after="0"/>
        <w:rPr/>
      </w:pPr>
      <w:r>
        <w:rPr/>
      </w:r>
    </w:p>
    <w:p>
      <w:pPr>
        <w:pStyle w:val="TextBody"/>
        <w:spacing w:lineRule="auto" w:line="264"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3. Amend Article VI.C as follows:</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8"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4" w:before="0" w:after="0"/>
        <w:ind w:left="0" w:right="0" w:hanging="720"/>
        <w:rPr/>
      </w:pPr>
      <w:r>
        <w:rPr>
          <w:rFonts w:ascii="Times New Roman;sans-serif" w:hAnsi="Times New Roman;sans-serif"/>
          <w:b w:val="false"/>
          <w:color w:val="000000"/>
          <w:sz w:val="20"/>
        </w:rPr>
        <w:t>C. Vacancies. Except as otherwise provided for or fixed pursuant to the provisions of Article IV of this Restated Certificate of Incorporation relating to the rights of the holders of any series of Preferred Stock to elect directors, and subject to the provisions hereof, newly created directorships resulting from any increase in the authorized number of directors, any vacancies on the Board of Directors resulting from death, resignation, retirement, disqualification, removal, or other cause, shall be filled only by the affirmative vote of a majority of the remaining directors then in office, even though less than a quorum of the Board of Directors, or by a sole remaining director. Any director elected in accordance with the preceding sentence shall hold office</w:t>
      </w:r>
      <w:r>
        <w:rPr>
          <w:color w:val="000000"/>
          <w:u w:val="single"/>
        </w:rPr>
        <w:t xml:space="preserve"> </w:t>
      </w:r>
      <w:r>
        <w:rPr>
          <w:rFonts w:ascii="Times New Roman;sans-serif" w:hAnsi="Times New Roman;sans-serif"/>
          <w:b w:val="false"/>
          <w:color w:val="000000"/>
          <w:sz w:val="20"/>
          <w:u w:val="single"/>
        </w:rPr>
        <w:t>(i)</w:t>
      </w:r>
      <w:r>
        <w:rPr>
          <w:color w:val="000000"/>
        </w:rPr>
        <w:t xml:space="preserve"> </w:t>
      </w:r>
      <w:r>
        <w:rPr>
          <w:rFonts w:ascii="Times New Roman;sans-serif" w:hAnsi="Times New Roman;sans-serif"/>
          <w:b w:val="false"/>
          <w:color w:val="000000"/>
          <w:sz w:val="20"/>
        </w:rPr>
        <w:t>for the remainder of the full term of the class of directors in which the new directorship was created or in which the vacancy occurred</w:t>
      </w:r>
      <w:r>
        <w:rPr>
          <w:color w:val="000000"/>
          <w:u w:val="single"/>
        </w:rPr>
        <w:t xml:space="preserve"> </w:t>
      </w:r>
      <w:r>
        <w:rPr>
          <w:rFonts w:ascii="Times New Roman;sans-serif" w:hAnsi="Times New Roman;sans-serif"/>
          <w:b w:val="false"/>
          <w:color w:val="000000"/>
          <w:sz w:val="20"/>
          <w:u w:val="single"/>
        </w:rPr>
        <w:t>(subject to the declassification provisions in the preceding paragraph B), or (ii) following the termination of the classification of the Board of Directors, for a term expiring at the next annual meeting of stockholders</w:t>
      </w:r>
      <w:r>
        <w:rPr>
          <w:rFonts w:ascii="Times New Roman;sans-serif" w:hAnsi="Times New Roman;sans-serif"/>
          <w:b w:val="false"/>
          <w:color w:val="000000"/>
          <w:sz w:val="20"/>
        </w:rPr>
        <w:t>, and</w:t>
      </w:r>
      <w:r>
        <w:rPr>
          <w:rFonts w:ascii="Times New Roman;sans-serif" w:hAnsi="Times New Roman;sans-serif"/>
          <w:b w:val="false"/>
          <w:color w:val="000000"/>
          <w:sz w:val="20"/>
          <w:u w:val="single"/>
        </w:rPr>
        <w:t>, in either case,</w:t>
      </w:r>
      <w:r>
        <w:rPr>
          <w:color w:val="000000"/>
        </w:rPr>
        <w:t xml:space="preserve"> </w:t>
      </w:r>
      <w:r>
        <w:rPr>
          <w:rFonts w:ascii="Times New Roman;sans-serif" w:hAnsi="Times New Roman;sans-serif"/>
          <w:b w:val="false"/>
          <w:color w:val="000000"/>
          <w:sz w:val="20"/>
        </w:rPr>
        <w:t xml:space="preserve">until such director’s successor shall have been duly elected and qualified or until his or her earlier resignation, removal from office, death or incapacity. </w:t>
      </w:r>
      <w:r>
        <w:rPr>
          <w:rFonts w:ascii="Times New Roman;sans-serif" w:hAnsi="Times New Roman;sans-serif"/>
          <w:b w:val="false"/>
          <w:strike/>
          <w:color w:val="000000"/>
          <w:sz w:val="20"/>
        </w:rPr>
        <w:t xml:space="preserve">Additional directorships resulting from an increase in the number of directors pursuant to paragraph A of this Article VI shall be apportioned among the three classes as equally as possible. Subject to the provisions of this Restated Certificate of Incorporation, no decrease in the number of directors constituting the Board of Directors shall shorten the term of any incumbent director. </w:t>
      </w:r>
      <w:r>
        <w:rPr>
          <w:rFonts w:ascii="Times New Roman;sans-serif" w:hAnsi="Times New Roman;sans-serif"/>
          <w:b w:val="false"/>
          <w:color w:val="000000"/>
          <w:sz w:val="20"/>
        </w:rPr>
        <w:t>In the event of a vacancy in the Board of Directors, the remaining directors, except as otherwise provided by law, or by the certificate of incorporation or the bylaws of the corporation, may exercise the powers of the full board until the vacancy is filled.</w:t>
      </w:r>
    </w:p>
    <w:p>
      <w:pPr>
        <w:pStyle w:val="TextBody"/>
        <w:spacing w:before="0" w:after="0"/>
        <w:rPr/>
      </w:pPr>
      <w:r>
        <w:rPr/>
      </w:r>
    </w:p>
    <w:p>
      <w:pPr>
        <w:pStyle w:val="TextBody"/>
        <w:spacing w:lineRule="auto" w:line="264"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4. Amend Article VI.D as follows:</w:t>
      </w:r>
    </w:p>
    <w:p>
      <w:pPr>
        <w:pStyle w:val="TextBody"/>
        <w:spacing w:before="0" w:after="0"/>
        <w:rPr/>
      </w:pPr>
      <w:r>
        <w:rPr/>
      </w:r>
    </w:p>
    <w:p>
      <w:pPr>
        <w:pStyle w:val="TextBody"/>
        <w:spacing w:lineRule="auto" w:line="264" w:before="0" w:after="0"/>
        <w:ind w:left="0" w:right="0" w:hanging="720"/>
        <w:rPr/>
      </w:pPr>
      <w:r>
        <w:rPr>
          <w:rFonts w:ascii="Times New Roman;sans-serif" w:hAnsi="Times New Roman;sans-serif"/>
          <w:b w:val="false"/>
          <w:color w:val="000000"/>
          <w:sz w:val="20"/>
        </w:rPr>
        <w:t>D. Removal of Directors</w:t>
      </w:r>
      <w:r>
        <w:rPr>
          <w:rFonts w:ascii="Times New Roman;sans-serif" w:hAnsi="Times New Roman;sans-serif"/>
          <w:b w:val="false"/>
          <w:color w:val="000000"/>
          <w:sz w:val="20"/>
          <w:u w:val="single"/>
        </w:rPr>
        <w:t>.</w:t>
      </w:r>
      <w:r>
        <w:rPr>
          <w:color w:val="000000"/>
        </w:rPr>
        <w:t xml:space="preserve"> </w:t>
      </w:r>
      <w:r>
        <w:rPr>
          <w:rFonts w:ascii="Times New Roman;sans-serif" w:hAnsi="Times New Roman;sans-serif"/>
          <w:b w:val="false"/>
          <w:color w:val="000000"/>
          <w:sz w:val="20"/>
        </w:rPr>
        <w:t xml:space="preserve">Subject to the special rights of the holders of one or more series of Preferred Stock with respect to the election of directors, </w:t>
      </w:r>
      <w:r>
        <w:rPr>
          <w:rFonts w:ascii="Times New Roman;sans-serif" w:hAnsi="Times New Roman;sans-serif"/>
          <w:b w:val="false"/>
          <w:strike/>
          <w:color w:val="000000"/>
          <w:sz w:val="20"/>
        </w:rPr>
        <w:t>any</w:t>
      </w:r>
      <w:r>
        <w:rPr>
          <w:rFonts w:ascii="Times New Roman;sans-serif" w:hAnsi="Times New Roman;sans-serif"/>
          <w:b w:val="false"/>
          <w:color w:val="000000"/>
          <w:sz w:val="20"/>
          <w:u w:val="single"/>
        </w:rPr>
        <w:t xml:space="preserve">except as otherwise </w:t>
      </w:r>
      <w:r>
        <w:rPr>
          <w:rFonts w:ascii="Times New Roman;sans-serif" w:hAnsi="Times New Roman;sans-serif"/>
          <w:b w:val="false"/>
          <w:color w:val="000000"/>
          <w:sz w:val="20"/>
        </w:rPr>
        <w:t>provided</w:t>
      </w:r>
      <w:r>
        <w:rPr>
          <w:color w:val="000000"/>
          <w:u w:val="single"/>
        </w:rPr>
        <w:t xml:space="preserve"> </w:t>
      </w:r>
      <w:r>
        <w:rPr>
          <w:rFonts w:ascii="Times New Roman;sans-serif" w:hAnsi="Times New Roman;sans-serif"/>
          <w:b w:val="false"/>
          <w:color w:val="000000"/>
          <w:sz w:val="20"/>
          <w:u w:val="single"/>
        </w:rPr>
        <w:t>by law, each</w:t>
      </w:r>
      <w:r>
        <w:rPr>
          <w:color w:val="000000"/>
        </w:rPr>
        <w:t xml:space="preserve"> </w:t>
      </w:r>
      <w:r>
        <w:rPr>
          <w:rFonts w:ascii="Times New Roman;sans-serif" w:hAnsi="Times New Roman;sans-serif"/>
          <w:b w:val="false"/>
          <w:color w:val="000000"/>
          <w:sz w:val="20"/>
        </w:rPr>
        <w:t xml:space="preserve">director </w:t>
      </w:r>
      <w:r>
        <w:rPr>
          <w:rFonts w:ascii="Times New Roman;sans-serif" w:hAnsi="Times New Roman;sans-serif"/>
          <w:b w:val="false"/>
          <w:strike/>
          <w:color w:val="000000"/>
          <w:sz w:val="20"/>
        </w:rPr>
        <w:t xml:space="preserve">or the entire Board of Directors </w:t>
      </w:r>
      <w:r>
        <w:rPr>
          <w:rFonts w:ascii="Times New Roman;sans-serif" w:hAnsi="Times New Roman;sans-serif"/>
          <w:b w:val="false"/>
          <w:color w:val="000000"/>
          <w:sz w:val="20"/>
          <w:u w:val="single"/>
        </w:rPr>
        <w:t>serving in a class of directors for a term expiring at the third annual meeting of stockholders following the election of such class</w:t>
      </w:r>
      <w:r>
        <w:rPr>
          <w:color w:val="000000"/>
        </w:rPr>
        <w:t xml:space="preserve"> </w:t>
      </w:r>
      <w:r>
        <w:rPr>
          <w:rFonts w:ascii="Times New Roman;sans-serif" w:hAnsi="Times New Roman;sans-serif"/>
          <w:b w:val="false"/>
          <w:color w:val="000000"/>
          <w:sz w:val="20"/>
        </w:rPr>
        <w:t>may be removed only for cause and only</w:t>
      </w:r>
      <w:r>
        <w:rPr>
          <w:color w:val="000000"/>
          <w:u w:val="single"/>
        </w:rPr>
        <w:t xml:space="preserve"> </w:t>
      </w:r>
      <w:r>
        <w:rPr>
          <w:rFonts w:ascii="Times New Roman;sans-serif" w:hAnsi="Times New Roman;sans-serif"/>
          <w:b w:val="false"/>
          <w:color w:val="000000"/>
          <w:sz w:val="20"/>
          <w:u w:val="single"/>
        </w:rPr>
        <w:t>by the affirmative vote of the holders of sixty-six and two-thirds percent (66-2/3%) of the voting power of all of the then outstanding shares of the shares of the capital stock of the corporation entitled to vote generally in the election of directors, voting as a single class, and all other directors may be removed with or without cause</w:t>
      </w:r>
      <w:r>
        <w:rPr>
          <w:color w:val="000000"/>
        </w:rPr>
        <w:t xml:space="preserve"> </w:t>
      </w:r>
      <w:r>
        <w:rPr>
          <w:rFonts w:ascii="Times New Roman;sans-serif" w:hAnsi="Times New Roman;sans-serif"/>
          <w:b w:val="false"/>
          <w:color w:val="000000"/>
          <w:sz w:val="20"/>
        </w:rPr>
        <w:t>by the affirmative vote of the holders of sixty-six and two-thirds percent (66-2/3%) of the voting power of all of the then outstanding shares of the shares of the capital stock of the corporation entitled to vote generally in the election of directors, voting as a single class.</w:t>
      </w:r>
    </w:p>
    <w:p>
      <w:pPr>
        <w:pStyle w:val="TextBody"/>
        <w:spacing w:before="0" w:after="0"/>
        <w:rPr/>
      </w:pPr>
      <w:r>
        <w:rPr/>
      </w:r>
    </w:p>
    <w:p>
      <w:pPr>
        <w:pStyle w:val="TextBody"/>
        <w:spacing w:lineRule="auto" w:line="264"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5. Amend Article X as follows:</w:t>
      </w:r>
    </w:p>
    <w:p>
      <w:pPr>
        <w:pStyle w:val="TextBody"/>
        <w:spacing w:before="0" w:after="0"/>
        <w:rPr/>
      </w:pPr>
      <w:r>
        <w:rPr/>
      </w:r>
    </w:p>
    <w:p>
      <w:pPr>
        <w:pStyle w:val="TextBody"/>
        <w:spacing w:lineRule="auto" w:line="264" w:before="0" w:after="0"/>
        <w:rPr/>
      </w:pPr>
      <w:r>
        <w:rPr>
          <w:rFonts w:ascii="Times New Roman;sans-serif" w:hAnsi="Times New Roman;sans-serif"/>
          <w:b w:val="false"/>
          <w:color w:val="000000"/>
          <w:sz w:val="20"/>
        </w:rPr>
        <w:t xml:space="preserve">Notwithstanding any other provision of this Restated Certificate of Incorporation, the affirmative vote of the holders of at least sixty-six and two-thirds percent (66-2/3%) of the voting power of all of the then outstanding shares of the capital stock of the corporation entitled to vote generally in the election of directors, voting together as a single class, shall be required to amend in any respect or repeal this Article X, or paragraph </w:t>
      </w:r>
      <w:r>
        <w:rPr>
          <w:rFonts w:ascii="Times New Roman;sans-serif" w:hAnsi="Times New Roman;sans-serif"/>
          <w:b w:val="false"/>
          <w:strike/>
          <w:color w:val="000000"/>
          <w:sz w:val="20"/>
        </w:rPr>
        <w:t>A</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of Article V, or Article VI, VII, VIII or IX.</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9"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4"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APPENDIX C</w:t>
      </w:r>
    </w:p>
    <w:p>
      <w:pPr>
        <w:pStyle w:val="TextBody"/>
        <w:spacing w:before="0" w:after="0"/>
        <w:jc w:val="center"/>
        <w:rPr/>
      </w:pPr>
      <w:r>
        <w:rPr/>
      </w:r>
    </w:p>
    <w:p>
      <w:pPr>
        <w:pStyle w:val="TextBody"/>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OFFICER EXCULPATION AMENDMENT</w:t>
      </w:r>
    </w:p>
    <w:p>
      <w:pPr>
        <w:pStyle w:val="TextBody"/>
        <w:spacing w:before="0" w:after="0"/>
        <w:jc w:val="center"/>
        <w:rPr/>
      </w:pPr>
      <w:r>
        <w:rPr/>
      </w:r>
    </w:p>
    <w:p>
      <w:pPr>
        <w:pStyle w:val="TextBody"/>
        <w:spacing w:lineRule="auto" w:line="264" w:before="0" w:after="0"/>
        <w:rPr>
          <w:rFonts w:ascii="Times New Roman;sans-serif" w:hAnsi="Times New Roman;sans-serif"/>
          <w:b w:val="false"/>
          <w:color w:val="000000"/>
          <w:sz w:val="20"/>
        </w:rPr>
      </w:pPr>
      <w:r>
        <w:rPr>
          <w:rFonts w:ascii="Times New Roman;sans-serif" w:hAnsi="Times New Roman;sans-serif"/>
          <w:b w:val="false"/>
          <w:color w:val="000000"/>
          <w:sz w:val="20"/>
        </w:rPr>
        <w:t>Amend Article VIII.A as follows:</w:t>
      </w:r>
    </w:p>
    <w:p>
      <w:pPr>
        <w:pStyle w:val="TextBody"/>
        <w:spacing w:before="0" w:after="0"/>
        <w:rPr/>
      </w:pPr>
      <w:r>
        <w:rPr/>
      </w:r>
    </w:p>
    <w:p>
      <w:pPr>
        <w:pStyle w:val="TextBody"/>
        <w:spacing w:lineRule="auto" w:line="264" w:before="0" w:after="0"/>
        <w:ind w:left="0" w:right="0" w:hanging="360"/>
        <w:rPr/>
      </w:pPr>
      <w:r>
        <w:rPr>
          <w:rFonts w:ascii="Times New Roman;sans-serif" w:hAnsi="Times New Roman;sans-serif"/>
          <w:b w:val="false"/>
          <w:color w:val="000000"/>
          <w:sz w:val="20"/>
        </w:rPr>
        <w:t xml:space="preserve">A. Limitation on Liability. To the fullest extent permitted by the DGCL, </w:t>
      </w:r>
      <w:r>
        <w:rPr>
          <w:rFonts w:ascii="Times New Roman;sans-serif" w:hAnsi="Times New Roman;sans-serif"/>
          <w:b w:val="false"/>
          <w:strike/>
          <w:color w:val="000000"/>
          <w:sz w:val="20"/>
        </w:rPr>
        <w:t>as the same exists or as may hereafter be amended,</w:t>
      </w:r>
      <w:r>
        <w:rPr>
          <w:rFonts w:ascii="Times New Roman;sans-serif" w:hAnsi="Times New Roman;sans-serif"/>
          <w:b w:val="false"/>
          <w:color w:val="000000"/>
          <w:sz w:val="20"/>
          <w:u w:val="single"/>
        </w:rPr>
        <w:t>neither</w:t>
      </w:r>
      <w:r>
        <w:rPr>
          <w:color w:val="000000"/>
        </w:rPr>
        <w:t xml:space="preserve"> </w:t>
      </w:r>
      <w:r>
        <w:rPr>
          <w:rFonts w:ascii="Times New Roman;sans-serif" w:hAnsi="Times New Roman;sans-serif"/>
          <w:b w:val="false"/>
          <w:color w:val="000000"/>
          <w:sz w:val="20"/>
        </w:rPr>
        <w:t xml:space="preserve">a director </w:t>
      </w:r>
      <w:r>
        <w:rPr>
          <w:rFonts w:ascii="Times New Roman;sans-serif" w:hAnsi="Times New Roman;sans-serif"/>
          <w:b w:val="false"/>
          <w:color w:val="000000"/>
          <w:sz w:val="20"/>
          <w:u w:val="single"/>
        </w:rPr>
        <w:t xml:space="preserve">nor an officer </w:t>
      </w:r>
      <w:r>
        <w:rPr>
          <w:rFonts w:ascii="Times New Roman;sans-serif" w:hAnsi="Times New Roman;sans-serif"/>
          <w:b w:val="false"/>
          <w:color w:val="000000"/>
          <w:sz w:val="20"/>
        </w:rPr>
        <w:t xml:space="preserve">of the corporation shall </w:t>
      </w:r>
      <w:r>
        <w:rPr>
          <w:rFonts w:ascii="Times New Roman;sans-serif" w:hAnsi="Times New Roman;sans-serif"/>
          <w:b w:val="false"/>
          <w:strike/>
          <w:color w:val="000000"/>
          <w:sz w:val="20"/>
        </w:rPr>
        <w:t xml:space="preserve">not </w:t>
      </w:r>
      <w:r>
        <w:rPr>
          <w:rFonts w:ascii="Times New Roman;sans-serif" w:hAnsi="Times New Roman;sans-serif"/>
          <w:b w:val="false"/>
          <w:color w:val="000000"/>
          <w:sz w:val="20"/>
        </w:rPr>
        <w:t xml:space="preserve">be personally </w:t>
      </w:r>
      <w:r>
        <w:rPr>
          <w:rFonts w:ascii="Times New Roman;sans-serif" w:hAnsi="Times New Roman;sans-serif"/>
          <w:b w:val="false"/>
          <w:strike/>
          <w:color w:val="000000"/>
          <w:sz w:val="20"/>
        </w:rPr>
        <w:t>liable to the corporation or its stockholders</w:t>
      </w:r>
      <w:r>
        <w:rPr>
          <w:color w:val="000000"/>
        </w:rPr>
        <w:t xml:space="preserve"> </w:t>
      </w:r>
      <w:r>
        <w:rPr>
          <w:rFonts w:ascii="Times New Roman;sans-serif" w:hAnsi="Times New Roman;sans-serif"/>
          <w:b w:val="false"/>
          <w:color w:val="000000"/>
          <w:sz w:val="20"/>
        </w:rPr>
        <w:t>for monetary damages for breach of fiduciary duty as a director</w:t>
      </w:r>
      <w:r>
        <w:rPr>
          <w:rFonts w:ascii="Times New Roman;sans-serif" w:hAnsi="Times New Roman;sans-serif"/>
          <w:b w:val="false"/>
          <w:strike/>
          <w:color w:val="000000"/>
          <w:sz w:val="20"/>
        </w:rPr>
        <w:t>. If</w:t>
      </w:r>
      <w:r>
        <w:rPr>
          <w:color w:val="000000"/>
        </w:rPr>
        <w:t xml:space="preserve"> </w:t>
      </w:r>
      <w:r>
        <w:rPr>
          <w:rFonts w:ascii="Times New Roman;sans-serif" w:hAnsi="Times New Roman;sans-serif"/>
          <w:b w:val="false"/>
          <w:color w:val="000000"/>
          <w:sz w:val="20"/>
          <w:u w:val="single"/>
        </w:rPr>
        <w:t>or officer, as applicable. Without limiting the effect of the preceding sentence, if</w:t>
      </w:r>
      <w:r>
        <w:rPr>
          <w:color w:val="000000"/>
        </w:rPr>
        <w:t xml:space="preserve"> </w:t>
      </w:r>
      <w:r>
        <w:rPr>
          <w:rFonts w:ascii="Times New Roman;sans-serif" w:hAnsi="Times New Roman;sans-serif"/>
          <w:b w:val="false"/>
          <w:color w:val="000000"/>
          <w:sz w:val="20"/>
        </w:rPr>
        <w:t xml:space="preserve">the DGCL is amended to authorize corporate action further eliminating or limiting the personal liability of directors </w:t>
      </w:r>
      <w:r>
        <w:rPr>
          <w:rFonts w:ascii="Times New Roman;sans-serif" w:hAnsi="Times New Roman;sans-serif"/>
          <w:b w:val="false"/>
          <w:color w:val="000000"/>
          <w:sz w:val="20"/>
          <w:u w:val="single"/>
        </w:rPr>
        <w:t>or officers</w:t>
      </w:r>
      <w:r>
        <w:rPr>
          <w:rFonts w:ascii="Times New Roman;sans-serif" w:hAnsi="Times New Roman;sans-serif"/>
          <w:b w:val="false"/>
          <w:color w:val="000000"/>
          <w:sz w:val="20"/>
        </w:rPr>
        <w:t xml:space="preserve">, then the liability of a director </w:t>
      </w:r>
      <w:r>
        <w:rPr>
          <w:rFonts w:ascii="Times New Roman;sans-serif" w:hAnsi="Times New Roman;sans-serif"/>
          <w:b w:val="false"/>
          <w:color w:val="000000"/>
          <w:sz w:val="20"/>
          <w:u w:val="single"/>
        </w:rPr>
        <w:t>or officer</w:t>
      </w:r>
      <w:r>
        <w:rPr>
          <w:color w:val="000000"/>
        </w:rPr>
        <w:t xml:space="preserve"> </w:t>
      </w:r>
      <w:r>
        <w:rPr>
          <w:rFonts w:ascii="Times New Roman;sans-serif" w:hAnsi="Times New Roman;sans-serif"/>
          <w:b w:val="false"/>
          <w:color w:val="000000"/>
          <w:sz w:val="20"/>
        </w:rPr>
        <w:t>of the corporation shall be eliminated or limited to the fullest extent permitted by the DGCL, as so amended.</w:t>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0"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drawing>
          <wp:inline distT="0" distB="63500" distL="0" distR="0">
            <wp:extent cx="6515100" cy="2476500"/>
            <wp:effectExtent l="0" t="0" r="0" b="0"/>
            <wp:docPr id="10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4" descr=""/>
                    <pic:cNvPicPr>
                      <a:picLocks noChangeAspect="1" noChangeArrowheads="1"/>
                    </pic:cNvPicPr>
                  </pic:nvPicPr>
                  <pic:blipFill>
                    <a:blip r:embed="rId15"/>
                    <a:stretch>
                      <a:fillRect/>
                    </a:stretch>
                  </pic:blipFill>
                  <pic:spPr bwMode="auto">
                    <a:xfrm>
                      <a:off x="0" y="0"/>
                      <a:ext cx="6515100" cy="2476500"/>
                    </a:xfrm>
                    <a:prstGeom prst="rect">
                      <a:avLst/>
                    </a:prstGeom>
                  </pic:spPr>
                </pic:pic>
              </a:graphicData>
            </a:graphic>
          </wp:inline>
        </w:drawing>
      </w:r>
    </w:p>
    <w:p>
      <w:pPr>
        <w:pStyle w:val="TextBody"/>
        <w:spacing w:before="0" w:after="0"/>
        <w:rPr/>
      </w:pPr>
      <w:r>
        <w:rPr/>
      </w:r>
    </w:p>
    <w:p>
      <w:pPr>
        <w:pStyle w:val="TextBody"/>
        <w:spacing w:before="0" w:after="0"/>
        <w:rPr/>
      </w:pPr>
      <w:r>
        <w:rPr/>
        <w:drawing>
          <wp:inline distT="0" distB="63500" distL="0" distR="0">
            <wp:extent cx="6515100" cy="4486275"/>
            <wp:effectExtent l="0" t="0" r="0" b="0"/>
            <wp:docPr id="10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5" descr=""/>
                    <pic:cNvPicPr>
                      <a:picLocks noChangeAspect="1" noChangeArrowheads="1"/>
                    </pic:cNvPicPr>
                  </pic:nvPicPr>
                  <pic:blipFill>
                    <a:blip r:embed="rId16"/>
                    <a:stretch>
                      <a:fillRect/>
                    </a:stretch>
                  </pic:blipFill>
                  <pic:spPr bwMode="auto">
                    <a:xfrm>
                      <a:off x="0" y="0"/>
                      <a:ext cx="6515100" cy="4486275"/>
                    </a:xfrm>
                    <a:prstGeom prst="rect">
                      <a:avLst/>
                    </a:prstGeom>
                  </pic:spPr>
                </pic:pic>
              </a:graphicData>
            </a:graphic>
          </wp:inline>
        </w:drawing>
      </w:r>
    </w:p>
    <w:p>
      <w:pPr>
        <w:pStyle w:val="TextBody"/>
        <w:spacing w:before="0" w:after="0"/>
        <w:rPr/>
      </w:pPr>
      <w:r>
        <w:rPr/>
      </w:r>
    </w:p>
    <w:p>
      <w:pPr>
        <w:pStyle w:val="TextBody"/>
        <w:spacing w:before="0" w:after="0"/>
        <w:rPr/>
      </w:pPr>
      <w:r>
        <w:rPr/>
      </w:r>
    </w:p>
    <w:p>
      <w:pPr>
        <w:pStyle w:val="TextBody"/>
        <w:spacing w:before="0" w:after="0"/>
        <w:rPr/>
      </w:pPr>
      <w:r>
        <w:rPr/>
        <w:drawing>
          <wp:inline distT="0" distB="63500" distL="0" distR="0">
            <wp:extent cx="6515100" cy="371475"/>
            <wp:effectExtent l="0" t="0" r="0" b="0"/>
            <wp:docPr id="10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6" descr=""/>
                    <pic:cNvPicPr>
                      <a:picLocks noChangeAspect="1" noChangeArrowheads="1"/>
                    </pic:cNvPicPr>
                  </pic:nvPicPr>
                  <pic:blipFill>
                    <a:blip r:embed="rId17"/>
                    <a:stretch>
                      <a:fillRect/>
                    </a:stretch>
                  </pic:blipFill>
                  <pic:spPr bwMode="auto">
                    <a:xfrm>
                      <a:off x="0" y="0"/>
                      <a:ext cx="6515100" cy="371475"/>
                    </a:xfrm>
                    <a:prstGeom prst="rect">
                      <a:avLst/>
                    </a:prstGeom>
                  </pic:spPr>
                </pic:pic>
              </a:graphicData>
            </a:graphic>
          </wp:inline>
        </w:drawing>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4" name="Frame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drawing>
          <wp:inline distT="0" distB="63500" distL="0" distR="0">
            <wp:extent cx="6515100" cy="4286250"/>
            <wp:effectExtent l="0" t="0" r="0" b="0"/>
            <wp:docPr id="10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7" descr=""/>
                    <pic:cNvPicPr>
                      <a:picLocks noChangeAspect="1" noChangeArrowheads="1"/>
                    </pic:cNvPicPr>
                  </pic:nvPicPr>
                  <pic:blipFill>
                    <a:blip r:embed="rId18"/>
                    <a:stretch>
                      <a:fillRect/>
                    </a:stretch>
                  </pic:blipFill>
                  <pic:spPr bwMode="auto">
                    <a:xfrm>
                      <a:off x="0" y="0"/>
                      <a:ext cx="6515100" cy="4286250"/>
                    </a:xfrm>
                    <a:prstGeom prst="rect">
                      <a:avLst/>
                    </a:prstGeom>
                  </pic:spPr>
                </pic:pic>
              </a:graphicData>
            </a:graphic>
          </wp:inline>
        </w:drawing>
      </w:r>
    </w:p>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gif"/><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gif"/><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gif"/><Relationship Id="rId16" Type="http://schemas.openxmlformats.org/officeDocument/2006/relationships/image" Target="media/image15.gif"/><Relationship Id="rId17" Type="http://schemas.openxmlformats.org/officeDocument/2006/relationships/image" Target="media/image16.gif"/><Relationship Id="rId18" Type="http://schemas.openxmlformats.org/officeDocument/2006/relationships/image" Target="media/image17.gif"/><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53663</Words>
  <CharactersWithSpaces>342253</CharactersWithSpaces>
  <Paragraphs>2647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