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12/02/2023</w:t>
            </w:r>
          </w:p>
        </w:tc>
        <w:tc>
          <w:tcPr>
            <w:tcW w:w="2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221,882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1,451 and 1,752 shares of common stock to satisfy the reporting person's tax withholding obligations in connection with the vesting of 2,926 and 3,533 Restricted Stock Units granted on June 1, 2021 and March 3, 2022,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979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2023-12-05T15:50:53Z</dcterms:created>
  <dcterms:modified xsi:type="dcterms:W3CDTF">2023-12-05T15:50:53Z</dcterms:modified>
</cp:coreProperties>
</file>