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February 28, 2023</w:t>
      </w:r>
    </w:p>
    <w:p>
      <w:pPr>
        <w:spacing w:after="0" w:line="5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64"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UNDER</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THE SECURITIES ACT OF 1933</w:t>
      </w:r>
    </w:p>
    <w:p>
      <w:pPr>
        <w:spacing w:after="0" w:line="64"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VERACYTE, INC.</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89" w:lineRule="exact"/>
        <w:rPr>
          <w:sz w:val="24"/>
          <w:szCs w:val="24"/>
          <w:color w:val="auto"/>
        </w:rPr>
      </w:pPr>
    </w:p>
    <w:tbl>
      <w:tblPr>
        <w:tblLayout w:type="fixed"/>
        <w:tblInd w:w="1360" w:type="dxa"/>
        <w:tblCellMar>
          <w:top w:w="0" w:type="dxa"/>
          <w:left w:w="0" w:type="dxa"/>
          <w:bottom w:w="0" w:type="dxa"/>
          <w:right w:w="0" w:type="dxa"/>
        </w:tblCellMar>
      </w:tblPr>
      <w:tr>
        <w:trPr>
          <w:trHeight w:val="216"/>
        </w:trPr>
        <w:tc>
          <w:tcPr>
            <w:tcW w:w="5760" w:type="dxa"/>
            <w:vAlign w:val="bottom"/>
          </w:tcPr>
          <w:p>
            <w:pPr>
              <w:jc w:val="center"/>
              <w:ind w:right="2750"/>
              <w:spacing w:after="0"/>
              <w:rPr>
                <w:sz w:val="20"/>
                <w:szCs w:val="20"/>
                <w:color w:val="auto"/>
              </w:rPr>
            </w:pPr>
            <w:r>
              <w:rPr>
                <w:rFonts w:ascii="Times New Roman" w:cs="Times New Roman" w:eastAsia="Times New Roman" w:hAnsi="Times New Roman"/>
                <w:sz w:val="18"/>
                <w:szCs w:val="18"/>
                <w:color w:val="auto"/>
                <w:w w:val="98"/>
              </w:rPr>
              <w:t>Delaware</w:t>
            </w:r>
          </w:p>
        </w:tc>
        <w:tc>
          <w:tcPr>
            <w:tcW w:w="21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20-5455398</w:t>
            </w:r>
          </w:p>
        </w:tc>
      </w:tr>
      <w:tr>
        <w:trPr>
          <w:trHeight w:val="216"/>
        </w:trPr>
        <w:tc>
          <w:tcPr>
            <w:tcW w:w="5760" w:type="dxa"/>
            <w:vAlign w:val="bottom"/>
          </w:tcPr>
          <w:p>
            <w:pPr>
              <w:jc w:val="center"/>
              <w:ind w:right="27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1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60" w:type="dxa"/>
            <w:vAlign w:val="bottom"/>
          </w:tcPr>
          <w:p>
            <w:pPr>
              <w:jc w:val="center"/>
              <w:ind w:right="27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81"/>
        </w:trPr>
        <w:tc>
          <w:tcPr>
            <w:tcW w:w="5760" w:type="dxa"/>
            <w:vAlign w:val="bottom"/>
          </w:tcPr>
          <w:p>
            <w:pPr>
              <w:jc w:val="center"/>
              <w:ind w:right="2750"/>
              <w:spacing w:after="0"/>
              <w:rPr>
                <w:sz w:val="20"/>
                <w:szCs w:val="20"/>
                <w:color w:val="auto"/>
              </w:rPr>
            </w:pPr>
            <w:r>
              <w:rPr>
                <w:rFonts w:ascii="Times New Roman" w:cs="Times New Roman" w:eastAsia="Times New Roman" w:hAnsi="Times New Roman"/>
                <w:sz w:val="18"/>
                <w:szCs w:val="18"/>
                <w:color w:val="auto"/>
                <w:w w:val="99"/>
              </w:rPr>
              <w:t>6000 Shoreline Court, Suite 300</w:t>
            </w:r>
          </w:p>
        </w:tc>
        <w:tc>
          <w:tcPr>
            <w:tcW w:w="2180" w:type="dxa"/>
            <w:vAlign w:val="bottom"/>
          </w:tcPr>
          <w:p>
            <w:pPr>
              <w:spacing w:after="0"/>
              <w:rPr>
                <w:sz w:val="24"/>
                <w:szCs w:val="24"/>
                <w:color w:val="auto"/>
              </w:rPr>
            </w:pPr>
          </w:p>
        </w:tc>
      </w:tr>
      <w:tr>
        <w:trPr>
          <w:trHeight w:val="216"/>
        </w:trPr>
        <w:tc>
          <w:tcPr>
            <w:tcW w:w="5760" w:type="dxa"/>
            <w:vAlign w:val="bottom"/>
          </w:tcPr>
          <w:p>
            <w:pPr>
              <w:jc w:val="center"/>
              <w:ind w:right="2730"/>
              <w:spacing w:after="0"/>
              <w:rPr>
                <w:sz w:val="20"/>
                <w:szCs w:val="20"/>
                <w:color w:val="auto"/>
              </w:rPr>
            </w:pPr>
            <w:r>
              <w:rPr>
                <w:rFonts w:ascii="Times New Roman" w:cs="Times New Roman" w:eastAsia="Times New Roman" w:hAnsi="Times New Roman"/>
                <w:sz w:val="18"/>
                <w:szCs w:val="18"/>
                <w:color w:val="auto"/>
                <w:w w:val="99"/>
              </w:rPr>
              <w:t>South San Francisco, California</w:t>
            </w:r>
          </w:p>
        </w:tc>
        <w:tc>
          <w:tcPr>
            <w:tcW w:w="21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94080</w:t>
            </w:r>
          </w:p>
        </w:tc>
      </w:tr>
      <w:tr>
        <w:trPr>
          <w:trHeight w:val="275"/>
        </w:trPr>
        <w:tc>
          <w:tcPr>
            <w:tcW w:w="5760" w:type="dxa"/>
            <w:vAlign w:val="bottom"/>
          </w:tcPr>
          <w:p>
            <w:pPr>
              <w:jc w:val="center"/>
              <w:ind w:right="27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56"/>
        </w:trPr>
        <w:tc>
          <w:tcPr>
            <w:tcW w:w="5760" w:type="dxa"/>
            <w:vAlign w:val="bottom"/>
          </w:tcPr>
          <w:p>
            <w:pPr>
              <w:jc w:val="center"/>
              <w:ind w:left="2330"/>
              <w:spacing w:after="0"/>
              <w:rPr>
                <w:sz w:val="20"/>
                <w:szCs w:val="20"/>
                <w:color w:val="auto"/>
              </w:rPr>
            </w:pPr>
            <w:r>
              <w:rPr>
                <w:rFonts w:ascii="Times New Roman" w:cs="Times New Roman" w:eastAsia="Times New Roman" w:hAnsi="Times New Roman"/>
                <w:sz w:val="18"/>
                <w:szCs w:val="18"/>
                <w:color w:val="auto"/>
                <w:w w:val="99"/>
              </w:rPr>
              <w:t>Veracyte, Inc. 2013 Stock Incentive Plan</w:t>
            </w:r>
          </w:p>
        </w:tc>
        <w:tc>
          <w:tcPr>
            <w:tcW w:w="2180" w:type="dxa"/>
            <w:vAlign w:val="bottom"/>
          </w:tcPr>
          <w:p>
            <w:pPr>
              <w:spacing w:after="0"/>
              <w:rPr>
                <w:sz w:val="22"/>
                <w:szCs w:val="22"/>
                <w:color w:val="auto"/>
              </w:rPr>
            </w:pPr>
          </w:p>
        </w:tc>
      </w:tr>
      <w:tr>
        <w:trPr>
          <w:trHeight w:val="270"/>
        </w:trPr>
        <w:tc>
          <w:tcPr>
            <w:tcW w:w="5760" w:type="dxa"/>
            <w:vAlign w:val="bottom"/>
          </w:tcPr>
          <w:p>
            <w:pPr>
              <w:jc w:val="center"/>
              <w:ind w:left="2330"/>
              <w:spacing w:after="0"/>
              <w:rPr>
                <w:sz w:val="20"/>
                <w:szCs w:val="20"/>
                <w:color w:val="auto"/>
              </w:rPr>
            </w:pPr>
            <w:r>
              <w:rPr>
                <w:rFonts w:ascii="Times New Roman" w:cs="Times New Roman" w:eastAsia="Times New Roman" w:hAnsi="Times New Roman"/>
                <w:sz w:val="18"/>
                <w:szCs w:val="18"/>
                <w:color w:val="auto"/>
                <w:w w:val="99"/>
              </w:rPr>
              <w:t>(Full title of the plan)</w:t>
            </w:r>
          </w:p>
        </w:tc>
        <w:tc>
          <w:tcPr>
            <w:tcW w:w="2180" w:type="dxa"/>
            <w:vAlign w:val="bottom"/>
          </w:tcPr>
          <w:p>
            <w:pPr>
              <w:spacing w:after="0"/>
              <w:rPr>
                <w:sz w:val="23"/>
                <w:szCs w:val="23"/>
                <w:color w:val="auto"/>
              </w:rPr>
            </w:pPr>
          </w:p>
        </w:tc>
      </w:tr>
      <w:tr>
        <w:trPr>
          <w:trHeight w:val="292"/>
        </w:trPr>
        <w:tc>
          <w:tcPr>
            <w:tcW w:w="576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9"/>
              </w:rPr>
              <w:t>Marc Stapley</w:t>
            </w:r>
          </w:p>
        </w:tc>
        <w:tc>
          <w:tcPr>
            <w:tcW w:w="2180" w:type="dxa"/>
            <w:vAlign w:val="bottom"/>
          </w:tcPr>
          <w:p>
            <w:pPr>
              <w:spacing w:after="0"/>
              <w:rPr>
                <w:sz w:val="24"/>
                <w:szCs w:val="24"/>
                <w:color w:val="auto"/>
              </w:rPr>
            </w:pPr>
          </w:p>
        </w:tc>
      </w:tr>
      <w:tr>
        <w:trPr>
          <w:trHeight w:val="216"/>
        </w:trPr>
        <w:tc>
          <w:tcPr>
            <w:tcW w:w="576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2180" w:type="dxa"/>
            <w:vAlign w:val="bottom"/>
          </w:tcPr>
          <w:p>
            <w:pPr>
              <w:spacing w:after="0"/>
              <w:rPr>
                <w:sz w:val="18"/>
                <w:szCs w:val="18"/>
                <w:color w:val="auto"/>
              </w:rPr>
            </w:pPr>
          </w:p>
        </w:tc>
      </w:tr>
      <w:tr>
        <w:trPr>
          <w:trHeight w:val="216"/>
        </w:trPr>
        <w:tc>
          <w:tcPr>
            <w:tcW w:w="576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9"/>
              </w:rPr>
              <w:t>6000 Shoreline Court, Suite 300</w:t>
            </w:r>
          </w:p>
        </w:tc>
        <w:tc>
          <w:tcPr>
            <w:tcW w:w="2180" w:type="dxa"/>
            <w:vAlign w:val="bottom"/>
          </w:tcPr>
          <w:p>
            <w:pPr>
              <w:spacing w:after="0"/>
              <w:rPr>
                <w:sz w:val="18"/>
                <w:szCs w:val="18"/>
                <w:color w:val="auto"/>
              </w:rPr>
            </w:pPr>
          </w:p>
        </w:tc>
      </w:tr>
      <w:tr>
        <w:trPr>
          <w:trHeight w:val="216"/>
        </w:trPr>
        <w:tc>
          <w:tcPr>
            <w:tcW w:w="5760" w:type="dxa"/>
            <w:vAlign w:val="bottom"/>
          </w:tcPr>
          <w:p>
            <w:pPr>
              <w:jc w:val="center"/>
              <w:ind w:left="2690"/>
              <w:spacing w:after="0"/>
              <w:rPr>
                <w:sz w:val="20"/>
                <w:szCs w:val="20"/>
                <w:color w:val="auto"/>
              </w:rPr>
            </w:pPr>
            <w:r>
              <w:rPr>
                <w:rFonts w:ascii="Times New Roman" w:cs="Times New Roman" w:eastAsia="Times New Roman" w:hAnsi="Times New Roman"/>
                <w:sz w:val="18"/>
                <w:szCs w:val="18"/>
                <w:color w:val="auto"/>
                <w:w w:val="99"/>
              </w:rPr>
              <w:t>South San Francisco, California</w:t>
            </w:r>
          </w:p>
        </w:tc>
        <w:tc>
          <w:tcPr>
            <w:tcW w:w="2180" w:type="dxa"/>
            <w:vAlign w:val="bottom"/>
          </w:tcPr>
          <w:p>
            <w:pPr>
              <w:spacing w:after="0"/>
              <w:rPr>
                <w:sz w:val="18"/>
                <w:szCs w:val="18"/>
                <w:color w:val="auto"/>
              </w:rPr>
            </w:pPr>
          </w:p>
        </w:tc>
      </w:tr>
      <w:tr>
        <w:trPr>
          <w:trHeight w:val="216"/>
        </w:trPr>
        <w:tc>
          <w:tcPr>
            <w:tcW w:w="576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(Name and address of agent for service)</w:t>
            </w:r>
          </w:p>
        </w:tc>
        <w:tc>
          <w:tcPr>
            <w:tcW w:w="2180" w:type="dxa"/>
            <w:vAlign w:val="bottom"/>
          </w:tcPr>
          <w:p>
            <w:pPr>
              <w:spacing w:after="0"/>
              <w:rPr>
                <w:sz w:val="18"/>
                <w:szCs w:val="18"/>
                <w:color w:val="auto"/>
              </w:rPr>
            </w:pPr>
          </w:p>
        </w:tc>
      </w:tr>
      <w:tr>
        <w:trPr>
          <w:trHeight w:val="216"/>
        </w:trPr>
        <w:tc>
          <w:tcPr>
            <w:tcW w:w="576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9"/>
              </w:rPr>
              <w:t>(650) 243-6300</w:t>
            </w:r>
          </w:p>
        </w:tc>
        <w:tc>
          <w:tcPr>
            <w:tcW w:w="2180" w:type="dxa"/>
            <w:vAlign w:val="bottom"/>
          </w:tcPr>
          <w:p>
            <w:pPr>
              <w:spacing w:after="0"/>
              <w:rPr>
                <w:sz w:val="18"/>
                <w:szCs w:val="18"/>
                <w:color w:val="auto"/>
              </w:rPr>
            </w:pPr>
          </w:p>
        </w:tc>
      </w:tr>
      <w:tr>
        <w:trPr>
          <w:trHeight w:val="216"/>
        </w:trPr>
        <w:tc>
          <w:tcPr>
            <w:tcW w:w="79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(Telephone number, including area code, of agent for service)</w:t>
            </w:r>
          </w:p>
        </w:tc>
      </w:tr>
      <w:tr>
        <w:trPr>
          <w:trHeight w:val="234"/>
        </w:trPr>
        <w:tc>
          <w:tcPr>
            <w:tcW w:w="5760" w:type="dxa"/>
            <w:vAlign w:val="bottom"/>
          </w:tcPr>
          <w:p>
            <w:pPr>
              <w:jc w:val="center"/>
              <w:ind w:left="2690"/>
              <w:spacing w:after="0"/>
              <w:rPr>
                <w:sz w:val="20"/>
                <w:szCs w:val="20"/>
                <w:color w:val="auto"/>
              </w:rPr>
            </w:pPr>
            <w:r>
              <w:rPr>
                <w:rFonts w:ascii="Times New Roman" w:cs="Times New Roman" w:eastAsia="Times New Roman" w:hAnsi="Times New Roman"/>
                <w:sz w:val="18"/>
                <w:szCs w:val="18"/>
                <w:color w:val="auto"/>
              </w:rPr>
              <w:t>Copies to:</w:t>
            </w:r>
          </w:p>
        </w:tc>
        <w:tc>
          <w:tcPr>
            <w:tcW w:w="2180" w:type="dxa"/>
            <w:vAlign w:val="bottom"/>
          </w:tcPr>
          <w:p>
            <w:pPr>
              <w:spacing w:after="0"/>
              <w:rPr>
                <w:sz w:val="20"/>
                <w:szCs w:val="20"/>
                <w:color w:val="auto"/>
              </w:rPr>
            </w:pPr>
          </w:p>
        </w:tc>
      </w:tr>
      <w:tr>
        <w:trPr>
          <w:trHeight w:val="319"/>
        </w:trPr>
        <w:tc>
          <w:tcPr>
            <w:tcW w:w="5760" w:type="dxa"/>
            <w:vAlign w:val="bottom"/>
          </w:tcPr>
          <w:p>
            <w:pPr>
              <w:jc w:val="center"/>
              <w:ind w:right="2730"/>
              <w:spacing w:after="0"/>
              <w:rPr>
                <w:sz w:val="20"/>
                <w:szCs w:val="20"/>
                <w:color w:val="auto"/>
              </w:rPr>
            </w:pPr>
            <w:r>
              <w:rPr>
                <w:rFonts w:ascii="Times New Roman" w:cs="Times New Roman" w:eastAsia="Times New Roman" w:hAnsi="Times New Roman"/>
                <w:sz w:val="18"/>
                <w:szCs w:val="18"/>
                <w:color w:val="auto"/>
                <w:w w:val="99"/>
              </w:rPr>
              <w:t>Ran Ben-Tzur, Esq.</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Annie McGuire Esq.</w:t>
            </w:r>
          </w:p>
        </w:tc>
      </w:tr>
      <w:tr>
        <w:trPr>
          <w:trHeight w:val="216"/>
        </w:trPr>
        <w:tc>
          <w:tcPr>
            <w:tcW w:w="5760" w:type="dxa"/>
            <w:vAlign w:val="bottom"/>
          </w:tcPr>
          <w:p>
            <w:pPr>
              <w:jc w:val="center"/>
              <w:ind w:right="2750"/>
              <w:spacing w:after="0"/>
              <w:rPr>
                <w:sz w:val="20"/>
                <w:szCs w:val="20"/>
                <w:color w:val="auto"/>
              </w:rPr>
            </w:pPr>
            <w:r>
              <w:rPr>
                <w:rFonts w:ascii="Times New Roman" w:cs="Times New Roman" w:eastAsia="Times New Roman" w:hAnsi="Times New Roman"/>
                <w:sz w:val="18"/>
                <w:szCs w:val="18"/>
                <w:color w:val="auto"/>
                <w:w w:val="98"/>
              </w:rPr>
              <w:t>Fenwick &amp; West LLP</w:t>
            </w:r>
          </w:p>
        </w:tc>
        <w:tc>
          <w:tcPr>
            <w:tcW w:w="2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Executive Vice President and</w:t>
            </w:r>
          </w:p>
        </w:tc>
      </w:tr>
      <w:tr>
        <w:trPr>
          <w:trHeight w:val="216"/>
        </w:trPr>
        <w:tc>
          <w:tcPr>
            <w:tcW w:w="5760" w:type="dxa"/>
            <w:vAlign w:val="bottom"/>
          </w:tcPr>
          <w:p>
            <w:pPr>
              <w:jc w:val="center"/>
              <w:ind w:right="2750"/>
              <w:spacing w:after="0"/>
              <w:rPr>
                <w:sz w:val="20"/>
                <w:szCs w:val="20"/>
                <w:color w:val="auto"/>
              </w:rPr>
            </w:pPr>
            <w:r>
              <w:rPr>
                <w:rFonts w:ascii="Times New Roman" w:cs="Times New Roman" w:eastAsia="Times New Roman" w:hAnsi="Times New Roman"/>
                <w:sz w:val="18"/>
                <w:szCs w:val="18"/>
                <w:color w:val="auto"/>
              </w:rPr>
              <w:t>228 Santa Monica Boulevard Suite 300</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34"/>
        </w:trPr>
        <w:tc>
          <w:tcPr>
            <w:tcW w:w="5760" w:type="dxa"/>
            <w:vAlign w:val="bottom"/>
          </w:tcPr>
          <w:p>
            <w:pPr>
              <w:jc w:val="center"/>
              <w:ind w:right="2750"/>
              <w:spacing w:after="0"/>
              <w:rPr>
                <w:sz w:val="20"/>
                <w:szCs w:val="20"/>
                <w:color w:val="auto"/>
              </w:rPr>
            </w:pPr>
            <w:r>
              <w:rPr>
                <w:rFonts w:ascii="Times New Roman" w:cs="Times New Roman" w:eastAsia="Times New Roman" w:hAnsi="Times New Roman"/>
                <w:sz w:val="18"/>
                <w:szCs w:val="18"/>
                <w:color w:val="auto"/>
              </w:rPr>
              <w:t>Santa Monica, California 90401</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Veracyte, Inc.</w:t>
            </w:r>
          </w:p>
        </w:tc>
      </w:tr>
    </w:tbl>
    <w:p>
      <w:pPr>
        <w:jc w:val="center"/>
        <w:ind w:left="5240"/>
        <w:spacing w:after="0"/>
        <w:rPr>
          <w:sz w:val="20"/>
          <w:szCs w:val="20"/>
          <w:color w:val="auto"/>
        </w:rPr>
      </w:pPr>
      <w:r>
        <w:rPr>
          <w:rFonts w:ascii="Times New Roman" w:cs="Times New Roman" w:eastAsia="Times New Roman" w:hAnsi="Times New Roman"/>
          <w:sz w:val="18"/>
          <w:szCs w:val="18"/>
          <w:color w:val="auto"/>
        </w:rPr>
        <w:t>6000 Shoreline Court, Suite 300</w:t>
      </w:r>
    </w:p>
    <w:p>
      <w:pPr>
        <w:spacing w:after="0" w:line="9" w:lineRule="exact"/>
        <w:rPr>
          <w:sz w:val="24"/>
          <w:szCs w:val="24"/>
          <w:color w:val="auto"/>
        </w:rPr>
      </w:pPr>
    </w:p>
    <w:p>
      <w:pPr>
        <w:jc w:val="center"/>
        <w:ind w:left="5240"/>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4"/>
          <w:szCs w:val="24"/>
          <w:color w:val="auto"/>
        </w:rPr>
      </w:pPr>
    </w:p>
    <w:p>
      <w:pPr>
        <w:jc w:val="center"/>
        <w:ind w:left="5240"/>
        <w:spacing w:after="0"/>
        <w:rPr>
          <w:sz w:val="20"/>
          <w:szCs w:val="20"/>
          <w:color w:val="auto"/>
        </w:rPr>
      </w:pPr>
      <w:r>
        <w:rPr>
          <w:rFonts w:ascii="Times New Roman" w:cs="Times New Roman" w:eastAsia="Times New Roman" w:hAnsi="Times New Roman"/>
          <w:sz w:val="18"/>
          <w:szCs w:val="18"/>
          <w:color w:val="auto"/>
        </w:rPr>
        <w:t>(650) 243-6300</w:t>
      </w:r>
    </w:p>
    <w:p>
      <w:pPr>
        <w:spacing w:after="0" w:line="200" w:lineRule="exact"/>
        <w:rPr>
          <w:sz w:val="24"/>
          <w:szCs w:val="24"/>
          <w:color w:val="auto"/>
        </w:rPr>
      </w:pPr>
    </w:p>
    <w:p>
      <w:pPr>
        <w:spacing w:after="0" w:line="290"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6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6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4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1012" w:right="339" w:bottom="1440" w:gutter="0" w:footer="0" w:header="0"/>
        </w:sectPr>
      </w:pPr>
    </w:p>
    <w:bookmarkStart w:id="1" w:name="page2"/>
    <w:bookmarkEnd w:id="1"/>
    <w:p>
      <w:pPr>
        <w:spacing w:after="0" w:line="22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080"/>
          </w:cols>
          <w:pgMar w:left="320" w:top="891" w:right="499" w:bottom="1440" w:gutter="0" w:footer="0" w:header="0"/>
        </w:sectPr>
      </w:pPr>
    </w:p>
    <w:bookmarkStart w:id="2" w:name="page3"/>
    <w:bookmarkEnd w:id="2"/>
    <w:p>
      <w:pPr>
        <w:ind w:left="3800"/>
        <w:spacing w:after="0"/>
        <w:rPr>
          <w:sz w:val="20"/>
          <w:szCs w:val="20"/>
          <w:color w:val="auto"/>
        </w:rPr>
      </w:pPr>
      <w:r>
        <w:rPr>
          <w:rFonts w:ascii="Times New Roman" w:cs="Times New Roman" w:eastAsia="Times New Roman" w:hAnsi="Times New Roman"/>
          <w:sz w:val="18"/>
          <w:szCs w:val="18"/>
          <w:b w:val="1"/>
          <w:bCs w:val="1"/>
          <w:color w:val="auto"/>
        </w:rPr>
        <w:t>REGISTRATION OF ADDITIONAL SHARES</w:t>
      </w:r>
    </w:p>
    <w:p>
      <w:pPr>
        <w:spacing w:after="0" w:line="3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PURSUANT TO GENERAL INSTRUCTION 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Pursuant to General Instruction E of Form S-8, Veracyte, Inc. (“Registrant”) is filing this Registration Statement on Form S-8 with the U.S. Securities and Exchange Commission (the “Commission”) to register 2,878,378 additional shares of the Registrant’s Common Stock for issuance under the Registrant’s 2013 Stock Incentive Plan, as amended (the “2013 Plan”), pursuant to the provisions of the 2013 Plan that provide for an automatic annual increase in the number of shares reserved for issuance under the 2013 Plan. The Registrant’s Registration Statements on Form S-8 filed with the Commission on October 30, 2013 (File No. 333-191992), March 30, 2015 (File No. 333-203097), March 14, 2016 (File No. 333-210185), March 2, 2017 (File No. 333-216388), February 28, 2018 (File No. 333-223292), February 25, 2019 (File No. 333-229848), February 25, 2020 (File No. 333-236630), February 22, 2021 (File No. 333-253363) and March 1, 2022 (File No. 333-263116), excluding reports that the Registrant filed with the Commission that were incorporated into the Form S-8 Registration Statements in order to maintain current information about the Registrant, are hereby incorporated by reference into this Registration Statement pursuant to General Instruction E of Form S-8. In accordance with the instructional note to Part I of Form S-8 as promulgated by the Commission, the information specified by Part I of Form S-8 has been omitted from this Registration Statement.</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Commission are hereby incorporated by reference in this Registration Statement:</w:t>
      </w:r>
    </w:p>
    <w:p>
      <w:pPr>
        <w:spacing w:after="0" w:line="225" w:lineRule="exact"/>
        <w:rPr>
          <w:sz w:val="20"/>
          <w:szCs w:val="20"/>
          <w:color w:val="auto"/>
        </w:rPr>
      </w:pPr>
    </w:p>
    <w:p>
      <w:pPr>
        <w:ind w:left="1040" w:hanging="384"/>
        <w:spacing w:after="0"/>
        <w:tabs>
          <w:tab w:leader="none" w:pos="1040" w:val="left"/>
        </w:tabs>
        <w:numPr>
          <w:ilvl w:val="0"/>
          <w:numId w:val="1"/>
        </w:numPr>
        <w:rPr>
          <w:rFonts w:ascii="Times New Roman" w:cs="Times New Roman" w:eastAsia="Times New Roman" w:hAnsi="Times New Roman"/>
          <w:sz w:val="18"/>
          <w:szCs w:val="18"/>
          <w:u w:val="single" w:color="auto"/>
          <w:color w:val="0000FF"/>
        </w:rPr>
      </w:pPr>
      <w:hyperlink r:id="rId8">
        <w:r>
          <w:rPr>
            <w:rFonts w:ascii="Times New Roman" w:cs="Times New Roman" w:eastAsia="Times New Roman" w:hAnsi="Times New Roman"/>
            <w:sz w:val="18"/>
            <w:szCs w:val="18"/>
            <w:u w:val="single" w:color="auto"/>
            <w:color w:val="0000FF"/>
          </w:rPr>
          <w:t>The Registrant’s Annual Report on Form 10-K for the year ended December 31, 2022, filed with the Commission on February 28, 2023.</w:t>
        </w:r>
      </w:hyperlink>
    </w:p>
    <w:p>
      <w:pPr>
        <w:spacing w:after="0" w:line="184" w:lineRule="exact"/>
        <w:rPr>
          <w:rFonts w:ascii="Times New Roman" w:cs="Times New Roman" w:eastAsia="Times New Roman" w:hAnsi="Times New Roman"/>
          <w:sz w:val="18"/>
          <w:szCs w:val="18"/>
          <w:u w:val="single" w:color="auto"/>
          <w:color w:val="0000FF"/>
        </w:rPr>
      </w:pPr>
    </w:p>
    <w:p>
      <w:pPr>
        <w:jc w:val="both"/>
        <w:ind w:left="980" w:hanging="324"/>
        <w:spacing w:after="0" w:line="266" w:lineRule="auto"/>
        <w:tabs>
          <w:tab w:leader="none" w:pos="104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Securities Exchange Act of 1934, as amended (the "Exchange Act") since the end of the fiscal year covered by the Registrant’s Annual Report referred to in (a) above (other than the portions of these documents not deemed to be filed);</w:t>
      </w:r>
    </w:p>
    <w:p>
      <w:pPr>
        <w:spacing w:after="0" w:line="135" w:lineRule="exact"/>
        <w:rPr>
          <w:rFonts w:ascii="Times New Roman" w:cs="Times New Roman" w:eastAsia="Times New Roman" w:hAnsi="Times New Roman"/>
          <w:sz w:val="18"/>
          <w:szCs w:val="18"/>
          <w:color w:val="auto"/>
        </w:rPr>
      </w:pPr>
    </w:p>
    <w:p>
      <w:pPr>
        <w:jc w:val="both"/>
        <w:ind w:left="980" w:hanging="324"/>
        <w:spacing w:after="0"/>
        <w:tabs>
          <w:tab w:leader="none" w:pos="1062" w:val="left"/>
        </w:tabs>
        <w:numPr>
          <w:ilvl w:val="0"/>
          <w:numId w:val="1"/>
        </w:numPr>
        <w:rPr>
          <w:rFonts w:ascii="Times New Roman" w:cs="Times New Roman" w:eastAsia="Times New Roman" w:hAnsi="Times New Roman"/>
          <w:sz w:val="18"/>
          <w:szCs w:val="18"/>
          <w:u w:val="single" w:color="auto"/>
          <w:color w:val="0000FF"/>
        </w:rPr>
      </w:pPr>
      <w:hyperlink r:id="rId9">
        <w:r>
          <w:rPr>
            <w:rFonts w:ascii="Times New Roman" w:cs="Times New Roman" w:eastAsia="Times New Roman" w:hAnsi="Times New Roman"/>
            <w:sz w:val="18"/>
            <w:szCs w:val="18"/>
            <w:u w:val="single" w:color="auto"/>
            <w:color w:val="0000FF"/>
          </w:rPr>
          <w:t>The description of the Registrant’s Common Stock contained in Registrant’s registration statement on Form 8-A, filed on October 28, 2013</w:t>
        </w:r>
      </w:hyperlink>
      <w:r>
        <w:rPr>
          <w:rFonts w:ascii="Times New Roman" w:cs="Times New Roman" w:eastAsia="Times New Roman" w:hAnsi="Times New Roman"/>
          <w:sz w:val="18"/>
          <w:szCs w:val="18"/>
          <w:u w:val="single" w:color="auto"/>
          <w:color w:val="0000FF"/>
        </w:rPr>
        <w:t xml:space="preserve"> </w:t>
      </w:r>
      <w:hyperlink r:id="rId9">
        <w:r>
          <w:rPr>
            <w:rFonts w:ascii="Times New Roman" w:cs="Times New Roman" w:eastAsia="Times New Roman" w:hAnsi="Times New Roman"/>
            <w:sz w:val="18"/>
            <w:szCs w:val="18"/>
            <w:u w:val="single" w:color="auto"/>
            <w:color w:val="0000FF"/>
          </w:rPr>
          <w:t>pursuant to Section 12(b) of the Securities Exchange Act of 1934, as amended (the “Exchange Act”), including any amendment or report filed</w:t>
        </w:r>
      </w:hyperlink>
      <w:r>
        <w:rPr>
          <w:rFonts w:ascii="Times New Roman" w:cs="Times New Roman" w:eastAsia="Times New Roman" w:hAnsi="Times New Roman"/>
          <w:sz w:val="18"/>
          <w:szCs w:val="18"/>
          <w:u w:val="single" w:color="auto"/>
          <w:color w:val="0000FF"/>
        </w:rPr>
        <w:t xml:space="preserve"> </w:t>
      </w:r>
      <w:hyperlink r:id="rId9">
        <w:r>
          <w:rPr>
            <w:rFonts w:ascii="Times New Roman" w:cs="Times New Roman" w:eastAsia="Times New Roman" w:hAnsi="Times New Roman"/>
            <w:sz w:val="18"/>
            <w:szCs w:val="18"/>
            <w:u w:val="single" w:color="auto"/>
            <w:color w:val="0000FF"/>
          </w:rPr>
          <w:t>for the purpose of updating such description, including Exhibit 4.2 to our Annual Report on Form 10-K for the fiscal year ended December</w:t>
        </w:r>
      </w:hyperlink>
      <w:r>
        <w:rPr>
          <w:rFonts w:ascii="Times New Roman" w:cs="Times New Roman" w:eastAsia="Times New Roman" w:hAnsi="Times New Roman"/>
          <w:sz w:val="18"/>
          <w:szCs w:val="18"/>
          <w:u w:val="single" w:color="auto"/>
          <w:color w:val="0000FF"/>
        </w:rPr>
        <w:t xml:space="preserve"> </w:t>
      </w:r>
      <w:hyperlink r:id="rId9">
        <w:r>
          <w:rPr>
            <w:rFonts w:ascii="Times New Roman" w:cs="Times New Roman" w:eastAsia="Times New Roman" w:hAnsi="Times New Roman"/>
            <w:sz w:val="18"/>
            <w:szCs w:val="18"/>
            <w:u w:val="single" w:color="auto"/>
            <w:color w:val="0000FF"/>
          </w:rPr>
          <w:t>31, 2020, filed with the SEC on February 22, 2021.</w:t>
        </w:r>
      </w:hyperlink>
    </w:p>
    <w:p>
      <w:pPr>
        <w:spacing w:after="0" w:line="225" w:lineRule="exact"/>
        <w:rPr>
          <w:rFonts w:ascii="Times New Roman" w:cs="Times New Roman" w:eastAsia="Times New Roman" w:hAnsi="Times New Roman"/>
          <w:sz w:val="18"/>
          <w:szCs w:val="18"/>
          <w:u w:val="single" w:color="auto"/>
          <w:color w:val="0000FF"/>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addition, 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ectPr>
          <w:pgSz w:w="11900" w:h="16838" w:orient="portrait"/>
          <w:cols w:equalWidth="0" w:num="1">
            <w:col w:w="11240"/>
          </w:cols>
          <w:pgMar w:left="320" w:top="900" w:right="339" w:bottom="1440" w:gutter="0" w:footer="0" w:header="0"/>
        </w:sectPr>
      </w:pPr>
    </w:p>
    <w:bookmarkStart w:id="3" w:name="page4"/>
    <w:bookmarkEnd w:id="3"/>
    <w:p>
      <w:pPr>
        <w:ind w:left="2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8.</w:t>
        <w:tab/>
        <w:t>Exhibits.</w:t>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440" w:type="dxa"/>
            <w:vAlign w:val="bottom"/>
          </w:tcPr>
          <w:p>
            <w:pPr>
              <w:spacing w:after="0"/>
              <w:rPr>
                <w:sz w:val="20"/>
                <w:szCs w:val="20"/>
                <w:color w:val="auto"/>
              </w:rPr>
            </w:pPr>
          </w:p>
        </w:tc>
      </w:tr>
      <w:tr>
        <w:trPr>
          <w:trHeight w:val="27"/>
        </w:trPr>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No.</w:t>
            </w:r>
          </w:p>
        </w:tc>
        <w:tc>
          <w:tcPr>
            <w:tcW w:w="1180" w:type="dxa"/>
            <w:vAlign w:val="bottom"/>
          </w:tcPr>
          <w:p>
            <w:pPr>
              <w:spacing w:after="0"/>
              <w:rPr>
                <w:sz w:val="20"/>
                <w:szCs w:val="20"/>
                <w:color w:val="auto"/>
              </w:rPr>
            </w:pPr>
          </w:p>
        </w:tc>
        <w:tc>
          <w:tcPr>
            <w:tcW w:w="3900" w:type="dxa"/>
            <w:vAlign w:val="bottom"/>
            <w:gridSpan w:val="11"/>
          </w:tcPr>
          <w:p>
            <w:pPr>
              <w:ind w:left="940"/>
              <w:spacing w:after="0"/>
              <w:rPr>
                <w:sz w:val="20"/>
                <w:szCs w:val="20"/>
                <w:color w:val="auto"/>
              </w:rPr>
            </w:pPr>
            <w:r>
              <w:rPr>
                <w:rFonts w:ascii="Times New Roman" w:cs="Times New Roman" w:eastAsia="Times New Roman" w:hAnsi="Times New Roman"/>
                <w:sz w:val="18"/>
                <w:szCs w:val="18"/>
                <w:color w:val="auto"/>
              </w:rPr>
              <w:t>Description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w:t>
            </w:r>
          </w:p>
        </w:tc>
        <w:tc>
          <w:tcPr>
            <w:tcW w:w="1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File No.</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w:t>
            </w: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Filing Date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7"/>
        </w:trPr>
        <w:tc>
          <w:tcPr>
            <w:tcW w:w="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6"/>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39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0">
              <w:r>
                <w:rPr>
                  <w:rFonts w:ascii="Times New Roman" w:cs="Times New Roman" w:eastAsia="Times New Roman" w:hAnsi="Times New Roman"/>
                  <w:sz w:val="18"/>
                  <w:szCs w:val="18"/>
                  <w:color w:val="0000FF"/>
                  <w:w w:val="99"/>
                </w:rPr>
                <w:t>Restated Certificate of Incorporation of the Registrant</w:t>
              </w:r>
            </w:hyperlink>
          </w:p>
        </w:tc>
        <w:tc>
          <w:tcPr>
            <w:tcW w:w="1180" w:type="dxa"/>
            <w:vAlign w:val="bottom"/>
            <w:gridSpan w:val="6"/>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001-36156</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11/8/2013</w:t>
            </w:r>
          </w:p>
        </w:tc>
        <w:tc>
          <w:tcPr>
            <w:tcW w:w="1440" w:type="dxa"/>
            <w:vAlign w:val="bottom"/>
          </w:tcPr>
          <w:p>
            <w:pPr>
              <w:spacing w:after="0"/>
              <w:rPr>
                <w:sz w:val="20"/>
                <w:szCs w:val="20"/>
                <w:color w:val="auto"/>
              </w:rPr>
            </w:pPr>
          </w:p>
        </w:tc>
      </w:tr>
      <w:tr>
        <w:trPr>
          <w:trHeight w:val="27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5080" w:type="dxa"/>
            <w:vAlign w:val="bottom"/>
            <w:gridSpan w:val="12"/>
          </w:tcPr>
          <w:p>
            <w:pPr>
              <w:spacing w:after="0"/>
              <w:rPr>
                <w:rFonts w:ascii="Times New Roman" w:cs="Times New Roman" w:eastAsia="Times New Roman" w:hAnsi="Times New Roman"/>
                <w:sz w:val="18"/>
                <w:szCs w:val="18"/>
                <w:color w:val="0000FF"/>
              </w:rPr>
            </w:pPr>
            <w:hyperlink r:id="rId11">
              <w:r>
                <w:rPr>
                  <w:rFonts w:ascii="Times New Roman" w:cs="Times New Roman" w:eastAsia="Times New Roman" w:hAnsi="Times New Roman"/>
                  <w:sz w:val="18"/>
                  <w:szCs w:val="18"/>
                  <w:color w:val="0000FF"/>
                </w:rPr>
                <w:t>Amended and Restated Bylaws of the Registrant</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001-36156</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2/10/2023</w:t>
            </w:r>
          </w:p>
        </w:tc>
        <w:tc>
          <w:tcPr>
            <w:tcW w:w="1440" w:type="dxa"/>
            <w:vAlign w:val="bottom"/>
          </w:tcPr>
          <w:p>
            <w:pPr>
              <w:spacing w:after="0"/>
              <w:rPr>
                <w:sz w:val="24"/>
                <w:szCs w:val="24"/>
                <w:color w:val="auto"/>
              </w:rPr>
            </w:pPr>
          </w:p>
        </w:tc>
      </w:tr>
      <w:tr>
        <w:trPr>
          <w:trHeight w:val="29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3500" w:type="dxa"/>
            <w:vAlign w:val="bottom"/>
            <w:tcBorders>
              <w:top w:val="single" w:sz="8" w:color="0000FF"/>
            </w:tcBorders>
            <w:gridSpan w:val="5"/>
          </w:tcPr>
          <w:p>
            <w:pPr>
              <w:spacing w:after="0"/>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0000FF"/>
                </w:rPr>
                <w:t>Form of Common Stock Certificate</w:t>
              </w:r>
            </w:hyperlink>
          </w:p>
        </w:tc>
        <w:tc>
          <w:tcPr>
            <w:tcW w:w="1580" w:type="dxa"/>
            <w:vAlign w:val="bottom"/>
            <w:gridSpan w:val="7"/>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333-191282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10/15/2013</w:t>
            </w:r>
          </w:p>
        </w:tc>
        <w:tc>
          <w:tcPr>
            <w:tcW w:w="1440" w:type="dxa"/>
            <w:vAlign w:val="bottom"/>
          </w:tcPr>
          <w:p>
            <w:pPr>
              <w:spacing w:after="0"/>
              <w:rPr>
                <w:sz w:val="24"/>
                <w:szCs w:val="24"/>
                <w:color w:val="auto"/>
              </w:rPr>
            </w:pPr>
          </w:p>
        </w:tc>
      </w:tr>
      <w:tr>
        <w:trPr>
          <w:trHeight w:val="31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25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Opinion of Fenwick &amp; West LLP</w:t>
            </w:r>
          </w:p>
        </w:tc>
        <w:tc>
          <w:tcPr>
            <w:tcW w:w="2520" w:type="dxa"/>
            <w:vAlign w:val="bottom"/>
            <w:gridSpan w:val="9"/>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98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7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5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5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43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Consent of Fenwick &amp; West LLP (included in Exhibit 5.1).</w:t>
            </w:r>
          </w:p>
        </w:tc>
        <w:tc>
          <w:tcPr>
            <w:tcW w:w="760" w:type="dxa"/>
            <w:vAlign w:val="bottom"/>
            <w:gridSpan w:val="3"/>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5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42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Power of Attorney (contained on signature page hereto).</w:t>
            </w:r>
          </w:p>
        </w:tc>
        <w:tc>
          <w:tcPr>
            <w:tcW w:w="820" w:type="dxa"/>
            <w:vAlign w:val="bottom"/>
            <w:gridSpan w:val="4"/>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98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5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47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3">
              <w:r>
                <w:rPr>
                  <w:rFonts w:ascii="Times New Roman" w:cs="Times New Roman" w:eastAsia="Times New Roman" w:hAnsi="Times New Roman"/>
                  <w:sz w:val="18"/>
                  <w:szCs w:val="18"/>
                  <w:color w:val="0000FF"/>
                  <w:w w:val="99"/>
                </w:rPr>
                <w:t>2013 Stock Incentive Plan, as amended, and forms of stock option</w:t>
              </w:r>
            </w:hyperlink>
          </w:p>
        </w:tc>
        <w:tc>
          <w:tcPr>
            <w:tcW w:w="300" w:type="dxa"/>
            <w:vAlign w:val="bottom"/>
            <w:gridSpan w:val="2"/>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001-36156</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2/27/2018</w:t>
            </w:r>
          </w:p>
        </w:tc>
        <w:tc>
          <w:tcPr>
            <w:tcW w:w="1440" w:type="dxa"/>
            <w:vAlign w:val="bottom"/>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5080" w:type="dxa"/>
            <w:vAlign w:val="bottom"/>
            <w:gridSpan w:val="12"/>
          </w:tcPr>
          <w:p>
            <w:pPr>
              <w:spacing w:after="0" w:line="196"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award agreement, stock option exercise agreement, restricted stock</w:t>
              </w:r>
            </w:hyperlink>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82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agreement and restricted stock unit agreement.</w:t>
              </w:r>
            </w:hyperlink>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107.1</w:t>
            </w:r>
          </w:p>
        </w:tc>
        <w:tc>
          <w:tcPr>
            <w:tcW w:w="33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Filing Fee Table</w:t>
            </w:r>
          </w:p>
        </w:tc>
        <w:tc>
          <w:tcPr>
            <w:tcW w:w="1720" w:type="dxa"/>
            <w:vAlign w:val="bottom"/>
            <w:gridSpan w:val="8"/>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98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9.</w:t>
        <w:tab/>
        <w:t>Undertakings.</w:t>
      </w:r>
    </w:p>
    <w:p>
      <w:pPr>
        <w:spacing w:after="0" w:line="2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ind w:left="700" w:hanging="260"/>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225" w:lineRule="exact"/>
        <w:rPr>
          <w:sz w:val="20"/>
          <w:szCs w:val="20"/>
          <w:color w:val="auto"/>
        </w:rPr>
      </w:pPr>
    </w:p>
    <w:p>
      <w:pPr>
        <w:jc w:val="both"/>
        <w:ind w:firstLine="440"/>
        <w:spacing w:after="0" w:line="256" w:lineRule="auto"/>
        <w:tabs>
          <w:tab w:leader="none" w:pos="7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7" w:lineRule="exact"/>
        <w:rPr>
          <w:rFonts w:ascii="Times New Roman" w:cs="Times New Roman" w:eastAsia="Times New Roman" w:hAnsi="Times New Roman"/>
          <w:sz w:val="18"/>
          <w:szCs w:val="18"/>
          <w:color w:val="auto"/>
        </w:rPr>
      </w:pPr>
    </w:p>
    <w:p>
      <w:pPr>
        <w:ind w:firstLine="440"/>
        <w:spacing w:after="0" w:line="282" w:lineRule="auto"/>
        <w:tabs>
          <w:tab w:leader="none" w:pos="7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provided, however, that paragraphs (a)(1)(i) and (a)(1)(ii) of this section shall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76" w:lineRule="exact"/>
        <w:rPr>
          <w:sz w:val="20"/>
          <w:szCs w:val="20"/>
          <w:color w:val="auto"/>
        </w:rPr>
      </w:pPr>
    </w:p>
    <w:p>
      <w:pPr>
        <w:jc w:val="both"/>
        <w:ind w:firstLine="440"/>
        <w:spacing w:after="0" w:line="266" w:lineRule="auto"/>
        <w:tabs>
          <w:tab w:leader="none" w:pos="70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240"/>
          </w:cols>
          <w:pgMar w:left="320" w:top="941" w:right="339" w:bottom="1440" w:gutter="0" w:footer="0" w:header="0"/>
        </w:sectPr>
      </w:pPr>
    </w:p>
    <w:bookmarkStart w:id="4" w:name="page5"/>
    <w:bookmarkEnd w:id="4"/>
    <w:p>
      <w:pPr>
        <w:ind w:left="-440" w:firstLine="440"/>
        <w:spacing w:after="0" w:line="282" w:lineRule="auto"/>
        <w:tabs>
          <w:tab w:leader="none" w:pos="2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both"/>
        <w:ind w:left="-440" w:firstLine="440"/>
        <w:spacing w:after="0" w:line="258" w:lineRule="auto"/>
        <w:tabs>
          <w:tab w:leader="none" w:pos="28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left="-440" w:firstLine="440"/>
        <w:spacing w:after="0" w:line="255"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800"/>
          </w:cols>
          <w:pgMar w:left="760" w:top="1107"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the 28th day of February, 2023.</w:t>
      </w:r>
    </w:p>
    <w:p>
      <w:pPr>
        <w:spacing w:after="0" w:line="13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VERACYTE, INC.</w:t>
      </w:r>
    </w:p>
    <w:p>
      <w:pPr>
        <w:spacing w:after="0" w:line="63" w:lineRule="exact"/>
        <w:rPr>
          <w:sz w:val="20"/>
          <w:szCs w:val="20"/>
          <w:color w:val="auto"/>
        </w:rPr>
      </w:pPr>
    </w:p>
    <w:p>
      <w:pPr>
        <w:ind w:left="5260"/>
        <w:spacing w:after="0"/>
        <w:tabs>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34290</wp:posOffset>
            </wp:positionV>
            <wp:extent cx="2708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9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Marc Stapley</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7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Marc Stapley and Rebecca Chambers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on Form S-8,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his or her substitute or substitutes may lawfully do or cause to be done by virtue hereof.</w:t>
      </w:r>
    </w:p>
    <w:p>
      <w:pPr>
        <w:spacing w:after="0" w:line="21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MARC STAPLEY</w:t>
            </w:r>
          </w:p>
        </w:tc>
        <w:tc>
          <w:tcPr>
            <w:tcW w:w="49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9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28, 2023</w:t>
            </w:r>
          </w:p>
        </w:tc>
        <w:tc>
          <w:tcPr>
            <w:tcW w:w="0" w:type="dxa"/>
            <w:vAlign w:val="bottom"/>
          </w:tcPr>
          <w:p>
            <w:pPr>
              <w:spacing w:after="0"/>
              <w:rPr>
                <w:sz w:val="1"/>
                <w:szCs w:val="1"/>
                <w:color w:val="auto"/>
              </w:rPr>
            </w:pPr>
          </w:p>
        </w:tc>
      </w:tr>
      <w:tr>
        <w:trPr>
          <w:trHeight w:val="45"/>
        </w:trPr>
        <w:tc>
          <w:tcPr>
            <w:tcW w:w="14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9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 Stapley</w:t>
            </w:r>
          </w:p>
        </w:tc>
        <w:tc>
          <w:tcPr>
            <w:tcW w:w="498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0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REBECCA CHAMBERS</w:t>
            </w:r>
          </w:p>
        </w:tc>
        <w:tc>
          <w:tcPr>
            <w:tcW w:w="49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9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28, 2023</w:t>
            </w:r>
          </w:p>
        </w:tc>
        <w:tc>
          <w:tcPr>
            <w:tcW w:w="0" w:type="dxa"/>
            <w:vAlign w:val="bottom"/>
          </w:tcPr>
          <w:p>
            <w:pPr>
              <w:spacing w:after="0"/>
              <w:rPr>
                <w:sz w:val="1"/>
                <w:szCs w:val="1"/>
                <w:color w:val="auto"/>
              </w:rPr>
            </w:pPr>
          </w:p>
        </w:tc>
      </w:tr>
      <w:tr>
        <w:trPr>
          <w:trHeight w:val="45"/>
        </w:trPr>
        <w:tc>
          <w:tcPr>
            <w:tcW w:w="14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9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Rebecca Chambers</w:t>
            </w:r>
          </w:p>
        </w:tc>
        <w:tc>
          <w:tcPr>
            <w:tcW w:w="498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0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JONATHAN WYGANT</w:t>
            </w:r>
          </w:p>
        </w:tc>
        <w:tc>
          <w:tcPr>
            <w:tcW w:w="49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c>
          <w:tcPr>
            <w:tcW w:w="19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28, 2023</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Jonathan Wygant</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JOHN L. BISHOP</w:t>
            </w:r>
          </w:p>
        </w:tc>
        <w:tc>
          <w:tcPr>
            <w:tcW w:w="49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9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28, 2023</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John L. Bishop</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BONNIE H. ANDERSON</w:t>
            </w:r>
          </w:p>
        </w:tc>
        <w:tc>
          <w:tcPr>
            <w:tcW w:w="49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28, 2023</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Bonnie H. Anderson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ELIAV BARR, M.D.</w:t>
            </w:r>
          </w:p>
        </w:tc>
        <w:tc>
          <w:tcPr>
            <w:tcW w:w="49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28, 2023</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Eliav Barr, M.D.</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MUNA BHANJI</w:t>
            </w:r>
          </w:p>
        </w:tc>
        <w:tc>
          <w:tcPr>
            <w:tcW w:w="49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28, 2023</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Muna Bhanji</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KARIN EASTHAM</w:t>
            </w:r>
          </w:p>
        </w:tc>
        <w:tc>
          <w:tcPr>
            <w:tcW w:w="49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28, 2023</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Karin Eastham</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ROBERT S. EPSTEIN</w:t>
            </w:r>
          </w:p>
        </w:tc>
        <w:tc>
          <w:tcPr>
            <w:tcW w:w="49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28, 2023</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Robert S. Epstein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 JENS HOLSTEIN</w:t>
            </w:r>
          </w:p>
        </w:tc>
        <w:tc>
          <w:tcPr>
            <w:tcW w:w="49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28, 2023</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Jens Holstein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EVAN JONES</w:t>
            </w:r>
          </w:p>
        </w:tc>
        <w:tc>
          <w:tcPr>
            <w:tcW w:w="49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28, 2023</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Evan Jones</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320" w:top="932" w:right="9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color w:val="auto"/>
        </w:rPr>
        <w:t>EXHIBIT 107.1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Calculation Of Filing Fee Tables</w:t>
      </w:r>
    </w:p>
    <w:p>
      <w:pPr>
        <w:spacing w:after="0" w:line="23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Form S-8</w:t>
      </w:r>
    </w:p>
    <w:p>
      <w:pPr>
        <w:spacing w:after="0" w:line="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(Form Type)</w:t>
      </w:r>
    </w:p>
    <w:p>
      <w:pPr>
        <w:spacing w:after="0" w:line="21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Veracyte, Inc.</w:t>
      </w:r>
    </w:p>
    <w:p>
      <w:pPr>
        <w:spacing w:after="0" w:line="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Newly Registered Securities</w:t>
      </w:r>
    </w:p>
    <w:p>
      <w:pPr>
        <w:spacing w:after="0" w:line="277" w:lineRule="exact"/>
        <w:rPr>
          <w:sz w:val="20"/>
          <w:szCs w:val="20"/>
          <w:color w:val="auto"/>
        </w:rPr>
      </w:pPr>
    </w:p>
    <w:tbl>
      <w:tblPr>
        <w:tblLayout w:type="fixed"/>
        <w:tblInd w:w="370" w:type="dxa"/>
        <w:tblCellMar>
          <w:top w:w="0" w:type="dxa"/>
          <w:left w:w="0" w:type="dxa"/>
          <w:bottom w:w="0" w:type="dxa"/>
          <w:right w:w="0" w:type="dxa"/>
        </w:tblCellMar>
      </w:tblPr>
      <w:tr>
        <w:trPr>
          <w:trHeight w:val="149"/>
        </w:trPr>
        <w:tc>
          <w:tcPr>
            <w:tcW w:w="1100" w:type="dxa"/>
            <w:vAlign w:val="bottom"/>
            <w:tcBorders>
              <w:top w:val="single" w:sz="8" w:color="auto"/>
              <w:left w:val="single" w:sz="8" w:color="auto"/>
            </w:tcBorders>
          </w:tcPr>
          <w:p>
            <w:pPr>
              <w:spacing w:after="0"/>
              <w:rPr>
                <w:sz w:val="12"/>
                <w:szCs w:val="12"/>
                <w:color w:val="auto"/>
              </w:rPr>
            </w:pPr>
          </w:p>
        </w:tc>
        <w:tc>
          <w:tcPr>
            <w:tcW w:w="140" w:type="dxa"/>
            <w:vAlign w:val="bottom"/>
            <w:tcBorders>
              <w:top w:val="single" w:sz="8" w:color="auto"/>
              <w:right w:val="single" w:sz="8" w:color="auto"/>
            </w:tcBorders>
          </w:tcPr>
          <w:p>
            <w:pPr>
              <w:spacing w:after="0"/>
              <w:rPr>
                <w:sz w:val="12"/>
                <w:szCs w:val="12"/>
                <w:color w:val="auto"/>
              </w:rPr>
            </w:pPr>
          </w:p>
        </w:tc>
        <w:tc>
          <w:tcPr>
            <w:tcW w:w="142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 Calculation</w:t>
            </w:r>
          </w:p>
        </w:tc>
        <w:tc>
          <w:tcPr>
            <w:tcW w:w="1460" w:type="dxa"/>
            <w:vAlign w:val="bottom"/>
            <w:tcBorders>
              <w:top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Proposed</w:t>
            </w: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Maximum Aggregate</w:t>
            </w:r>
          </w:p>
        </w:tc>
        <w:tc>
          <w:tcPr>
            <w:tcW w:w="960" w:type="dxa"/>
            <w:vAlign w:val="bottom"/>
            <w:tcBorders>
              <w:top w:val="single" w:sz="8" w:color="auto"/>
              <w:right w:val="single" w:sz="8" w:color="auto"/>
            </w:tcBorders>
          </w:tcPr>
          <w:p>
            <w:pPr>
              <w:spacing w:after="0"/>
              <w:rPr>
                <w:sz w:val="12"/>
                <w:szCs w:val="12"/>
                <w:color w:val="auto"/>
              </w:rPr>
            </w:pP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Security Type</w:t>
            </w:r>
          </w:p>
        </w:tc>
        <w:tc>
          <w:tcPr>
            <w:tcW w:w="14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 Class Title</w:t>
            </w:r>
          </w:p>
        </w:tc>
        <w:tc>
          <w:tcPr>
            <w:tcW w:w="114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Registered(1)</w:t>
            </w:r>
          </w:p>
        </w:tc>
        <w:tc>
          <w:tcPr>
            <w:tcW w:w="1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Maximum Offering</w:t>
            </w:r>
          </w:p>
        </w:tc>
        <w:tc>
          <w:tcPr>
            <w:tcW w:w="150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 Rate</w:t>
            </w:r>
          </w:p>
        </w:tc>
        <w:tc>
          <w:tcPr>
            <w:tcW w:w="13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tcBorders>
            <w:vMerge w:val="continue"/>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vMerge w:val="continue"/>
          </w:tcPr>
          <w:p>
            <w:pPr>
              <w:spacing w:after="0"/>
              <w:rPr>
                <w:sz w:val="17"/>
                <w:szCs w:val="17"/>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Rule</w:t>
            </w:r>
          </w:p>
        </w:tc>
        <w:tc>
          <w:tcPr>
            <w:tcW w:w="1460" w:type="dxa"/>
            <w:vAlign w:val="bottom"/>
            <w:tcBorders>
              <w:bottom w:val="single" w:sz="8" w:color="auto"/>
              <w:right w:val="single" w:sz="8" w:color="auto"/>
            </w:tcBorders>
            <w:vMerge w:val="continue"/>
          </w:tcPr>
          <w:p>
            <w:pPr>
              <w:spacing w:after="0"/>
              <w:rPr>
                <w:sz w:val="17"/>
                <w:szCs w:val="17"/>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Price Per Unit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Offering Price</w:t>
            </w:r>
          </w:p>
        </w:tc>
        <w:tc>
          <w:tcPr>
            <w:tcW w:w="960" w:type="dxa"/>
            <w:vAlign w:val="bottom"/>
            <w:tcBorders>
              <w:bottom w:val="single" w:sz="8" w:color="auto"/>
              <w:right w:val="single" w:sz="8" w:color="auto"/>
            </w:tcBorders>
            <w:vMerge w:val="continue"/>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Registration Fee</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tcBorders>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Equity</w:t>
            </w:r>
          </w:p>
        </w:tc>
        <w:tc>
          <w:tcPr>
            <w:tcW w:w="14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Common stock, par</w:t>
            </w:r>
          </w:p>
        </w:tc>
        <w:tc>
          <w:tcPr>
            <w:tcW w:w="11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Rule 457(c) and</w:t>
            </w:r>
          </w:p>
        </w:tc>
        <w:tc>
          <w:tcPr>
            <w:tcW w:w="146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2,878,378 (2)</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$23.4275 (3)</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$67,433,200.60</w:t>
            </w:r>
          </w:p>
        </w:tc>
        <w:tc>
          <w:tcPr>
            <w:tcW w:w="960" w:type="dxa"/>
            <w:vAlign w:val="bottom"/>
            <w:tcBorders>
              <w:right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0.0001102</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$7,431.14</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tcBorders>
            <w:vMerge w:val="continue"/>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value $0.001 per share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Rule 457(h)</w:t>
            </w:r>
          </w:p>
        </w:tc>
        <w:tc>
          <w:tcPr>
            <w:tcW w:w="1460" w:type="dxa"/>
            <w:vAlign w:val="bottom"/>
            <w:tcBorders>
              <w:bottom w:val="single" w:sz="8" w:color="auto"/>
              <w:right w:val="single" w:sz="8" w:color="auto"/>
            </w:tcBorders>
            <w:vMerge w:val="continue"/>
          </w:tcPr>
          <w:p>
            <w:pPr>
              <w:spacing w:after="0"/>
              <w:rPr>
                <w:sz w:val="17"/>
                <w:szCs w:val="17"/>
                <w:color w:val="auto"/>
              </w:rPr>
            </w:pPr>
          </w:p>
        </w:tc>
        <w:tc>
          <w:tcPr>
            <w:tcW w:w="1200" w:type="dxa"/>
            <w:vAlign w:val="bottom"/>
            <w:tcBorders>
              <w:bottom w:val="single" w:sz="8" w:color="auto"/>
              <w:right w:val="single" w:sz="8" w:color="auto"/>
            </w:tcBorders>
            <w:vMerge w:val="continue"/>
          </w:tcPr>
          <w:p>
            <w:pPr>
              <w:spacing w:after="0"/>
              <w:rPr>
                <w:sz w:val="17"/>
                <w:szCs w:val="17"/>
                <w:color w:val="auto"/>
              </w:rPr>
            </w:pPr>
          </w:p>
        </w:tc>
        <w:tc>
          <w:tcPr>
            <w:tcW w:w="1500" w:type="dxa"/>
            <w:vAlign w:val="bottom"/>
            <w:tcBorders>
              <w:bottom w:val="single" w:sz="8" w:color="auto"/>
              <w:right w:val="single" w:sz="8" w:color="auto"/>
            </w:tcBorders>
            <w:vMerge w:val="continue"/>
          </w:tcPr>
          <w:p>
            <w:pPr>
              <w:spacing w:after="0"/>
              <w:rPr>
                <w:sz w:val="17"/>
                <w:szCs w:val="17"/>
                <w:color w:val="auto"/>
              </w:rPr>
            </w:pPr>
          </w:p>
        </w:tc>
        <w:tc>
          <w:tcPr>
            <w:tcW w:w="960" w:type="dxa"/>
            <w:vAlign w:val="bottom"/>
            <w:tcBorders>
              <w:bottom w:val="single" w:sz="8" w:color="auto"/>
              <w:right w:val="single" w:sz="8" w:color="auto"/>
            </w:tcBorders>
            <w:vMerge w:val="continue"/>
          </w:tcPr>
          <w:p>
            <w:pPr>
              <w:spacing w:after="0"/>
              <w:rPr>
                <w:sz w:val="17"/>
                <w:szCs w:val="17"/>
                <w:color w:val="auto"/>
              </w:rPr>
            </w:pPr>
          </w:p>
        </w:tc>
        <w:tc>
          <w:tcPr>
            <w:tcW w:w="136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Total Offering Amounts</w:t>
            </w:r>
          </w:p>
        </w:tc>
        <w:tc>
          <w:tcPr>
            <w:tcW w:w="114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$7,431.14</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Total Fee Offsets(4)</w:t>
            </w:r>
          </w:p>
        </w:tc>
        <w:tc>
          <w:tcPr>
            <w:tcW w:w="114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Net Fee Due</w:t>
            </w:r>
          </w:p>
        </w:tc>
        <w:tc>
          <w:tcPr>
            <w:tcW w:w="114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$7,431.14</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420" w:right="140" w:hanging="419"/>
        <w:spacing w:after="0" w:line="241" w:lineRule="auto"/>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416(a) of the Securities Act of 1933, as amended (the “Securities Act”), this registration statement also covers any additional securities that may be offered or become issuable under the Registrant's 2013 Stock Incentive Plan, as amended (the “2013 Plan”) in connection with any stock split, stock dividend, recapitalization or any other similar transaction effected without receipt of consideration, which results in an increase in the number of the Registrant’s outstanding shares of Common Stock.</w:t>
      </w:r>
    </w:p>
    <w:p>
      <w:pPr>
        <w:spacing w:after="0" w:line="1" w:lineRule="exact"/>
        <w:rPr>
          <w:rFonts w:ascii="Times New Roman" w:cs="Times New Roman" w:eastAsia="Times New Roman" w:hAnsi="Times New Roman"/>
          <w:sz w:val="14"/>
          <w:szCs w:val="14"/>
          <w:color w:val="auto"/>
        </w:rPr>
      </w:pPr>
    </w:p>
    <w:p>
      <w:pPr>
        <w:ind w:left="420" w:right="140" w:hanging="419"/>
        <w:spacing w:after="0" w:line="251" w:lineRule="auto"/>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additional shares of the Registrant’s common stock reserved for issuance under the 2013 Plan, pursuant to its provisions providing for an automatic annual increase in the number of shares reserved for issuance under the 2013 Plan.</w:t>
      </w:r>
    </w:p>
    <w:p>
      <w:pPr>
        <w:ind w:left="420" w:right="140" w:hanging="419"/>
        <w:spacing w:after="0" w:line="251" w:lineRule="auto"/>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 accordance with Rules 457(c) and 457(h) under the Securities Act, solely for the purposes of calculating the registration fee, based on the average of the high and low prices of the Registrant’s Common Stock as reported on The Nasdaq Global Market on February 22, 2023.</w:t>
      </w:r>
    </w:p>
    <w:p>
      <w:pPr>
        <w:ind w:left="420" w:hanging="419"/>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does not have any fee offsets.</w:t>
      </w:r>
    </w:p>
    <w:p>
      <w:pPr>
        <w:spacing w:after="0" w:line="267"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____________________</w:t>
      </w:r>
    </w:p>
    <w:p>
      <w:pPr>
        <w:sectPr>
          <w:pgSz w:w="11900" w:h="16838" w:orient="portrait"/>
          <w:cols w:equalWidth="0" w:num="1">
            <w:col w:w="11100"/>
          </w:cols>
          <w:pgMar w:left="460" w:top="126"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5340350" cy="368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extLst>
                    </a:blip>
                    <a:srcRect/>
                    <a:stretch>
                      <a:fillRect/>
                    </a:stretch>
                  </pic:blipFill>
                  <pic:spPr bwMode="auto">
                    <a:xfrm>
                      <a:off x="0" y="0"/>
                      <a:ext cx="534035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28, 2023</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 Shoreline Court, Suite 300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San Francisco, California 94080</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Registration Statement on Form S-8</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As counsel to Veracyte,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we have examined the Registration Statement on Form S-8 (the “</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to be filed by the Company with the Securities and Exchange Commission (the “</w:t>
      </w:r>
      <w:r>
        <w:rPr>
          <w:rFonts w:ascii="Times New Roman" w:cs="Times New Roman" w:eastAsia="Times New Roman" w:hAnsi="Times New Roman"/>
          <w:sz w:val="22"/>
          <w:szCs w:val="22"/>
          <w:b w:val="1"/>
          <w:bCs w:val="1"/>
          <w:i w:val="1"/>
          <w:iCs w:val="1"/>
          <w:color w:val="auto"/>
        </w:rPr>
        <w:t>Commission</w:t>
      </w:r>
      <w:r>
        <w:rPr>
          <w:rFonts w:ascii="Times New Roman" w:cs="Times New Roman" w:eastAsia="Times New Roman" w:hAnsi="Times New Roman"/>
          <w:sz w:val="22"/>
          <w:szCs w:val="22"/>
          <w:color w:val="auto"/>
        </w:rPr>
        <w:t>”) on or about February 28, 2023 in connection with the registration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of an aggregate of 2,878,378 shares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of the Company’s Common Stock, $0.001 par value per share (the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subject to issuance by the Company upon the exercise or settlement of awards granted or to be granted under the Company’s 2013 Stock Incentive Plan, as amended (the “</w:t>
      </w:r>
      <w:r>
        <w:rPr>
          <w:rFonts w:ascii="Times New Roman" w:cs="Times New Roman" w:eastAsia="Times New Roman" w:hAnsi="Times New Roman"/>
          <w:sz w:val="22"/>
          <w:szCs w:val="22"/>
          <w:b w:val="1"/>
          <w:bCs w:val="1"/>
          <w:i w:val="1"/>
          <w:iCs w:val="1"/>
          <w:color w:val="auto"/>
        </w:rPr>
        <w:t>2013 Plan</w:t>
      </w:r>
      <w:r>
        <w:rPr>
          <w:rFonts w:ascii="Times New Roman" w:cs="Times New Roman" w:eastAsia="Times New Roman" w:hAnsi="Times New Roman"/>
          <w:sz w:val="22"/>
          <w:szCs w:val="22"/>
          <w:color w:val="auto"/>
        </w:rPr>
        <w:t>”).</w:t>
      </w:r>
    </w:p>
    <w:p>
      <w:pPr>
        <w:spacing w:after="0" w:line="12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As to matters of fact relevant to the opinions rendered herein, we have examined such documents, certificates and other instruments which we have deemed necessary or advisable, including a certificate addressed to us and dated the date hereof executed by the Company (the “</w:t>
      </w:r>
      <w:r>
        <w:rPr>
          <w:rFonts w:ascii="Times New Roman" w:cs="Times New Roman" w:eastAsia="Times New Roman" w:hAnsi="Times New Roman"/>
          <w:sz w:val="22"/>
          <w:szCs w:val="22"/>
          <w:b w:val="1"/>
          <w:bCs w:val="1"/>
          <w:i w:val="1"/>
          <w:iCs w:val="1"/>
          <w:color w:val="auto"/>
        </w:rPr>
        <w:t>Opinion Certificate</w:t>
      </w:r>
      <w:r>
        <w:rPr>
          <w:rFonts w:ascii="Times New Roman" w:cs="Times New Roman" w:eastAsia="Times New Roman" w:hAnsi="Times New Roman"/>
          <w:sz w:val="22"/>
          <w:szCs w:val="22"/>
          <w:color w:val="auto"/>
        </w:rPr>
        <w:t>”).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 set forth below. We have not considered parol evidence in connection with any of the agreements or instruments reviewed by us in connection with this letter.</w:t>
      </w:r>
    </w:p>
    <w:p>
      <w:pPr>
        <w:spacing w:after="0" w:line="12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Times New Roman" w:cs="Times New Roman" w:eastAsia="Times New Roman" w:hAnsi="Times New Roman"/>
          <w:sz w:val="22"/>
          <w:szCs w:val="22"/>
          <w:b w:val="1"/>
          <w:bCs w:val="1"/>
          <w:i w:val="1"/>
          <w:iCs w:val="1"/>
          <w:color w:val="auto"/>
        </w:rPr>
        <w:t>EDGAR</w:t>
      </w:r>
      <w:r>
        <w:rPr>
          <w:rFonts w:ascii="Times New Roman" w:cs="Times New Roman" w:eastAsia="Times New Roman" w:hAnsi="Times New Roman"/>
          <w:sz w:val="22"/>
          <w:szCs w:val="22"/>
          <w:color w:val="auto"/>
        </w:rPr>
        <w:t>”), except for required EDGAR formatting changes, to physical copies submitted for our examination.</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opinions in this letter are limited to the existing General Corporation Law of the State of Delaware now in effect. We express no opinion with respect to any other laws.</w:t>
      </w:r>
    </w:p>
    <w:p>
      <w:pPr>
        <w:sectPr>
          <w:pgSz w:w="11900" w:h="16838" w:orient="portrait"/>
          <w:cols w:equalWidth="0" w:num="1">
            <w:col w:w="11240"/>
          </w:cols>
          <w:pgMar w:left="320" w:top="115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February 28, 2023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9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Based upon, and subject to, the foregoing, it is our opinion that the Shares, when issued and sold by the Company in accordance with the terms (including, without limitation, payment and authorization provisions) of the 2013 Plan and the applicable form of award agreement thereunder, against the Company’s receipt of payment therefor (in an amount and type of consideration not less than the par value per Share), and duly registered on the books of the transfer agent and registrar for the Shares in the name or on behalf of the holders thereof, will be validly issued, fully paid and non-assessable.</w:t>
      </w:r>
    </w:p>
    <w:p>
      <w:pPr>
        <w:spacing w:after="0" w:line="12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We consent to the use of this opinion as an exhibit to the Registration Statement and further consent to all references to us, if any, in the Registration Statement, the prospectuses constituting a part thereof and any amendments thereto. We do not thereby admit that we are within the category of persons whose consent is required under Section 7 of the Securities Act or the rules and regulations of the Commission thereunder.</w:t>
      </w:r>
    </w:p>
    <w:p>
      <w:pPr>
        <w:spacing w:after="0" w:line="12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This opinion is intended solely for your use in connection with the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1492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5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FENWICK &amp; WEST LLP</w:t>
      </w:r>
    </w:p>
    <w:p>
      <w:pPr>
        <w:sectPr>
          <w:pgSz w:w="11900" w:h="16838" w:orient="portrait"/>
          <w:cols w:equalWidth="0" w:num="1">
            <w:col w:w="11240"/>
          </w:cols>
          <w:pgMar w:left="320" w:top="126"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0" w:lineRule="exact"/>
        <w:rPr>
          <w:sz w:val="20"/>
          <w:szCs w:val="20"/>
          <w:color w:val="auto"/>
        </w:rPr>
      </w:pPr>
    </w:p>
    <w:p>
      <w:pPr>
        <w:spacing w:after="0" w:line="219"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2013 Stock Incentive Plan of Veracyte, Inc. of our reports dated February 28, 2023, with respect to the consolidated financial statements of Veracyte, Inc. and the effectiveness of internal control over financial reporting of Veracyte, Inc. included in its Annual Report (Form 10-K) for the year ended December 31, 2022, filed with the Securities and Exchange Commission.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Roman"/>
      <w:start w:val="2"/>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4" Type="http://schemas.openxmlformats.org/officeDocument/2006/relationships/image" Target="media/image1.png"/><Relationship Id="rId15" Type="http://schemas.openxmlformats.org/officeDocument/2006/relationships/image" Target="media/image2.jpeg"/><Relationship Id="rId16" Type="http://schemas.openxmlformats.org/officeDocument/2006/relationships/image" Target="media/image3.png"/><Relationship Id="rId8" Type="http://schemas.openxmlformats.org/officeDocument/2006/relationships/hyperlink" Target="https://www.sec.gov/Archives/edgar/data/1384101/000138410123000016/vcyt-20221231.htm" TargetMode="External"/><Relationship Id="rId9" Type="http://schemas.openxmlformats.org/officeDocument/2006/relationships/hyperlink" Target="https://www.sec.gov/Archives/edgar/data/1384101/000110465913078343/a13-16266_158a12b.htm" TargetMode="External"/><Relationship Id="rId10" Type="http://schemas.openxmlformats.org/officeDocument/2006/relationships/hyperlink" Target="http://www.sec.gov/Archives/edgar/data/1384101/000110465913082910/a13-23874_1ex3d1.htm" TargetMode="External"/><Relationship Id="rId11" Type="http://schemas.openxmlformats.org/officeDocument/2006/relationships/hyperlink" Target="https://www.sec.gov/Archives/edgar/data/1384101/000138410123000007/ex31veracyte-amendedandres.htm" TargetMode="External"/><Relationship Id="rId12" Type="http://schemas.openxmlformats.org/officeDocument/2006/relationships/hyperlink" Target="http://www.sec.gov/Archives/edgar/data/1384101/000104746913009631/a2216954zex-4_1.htm" TargetMode="External"/><Relationship Id="rId13" Type="http://schemas.openxmlformats.org/officeDocument/2006/relationships/hyperlink" Target="https://www.sec.gov/Archives/edgar/data/1384101/000138410118000006/vcyt-12312017x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2023-03-01T05:43:53Z</dcterms:created>
  <dcterms:modified xsi:type="dcterms:W3CDTF">2023-03-01T05:43:53Z</dcterms:modified>
</cp:coreProperties>
</file>