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13G</w:t>
      </w:r>
    </w:p>
    <w:p>
      <w:pPr>
        <w:spacing w:after="0" w:line="18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(Amendment No. ________)*</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Eventide Asset Management, LLC, 60 State Street, Suite 700, Boston, MA 02109, 877-771-3836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jc w:val="both"/>
        <w:ind w:right="9960" w:firstLine="8"/>
        <w:spacing w:after="0" w:line="223" w:lineRule="exact"/>
        <w:tabs>
          <w:tab w:leader="none" w:pos="19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10" w:lineRule="exact"/>
        <w:rPr>
          <w:sz w:val="24"/>
          <w:szCs w:val="24"/>
          <w:color w:val="auto"/>
        </w:rPr>
      </w:pPr>
    </w:p>
    <w:p>
      <w:pPr>
        <w:ind w:right="640" w:firstLine="8"/>
        <w:spacing w:after="0" w:line="182" w:lineRule="auto"/>
        <w:tabs>
          <w:tab w:leader="none" w:pos="108"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1" w:name="page2"/>
    <w:bookmarkEnd w:id="1"/>
    <w:p>
      <w:pPr>
        <w:spacing w:after="0"/>
        <w:tabs>
          <w:tab w:leader="none" w:pos="566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 xml:space="preserve">CUSIP No. </w:t>
      </w:r>
      <w:r>
        <w:rPr>
          <w:rFonts w:ascii="Arial" w:cs="Arial" w:eastAsia="Arial" w:hAnsi="Arial"/>
          <w:sz w:val="18"/>
          <w:szCs w:val="18"/>
          <w:b w:val="1"/>
          <w:bCs w:val="1"/>
          <w:color w:val="auto"/>
        </w:rPr>
        <w:t>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 of 4 Pages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hanging="35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9" w:lineRule="exact"/>
        <w:rPr>
          <w:rFonts w:ascii="Arial" w:cs="Arial" w:eastAsia="Arial" w:hAnsi="Arial"/>
          <w:sz w:val="18"/>
          <w:szCs w:val="18"/>
          <w:color w:val="auto"/>
        </w:rPr>
      </w:pPr>
    </w:p>
    <w:p>
      <w:pPr>
        <w:ind w:left="460" w:right="8260" w:firstLine="45"/>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Eventide Asset Management, LLC 26-2508416</w:t>
      </w:r>
    </w:p>
    <w:p>
      <w:pPr>
        <w:spacing w:after="0" w:line="210" w:lineRule="exact"/>
        <w:rPr>
          <w:rFonts w:ascii="Arial" w:cs="Arial" w:eastAsia="Arial" w:hAnsi="Arial"/>
          <w:sz w:val="18"/>
          <w:szCs w:val="18"/>
          <w:color w:val="auto"/>
        </w:rPr>
      </w:pPr>
    </w:p>
    <w:p>
      <w:pPr>
        <w:ind w:left="460" w:right="5980" w:hanging="357"/>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40" w:hanging="373"/>
        <w:spacing w:after="0" w:line="207" w:lineRule="exact"/>
        <w:tabs>
          <w:tab w:leader="none" w:pos="8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60" w:hanging="393"/>
        <w:spacing w:after="0" w:line="207" w:lineRule="exact"/>
        <w:tabs>
          <w:tab w:leader="none" w:pos="8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460" w:hanging="35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460" w:hanging="35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-1819910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-1116965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5.</w:t>
            </w:r>
          </w:p>
        </w:tc>
        <w:tc>
          <w:tcPr>
            <w:tcW w:w="946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tcPr>
          <w:p>
            <w:pPr>
              <w:ind w:left="120"/>
              <w:spacing w:after="0"/>
              <w:rPr>
                <w:sz w:val="20"/>
                <w:szCs w:val="20"/>
                <w:color w:val="auto"/>
              </w:rPr>
            </w:pPr>
            <w:r>
              <w:rPr>
                <w:rFonts w:ascii="Arial" w:cs="Arial" w:eastAsia="Arial" w:hAnsi="Arial"/>
                <w:sz w:val="18"/>
                <w:szCs w:val="18"/>
                <w:b w:val="1"/>
                <w:bCs w:val="1"/>
                <w:color w:val="auto"/>
              </w:rPr>
              <w:t>1,384,100</w:t>
            </w:r>
          </w:p>
        </w:tc>
        <w:tc>
          <w:tcPr>
            <w:tcW w:w="0" w:type="dxa"/>
            <w:vAlign w:val="bottom"/>
          </w:tcPr>
          <w:p>
            <w:pPr>
              <w:spacing w:after="0"/>
              <w:rPr>
                <w:sz w:val="1"/>
                <w:szCs w:val="1"/>
                <w:color w:val="auto"/>
              </w:rPr>
            </w:pPr>
          </w:p>
        </w:tc>
      </w:tr>
      <w:tr>
        <w:trPr>
          <w:trHeight w:val="216"/>
        </w:trPr>
        <w:tc>
          <w:tcPr>
            <w:tcW w:w="1720" w:type="dxa"/>
            <w:vAlign w:val="bottom"/>
            <w:vMerge w:val="restart"/>
          </w:tcPr>
          <w:p>
            <w:pPr>
              <w:jc w:val="center"/>
              <w:ind w:right="130"/>
              <w:spacing w:after="0"/>
              <w:rPr>
                <w:sz w:val="20"/>
                <w:szCs w:val="20"/>
                <w:color w:val="auto"/>
              </w:rPr>
            </w:pPr>
            <w:r>
              <w:rPr>
                <w:rFonts w:ascii="Arial" w:cs="Arial" w:eastAsia="Arial" w:hAnsi="Arial"/>
                <w:sz w:val="18"/>
                <w:szCs w:val="18"/>
                <w:color w:val="auto"/>
                <w:w w:val="98"/>
              </w:rPr>
              <w:t>NUMBER OF</w:t>
            </w:r>
          </w:p>
        </w:tc>
        <w:tc>
          <w:tcPr>
            <w:tcW w:w="240" w:type="dxa"/>
            <w:vAlign w:val="bottom"/>
            <w:tcBorders>
              <w:bottom w:val="single" w:sz="8" w:color="auto"/>
            </w:tcBorders>
          </w:tcPr>
          <w:p>
            <w:pPr>
              <w:spacing w:after="0"/>
              <w:rPr>
                <w:sz w:val="18"/>
                <w:szCs w:val="18"/>
                <w:color w:val="auto"/>
              </w:rPr>
            </w:pPr>
          </w:p>
        </w:tc>
        <w:tc>
          <w:tcPr>
            <w:tcW w:w="9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720" w:type="dxa"/>
            <w:vAlign w:val="bottom"/>
            <w:vMerge w:val="continue"/>
          </w:tcPr>
          <w:p>
            <w:pPr>
              <w:spacing w:after="0"/>
              <w:rPr>
                <w:sz w:val="7"/>
                <w:szCs w:val="7"/>
                <w:color w:val="auto"/>
              </w:rPr>
            </w:pPr>
          </w:p>
        </w:tc>
        <w:tc>
          <w:tcPr>
            <w:tcW w:w="240" w:type="dxa"/>
            <w:vAlign w:val="bottom"/>
            <w:vMerge w:val="restart"/>
          </w:tcPr>
          <w:p>
            <w:pPr>
              <w:jc w:val="right"/>
              <w:ind w:right="10"/>
              <w:spacing w:after="0" w:line="191" w:lineRule="exact"/>
              <w:rPr>
                <w:sz w:val="20"/>
                <w:szCs w:val="20"/>
                <w:color w:val="auto"/>
              </w:rPr>
            </w:pPr>
            <w:r>
              <w:rPr>
                <w:rFonts w:ascii="Arial" w:cs="Arial" w:eastAsia="Arial" w:hAnsi="Arial"/>
                <w:sz w:val="18"/>
                <w:szCs w:val="18"/>
                <w:color w:val="auto"/>
                <w:w w:val="79"/>
              </w:rPr>
              <w:t>6.</w:t>
            </w:r>
          </w:p>
        </w:tc>
        <w:tc>
          <w:tcPr>
            <w:tcW w:w="9460" w:type="dxa"/>
            <w:vAlign w:val="bottom"/>
            <w:vMerge w:val="restart"/>
          </w:tcPr>
          <w:p>
            <w:pPr>
              <w:ind w:left="120"/>
              <w:spacing w:after="0" w:line="19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4"/>
        </w:trPr>
        <w:tc>
          <w:tcPr>
            <w:tcW w:w="1720" w:type="dxa"/>
            <w:vAlign w:val="bottom"/>
            <w:vMerge w:val="restart"/>
          </w:tcPr>
          <w:p>
            <w:pPr>
              <w:jc w:val="center"/>
              <w:ind w:right="130"/>
              <w:spacing w:after="0"/>
              <w:rPr>
                <w:sz w:val="20"/>
                <w:szCs w:val="20"/>
                <w:color w:val="auto"/>
              </w:rPr>
            </w:pPr>
            <w:r>
              <w:rPr>
                <w:rFonts w:ascii="Arial" w:cs="Arial" w:eastAsia="Arial" w:hAnsi="Arial"/>
                <w:sz w:val="18"/>
                <w:szCs w:val="18"/>
                <w:color w:val="auto"/>
                <w:w w:val="94"/>
              </w:rPr>
              <w:t>SHARES</w:t>
            </w:r>
          </w:p>
        </w:tc>
        <w:tc>
          <w:tcPr>
            <w:tcW w:w="240" w:type="dxa"/>
            <w:vAlign w:val="bottom"/>
            <w:vMerge w:val="continue"/>
          </w:tcPr>
          <w:p>
            <w:pPr>
              <w:spacing w:after="0"/>
              <w:rPr>
                <w:sz w:val="9"/>
                <w:szCs w:val="9"/>
                <w:color w:val="auto"/>
              </w:rPr>
            </w:pP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4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OWNED BY</w:t>
            </w:r>
          </w:p>
        </w:tc>
        <w:tc>
          <w:tcPr>
            <w:tcW w:w="240" w:type="dxa"/>
            <w:vAlign w:val="bottom"/>
            <w:tcBorders>
              <w:bottom w:val="single" w:sz="8" w:color="auto"/>
            </w:tcBorders>
          </w:tcPr>
          <w:p>
            <w:pPr>
              <w:spacing w:after="0"/>
              <w:rPr>
                <w:sz w:val="10"/>
                <w:szCs w:val="10"/>
                <w:color w:val="auto"/>
              </w:rPr>
            </w:pPr>
          </w:p>
        </w:tc>
        <w:tc>
          <w:tcPr>
            <w:tcW w:w="9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240" w:type="dxa"/>
            <w:vAlign w:val="bottom"/>
            <w:vMerge w:val="restart"/>
          </w:tcPr>
          <w:p>
            <w:pPr>
              <w:jc w:val="right"/>
              <w:ind w:right="10"/>
              <w:spacing w:after="0" w:line="191" w:lineRule="exact"/>
              <w:rPr>
                <w:sz w:val="20"/>
                <w:szCs w:val="20"/>
                <w:color w:val="auto"/>
              </w:rPr>
            </w:pPr>
            <w:r>
              <w:rPr>
                <w:rFonts w:ascii="Arial" w:cs="Arial" w:eastAsia="Arial" w:hAnsi="Arial"/>
                <w:sz w:val="18"/>
                <w:szCs w:val="18"/>
                <w:color w:val="auto"/>
                <w:w w:val="79"/>
              </w:rPr>
              <w:t>7.</w:t>
            </w:r>
          </w:p>
        </w:tc>
        <w:tc>
          <w:tcPr>
            <w:tcW w:w="9460" w:type="dxa"/>
            <w:vAlign w:val="bottom"/>
            <w:vMerge w:val="restart"/>
          </w:tcPr>
          <w:p>
            <w:pPr>
              <w:ind w:left="120"/>
              <w:spacing w:after="0" w:line="19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8"/>
        </w:trPr>
        <w:tc>
          <w:tcPr>
            <w:tcW w:w="17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EACH</w:t>
            </w:r>
          </w:p>
        </w:tc>
        <w:tc>
          <w:tcPr>
            <w:tcW w:w="240" w:type="dxa"/>
            <w:vAlign w:val="bottom"/>
            <w:vMerge w:val="continue"/>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4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1,384,100</w:t>
            </w:r>
          </w:p>
        </w:tc>
        <w:tc>
          <w:tcPr>
            <w:tcW w:w="0" w:type="dxa"/>
            <w:vAlign w:val="bottom"/>
          </w:tcPr>
          <w:p>
            <w:pPr>
              <w:spacing w:after="0"/>
              <w:rPr>
                <w:sz w:val="1"/>
                <w:szCs w:val="1"/>
                <w:color w:val="auto"/>
              </w:rPr>
            </w:pPr>
          </w:p>
        </w:tc>
      </w:tr>
      <w:tr>
        <w:trPr>
          <w:trHeight w:val="136"/>
        </w:trPr>
        <w:tc>
          <w:tcPr>
            <w:tcW w:w="172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720" w:type="dxa"/>
            <w:vAlign w:val="bottom"/>
            <w:vMerge w:val="restart"/>
          </w:tcPr>
          <w:p>
            <w:pPr>
              <w:jc w:val="center"/>
              <w:ind w:right="130"/>
              <w:spacing w:after="0"/>
              <w:rPr>
                <w:sz w:val="20"/>
                <w:szCs w:val="20"/>
                <w:color w:val="auto"/>
              </w:rPr>
            </w:pPr>
            <w:r>
              <w:rPr>
                <w:rFonts w:ascii="Arial" w:cs="Arial" w:eastAsia="Arial" w:hAnsi="Arial"/>
                <w:sz w:val="18"/>
                <w:szCs w:val="18"/>
                <w:color w:val="auto"/>
                <w:w w:val="96"/>
              </w:rPr>
              <w:t>PERSON WITH</w:t>
            </w:r>
          </w:p>
        </w:tc>
        <w:tc>
          <w:tcPr>
            <w:tcW w:w="240" w:type="dxa"/>
            <w:vAlign w:val="bottom"/>
            <w:tcBorders>
              <w:bottom w:val="single" w:sz="8" w:color="auto"/>
            </w:tcBorders>
          </w:tcPr>
          <w:p>
            <w:pPr>
              <w:spacing w:after="0"/>
              <w:rPr>
                <w:sz w:val="11"/>
                <w:szCs w:val="11"/>
                <w:color w:val="auto"/>
              </w:rPr>
            </w:pPr>
          </w:p>
        </w:tc>
        <w:tc>
          <w:tcPr>
            <w:tcW w:w="9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vMerge w:val="continue"/>
          </w:tcPr>
          <w:p>
            <w:pPr>
              <w:spacing w:after="0"/>
              <w:rPr>
                <w:sz w:val="6"/>
                <w:szCs w:val="6"/>
                <w:color w:val="auto"/>
              </w:rPr>
            </w:pPr>
          </w:p>
        </w:tc>
        <w:tc>
          <w:tcPr>
            <w:tcW w:w="240" w:type="dxa"/>
            <w:vAlign w:val="bottom"/>
            <w:vMerge w:val="restart"/>
          </w:tcPr>
          <w:p>
            <w:pPr>
              <w:jc w:val="right"/>
              <w:ind w:right="10"/>
              <w:spacing w:after="0" w:line="191" w:lineRule="exact"/>
              <w:rPr>
                <w:sz w:val="20"/>
                <w:szCs w:val="20"/>
                <w:color w:val="auto"/>
              </w:rPr>
            </w:pPr>
            <w:r>
              <w:rPr>
                <w:rFonts w:ascii="Arial" w:cs="Arial" w:eastAsia="Arial" w:hAnsi="Arial"/>
                <w:sz w:val="18"/>
                <w:szCs w:val="18"/>
                <w:color w:val="auto"/>
                <w:w w:val="79"/>
              </w:rPr>
              <w:t>8.</w:t>
            </w:r>
          </w:p>
        </w:tc>
        <w:tc>
          <w:tcPr>
            <w:tcW w:w="9460" w:type="dxa"/>
            <w:vAlign w:val="bottom"/>
            <w:vMerge w:val="restart"/>
          </w:tcPr>
          <w:p>
            <w:pPr>
              <w:ind w:left="120"/>
              <w:spacing w:after="0" w:line="19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1,384,100</w:t>
      </w:r>
    </w:p>
    <w:p>
      <w:pPr>
        <w:spacing w:after="0" w:line="224" w:lineRule="exact"/>
        <w:rPr>
          <w:sz w:val="20"/>
          <w:szCs w:val="20"/>
          <w:color w:val="auto"/>
        </w:rPr>
      </w:pPr>
    </w:p>
    <w:p>
      <w:pPr>
        <w:ind w:left="480" w:right="4300" w:hanging="459"/>
        <w:spacing w:after="0" w:line="233" w:lineRule="exact"/>
        <w:tabs>
          <w:tab w:leader="none" w:pos="460" w:val="left"/>
        </w:tabs>
        <w:rPr>
          <w:sz w:val="20"/>
          <w:szCs w:val="20"/>
          <w:color w:val="auto"/>
        </w:rPr>
      </w:pPr>
      <w:r>
        <w:rPr>
          <w:rFonts w:ascii="Arial" w:cs="Arial" w:eastAsia="Arial" w:hAnsi="Arial"/>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6.2%</w:t>
      </w:r>
    </w:p>
    <w:p>
      <w:pPr>
        <w:spacing w:after="0" w:line="224"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12.</w:t>
        <w:tab/>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2" w:name="page3"/>
    <w:bookmarkEnd w:id="2"/>
    <w:p>
      <w:pPr>
        <w:spacing w:after="0"/>
        <w:tabs>
          <w:tab w:leader="none" w:pos="566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 xml:space="preserve">CUSIP No. </w:t>
      </w:r>
      <w:r>
        <w:rPr>
          <w:rFonts w:ascii="Arial" w:cs="Arial" w:eastAsia="Arial" w:hAnsi="Arial"/>
          <w:sz w:val="18"/>
          <w:szCs w:val="18"/>
          <w:b w:val="1"/>
          <w:bCs w:val="1"/>
          <w:color w:val="auto"/>
        </w:rPr>
        <w:t>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4 Pages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80" w:lineRule="exact"/>
        <w:rPr>
          <w:sz w:val="20"/>
          <w:szCs w:val="20"/>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Veracyte, Inc</w:t>
      </w:r>
    </w:p>
    <w:p>
      <w:pPr>
        <w:spacing w:after="0" w:line="210"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700" w:right="7760"/>
        <w:spacing w:after="0" w:line="323" w:lineRule="auto"/>
        <w:rPr>
          <w:rFonts w:ascii="Arial" w:cs="Arial" w:eastAsia="Arial" w:hAnsi="Arial"/>
          <w:sz w:val="18"/>
          <w:szCs w:val="18"/>
          <w:color w:val="auto"/>
        </w:rPr>
      </w:pPr>
      <w:r>
        <w:rPr>
          <w:rFonts w:ascii="Arial" w:cs="Arial" w:eastAsia="Arial" w:hAnsi="Arial"/>
          <w:sz w:val="16"/>
          <w:szCs w:val="16"/>
          <w:b w:val="1"/>
          <w:bCs w:val="1"/>
          <w:color w:val="auto"/>
        </w:rPr>
        <w:t>7000 Shoreline Court, Suite 250 South San Francisco, California 94080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80" w:lineRule="exact"/>
        <w:rPr>
          <w:sz w:val="20"/>
          <w:szCs w:val="20"/>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Eventide Asset Management, LLC</w:t>
      </w:r>
    </w:p>
    <w:p>
      <w:pPr>
        <w:spacing w:after="0" w:line="210"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60 State Street, Suite 700, Boston, MA 02109</w:t>
      </w:r>
    </w:p>
    <w:p>
      <w:pPr>
        <w:spacing w:after="0" w:line="210"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10"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Common Stock, par value $0.001 per share</w:t>
      </w:r>
    </w:p>
    <w:p>
      <w:pPr>
        <w:spacing w:after="0" w:line="210"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92337F107</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61" w:lineRule="exact"/>
        <w:rPr>
          <w:sz w:val="20"/>
          <w:szCs w:val="20"/>
          <w:color w:val="auto"/>
        </w:rPr>
      </w:pPr>
    </w:p>
    <w:p>
      <w:pPr>
        <w:ind w:left="720" w:hanging="361"/>
        <w:spacing w:after="0" w:line="207" w:lineRule="exact"/>
        <w:tabs>
          <w:tab w:leader="none" w:pos="7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7" w:lineRule="exact"/>
        <w:rPr>
          <w:rFonts w:ascii="Arial" w:cs="Arial" w:eastAsia="Arial" w:hAnsi="Arial"/>
          <w:sz w:val="18"/>
          <w:szCs w:val="18"/>
          <w:color w:val="auto"/>
        </w:rPr>
      </w:pPr>
    </w:p>
    <w:p>
      <w:pPr>
        <w:ind w:left="720" w:hanging="361"/>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þ   An investment adviser in accordance with §240.13d-1(b)(1)(ii)(E);</w:t>
      </w:r>
    </w:p>
    <w:p>
      <w:pPr>
        <w:spacing w:after="0" w:line="192"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040" w:right="220" w:hanging="681"/>
        <w:spacing w:after="0" w:line="239" w:lineRule="exact"/>
        <w:tabs>
          <w:tab w:leader="none" w:pos="702"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3" w:name="page4"/>
    <w:bookmarkEnd w:id="3"/>
    <w:p>
      <w:pPr>
        <w:spacing w:after="0"/>
        <w:tabs>
          <w:tab w:leader="none" w:pos="5660" w:val="left"/>
          <w:tab w:leader="none" w:pos="1012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4 Pages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383" w:lineRule="exact"/>
        <w:rPr>
          <w:sz w:val="20"/>
          <w:szCs w:val="20"/>
          <w:color w:val="auto"/>
        </w:rPr>
      </w:pPr>
    </w:p>
    <w:p>
      <w:pPr>
        <w:ind w:left="820" w:hanging="461"/>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1,384,100</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6.2%</w:t>
      </w:r>
    </w:p>
    <w:p>
      <w:pPr>
        <w:spacing w:after="0" w:line="229" w:lineRule="exact"/>
        <w:rPr>
          <w:rFonts w:ascii="Arial" w:cs="Arial" w:eastAsia="Arial" w:hAnsi="Arial"/>
          <w:sz w:val="18"/>
          <w:szCs w:val="18"/>
          <w:color w:val="auto"/>
        </w:rPr>
      </w:pPr>
    </w:p>
    <w:p>
      <w:pPr>
        <w:ind w:left="820" w:hanging="461"/>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1" w:lineRule="exact"/>
        <w:rPr>
          <w:rFonts w:ascii="Arial" w:cs="Arial" w:eastAsia="Arial" w:hAnsi="Arial"/>
          <w:sz w:val="18"/>
          <w:szCs w:val="18"/>
          <w:color w:val="auto"/>
        </w:rPr>
      </w:pPr>
    </w:p>
    <w:p>
      <w:pPr>
        <w:ind w:left="1160" w:hanging="342"/>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b w:val="1"/>
          <w:bCs w:val="1"/>
          <w:color w:val="auto"/>
        </w:rPr>
        <w:t>1,384,100</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0</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b w:val="1"/>
          <w:bCs w:val="1"/>
          <w:color w:val="auto"/>
        </w:rPr>
        <w:t>1,384,100</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07" w:lineRule="exact"/>
        <w:rPr>
          <w:sz w:val="20"/>
          <w:szCs w:val="20"/>
          <w:color w:val="auto"/>
        </w:rPr>
      </w:pPr>
    </w:p>
    <w:p>
      <w:pPr>
        <w:ind w:right="280"/>
        <w:spacing w:after="0" w:line="220"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89"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b w:val="1"/>
          <w:bCs w:val="1"/>
          <w:color w:val="auto"/>
        </w:rPr>
        <w:t>Eventide Asset Management, LLC, a Delaware limited liability company located at 60 State Street, Suite 700, Boston, Massachusetts 02109, is the beneficial owner of 1,384,100 Veracyte, Inc common shares as a result of acting as investment adviser to Registered Investment Companies, which include the Eventide Gilead Fund and the Eventide Healthcare &amp; Life Sciences Fund. On the last day of the calendar year, the Gilead Fund held 791,700 Veracyte, Inc common shares, representing 3.52% of outstanding shares. On the last day of the calendar year, the Eventide Healthcare &amp; Life Sciences Fund held 592,400 Veracyte, Inc common shares, representing 2.63% of outstanding shares.</w:t>
      </w:r>
    </w:p>
    <w:p>
      <w:pPr>
        <w:spacing w:after="0" w:line="10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396"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ind w:left="660" w:right="56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spacing w:after="0"/>
        <w:tabs>
          <w:tab w:leader="none" w:pos="5660" w:val="left"/>
          <w:tab w:leader="none" w:pos="1008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4 of 4 Pages</w:t>
      </w:r>
    </w:p>
    <w:p>
      <w:pPr>
        <w:spacing w:after="0" w:line="200" w:lineRule="exact"/>
        <w:rPr>
          <w:sz w:val="20"/>
          <w:szCs w:val="20"/>
          <w:color w:val="auto"/>
        </w:rPr>
      </w:pPr>
    </w:p>
    <w:p>
      <w:pPr>
        <w:spacing w:after="0" w:line="218"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02/13/2015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BJ Cheriakalath/Chief Compliance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þ"/>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2019-12-08T18:59:25Z</dcterms:created>
  <dcterms:modified xsi:type="dcterms:W3CDTF">2019-12-08T18:59:25Z</dcterms:modified>
</cp:coreProperties>
</file>