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200"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208280</wp:posOffset>
            </wp:positionH>
            <wp:positionV relativeFrom="page">
              <wp:posOffset>1091565</wp:posOffset>
            </wp:positionV>
            <wp:extent cx="708914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08914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997585</wp:posOffset>
            </wp:positionV>
            <wp:extent cx="708914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089140" cy="8255"/>
                    </a:xfrm>
                    <a:prstGeom prst="rect">
                      <a:avLst/>
                    </a:prstGeom>
                    <a:noFill/>
                  </pic:spPr>
                </pic:pic>
              </a:graphicData>
            </a:graphic>
          </wp:anchor>
        </w:drawing>
      </w:r>
    </w:p>
    <w:p>
      <w:pPr>
        <w:spacing w:after="0" w:line="200" w:lineRule="exact"/>
        <w:rPr>
          <w:sz w:val="24"/>
          <w:szCs w:val="24"/>
          <w:color w:val="auto"/>
        </w:rPr>
      </w:pPr>
    </w:p>
    <w:p>
      <w:pPr>
        <w:spacing w:after="0" w:line="20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UNITED STATES</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1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9"/>
          <w:szCs w:val="29"/>
          <w:b w:val="1"/>
          <w:bCs w:val="1"/>
          <w:color w:val="auto"/>
        </w:rPr>
        <w:t>FORM 8-K</w:t>
      </w:r>
    </w:p>
    <w:p>
      <w:pPr>
        <w:spacing w:after="0" w:line="26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CURRENT REPORT</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Section 13 or 15(d) of the Securities Exchange Act of 1934</w:t>
      </w:r>
    </w:p>
    <w:p>
      <w:pPr>
        <w:spacing w:after="0" w:line="23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Date of Report (Date of earliest event reported): February 24, 2025</w:t>
      </w:r>
    </w:p>
    <w:p>
      <w:pPr>
        <w:spacing w:after="0" w:line="23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9"/>
          <w:szCs w:val="29"/>
          <w:b w:val="1"/>
          <w:bCs w:val="1"/>
          <w:color w:val="auto"/>
        </w:rPr>
        <w:t>VERACYTE, INC.</w:t>
      </w:r>
    </w:p>
    <w:p>
      <w:pPr>
        <w:spacing w:after="0" w:line="4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47" w:lineRule="exact"/>
        <w:rPr>
          <w:sz w:val="24"/>
          <w:szCs w:val="24"/>
          <w:color w:val="auto"/>
        </w:rPr>
      </w:pPr>
    </w:p>
    <w:tbl>
      <w:tblPr>
        <w:tblLayout w:type="fixed"/>
        <w:tblInd w:w="760" w:type="dxa"/>
        <w:tblCellMar>
          <w:top w:w="0" w:type="dxa"/>
          <w:left w:w="0" w:type="dxa"/>
          <w:bottom w:w="0" w:type="dxa"/>
          <w:right w:w="0" w:type="dxa"/>
        </w:tblCellMar>
      </w:tblPr>
      <w:tr>
        <w:trPr>
          <w:trHeight w:val="238"/>
        </w:trPr>
        <w:tc>
          <w:tcPr>
            <w:tcW w:w="3020" w:type="dxa"/>
            <w:vAlign w:val="bottom"/>
          </w:tcPr>
          <w:p>
            <w:pPr>
              <w:jc w:val="center"/>
              <w:ind w:right="850"/>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3720" w:type="dxa"/>
            <w:vAlign w:val="bottom"/>
          </w:tcPr>
          <w:p>
            <w:pPr>
              <w:jc w:val="right"/>
              <w:ind w:right="1390"/>
              <w:spacing w:after="0"/>
              <w:rPr>
                <w:sz w:val="20"/>
                <w:szCs w:val="20"/>
                <w:color w:val="auto"/>
              </w:rPr>
            </w:pPr>
            <w:r>
              <w:rPr>
                <w:rFonts w:ascii="Times New Roman" w:cs="Times New Roman" w:eastAsia="Times New Roman" w:hAnsi="Times New Roman"/>
                <w:sz w:val="18"/>
                <w:szCs w:val="18"/>
                <w:b w:val="1"/>
                <w:bCs w:val="1"/>
                <w:color w:val="auto"/>
              </w:rPr>
              <w:t>001-36156</w:t>
            </w:r>
          </w:p>
        </w:tc>
        <w:tc>
          <w:tcPr>
            <w:tcW w:w="3040" w:type="dxa"/>
            <w:vAlign w:val="bottom"/>
          </w:tcPr>
          <w:p>
            <w:pPr>
              <w:jc w:val="center"/>
              <w:ind w:left="850"/>
              <w:spacing w:after="0"/>
              <w:rPr>
                <w:sz w:val="20"/>
                <w:szCs w:val="20"/>
                <w:color w:val="auto"/>
              </w:rPr>
            </w:pPr>
            <w:r>
              <w:rPr>
                <w:rFonts w:ascii="Times New Roman" w:cs="Times New Roman" w:eastAsia="Times New Roman" w:hAnsi="Times New Roman"/>
                <w:sz w:val="18"/>
                <w:szCs w:val="18"/>
                <w:b w:val="1"/>
                <w:bCs w:val="1"/>
                <w:color w:val="auto"/>
                <w:w w:val="98"/>
              </w:rPr>
              <w:t>20-5455398</w:t>
            </w:r>
          </w:p>
        </w:tc>
      </w:tr>
      <w:tr>
        <w:trPr>
          <w:trHeight w:val="225"/>
        </w:trPr>
        <w:tc>
          <w:tcPr>
            <w:tcW w:w="3020" w:type="dxa"/>
            <w:vAlign w:val="bottom"/>
          </w:tcPr>
          <w:p>
            <w:pPr>
              <w:jc w:val="center"/>
              <w:ind w:right="850"/>
              <w:spacing w:after="0"/>
              <w:rPr>
                <w:sz w:val="20"/>
                <w:szCs w:val="20"/>
                <w:color w:val="auto"/>
              </w:rPr>
            </w:pPr>
            <w:r>
              <w:rPr>
                <w:rFonts w:ascii="Times New Roman" w:cs="Times New Roman" w:eastAsia="Times New Roman" w:hAnsi="Times New Roman"/>
                <w:sz w:val="18"/>
                <w:szCs w:val="18"/>
                <w:color w:val="auto"/>
                <w:w w:val="99"/>
              </w:rPr>
              <w:t>(State or other jurisdiction of</w:t>
            </w:r>
          </w:p>
        </w:tc>
        <w:tc>
          <w:tcPr>
            <w:tcW w:w="37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Commission File Number</w:t>
            </w:r>
          </w:p>
        </w:tc>
        <w:tc>
          <w:tcPr>
            <w:tcW w:w="3040" w:type="dxa"/>
            <w:vAlign w:val="bottom"/>
          </w:tcPr>
          <w:p>
            <w:pPr>
              <w:jc w:val="center"/>
              <w:ind w:left="850"/>
              <w:spacing w:after="0"/>
              <w:rPr>
                <w:sz w:val="20"/>
                <w:szCs w:val="20"/>
                <w:color w:val="auto"/>
              </w:rPr>
            </w:pPr>
            <w:r>
              <w:rPr>
                <w:rFonts w:ascii="Times New Roman" w:cs="Times New Roman" w:eastAsia="Times New Roman" w:hAnsi="Times New Roman"/>
                <w:sz w:val="18"/>
                <w:szCs w:val="18"/>
                <w:color w:val="auto"/>
                <w:w w:val="99"/>
              </w:rPr>
              <w:t>(IRS Employer Identification</w:t>
            </w:r>
          </w:p>
        </w:tc>
      </w:tr>
      <w:tr>
        <w:trPr>
          <w:trHeight w:val="234"/>
        </w:trPr>
        <w:tc>
          <w:tcPr>
            <w:tcW w:w="3020" w:type="dxa"/>
            <w:vAlign w:val="bottom"/>
          </w:tcPr>
          <w:p>
            <w:pPr>
              <w:jc w:val="center"/>
              <w:ind w:right="850"/>
              <w:spacing w:after="0"/>
              <w:rPr>
                <w:sz w:val="20"/>
                <w:szCs w:val="20"/>
                <w:color w:val="auto"/>
              </w:rPr>
            </w:pPr>
            <w:r>
              <w:rPr>
                <w:rFonts w:ascii="Times New Roman" w:cs="Times New Roman" w:eastAsia="Times New Roman" w:hAnsi="Times New Roman"/>
                <w:sz w:val="18"/>
                <w:szCs w:val="18"/>
                <w:color w:val="auto"/>
              </w:rPr>
              <w:t>incorporation)</w:t>
            </w:r>
          </w:p>
        </w:tc>
        <w:tc>
          <w:tcPr>
            <w:tcW w:w="3720" w:type="dxa"/>
            <w:vAlign w:val="bottom"/>
          </w:tcPr>
          <w:p>
            <w:pPr>
              <w:spacing w:after="0"/>
              <w:rPr>
                <w:sz w:val="20"/>
                <w:szCs w:val="20"/>
                <w:color w:val="auto"/>
              </w:rPr>
            </w:pPr>
          </w:p>
        </w:tc>
        <w:tc>
          <w:tcPr>
            <w:tcW w:w="3040" w:type="dxa"/>
            <w:vAlign w:val="bottom"/>
          </w:tcPr>
          <w:p>
            <w:pPr>
              <w:jc w:val="center"/>
              <w:ind w:left="830"/>
              <w:spacing w:after="0"/>
              <w:rPr>
                <w:sz w:val="20"/>
                <w:szCs w:val="20"/>
                <w:color w:val="auto"/>
              </w:rPr>
            </w:pPr>
            <w:r>
              <w:rPr>
                <w:rFonts w:ascii="Times New Roman" w:cs="Times New Roman" w:eastAsia="Times New Roman" w:hAnsi="Times New Roman"/>
                <w:sz w:val="18"/>
                <w:szCs w:val="18"/>
                <w:color w:val="auto"/>
                <w:w w:val="98"/>
              </w:rPr>
              <w:t>No.)</w:t>
            </w:r>
          </w:p>
        </w:tc>
      </w:tr>
      <w:tr>
        <w:trPr>
          <w:trHeight w:val="392"/>
        </w:trPr>
        <w:tc>
          <w:tcPr>
            <w:tcW w:w="6740" w:type="dxa"/>
            <w:vAlign w:val="bottom"/>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6000 Shoreline Court, Suite 300, South San Francisco, California</w:t>
            </w:r>
          </w:p>
        </w:tc>
        <w:tc>
          <w:tcPr>
            <w:tcW w:w="3040" w:type="dxa"/>
            <w:vAlign w:val="bottom"/>
          </w:tcPr>
          <w:p>
            <w:pPr>
              <w:jc w:val="center"/>
              <w:ind w:left="890"/>
              <w:spacing w:after="0"/>
              <w:rPr>
                <w:sz w:val="20"/>
                <w:szCs w:val="20"/>
                <w:color w:val="auto"/>
              </w:rPr>
            </w:pPr>
            <w:r>
              <w:rPr>
                <w:rFonts w:ascii="Times New Roman" w:cs="Times New Roman" w:eastAsia="Times New Roman" w:hAnsi="Times New Roman"/>
                <w:sz w:val="18"/>
                <w:szCs w:val="18"/>
                <w:b w:val="1"/>
                <w:bCs w:val="1"/>
                <w:color w:val="auto"/>
              </w:rPr>
              <w:t>94080</w:t>
            </w:r>
          </w:p>
        </w:tc>
      </w:tr>
      <w:tr>
        <w:trPr>
          <w:trHeight w:val="257"/>
        </w:trPr>
        <w:tc>
          <w:tcPr>
            <w:tcW w:w="6740" w:type="dxa"/>
            <w:vAlign w:val="bottom"/>
            <w:gridSpan w:val="2"/>
          </w:tcPr>
          <w:p>
            <w:pPr>
              <w:ind w:left="1120"/>
              <w:spacing w:after="0"/>
              <w:rPr>
                <w:sz w:val="20"/>
                <w:szCs w:val="20"/>
                <w:color w:val="auto"/>
              </w:rPr>
            </w:pPr>
            <w:r>
              <w:rPr>
                <w:rFonts w:ascii="Times New Roman" w:cs="Times New Roman" w:eastAsia="Times New Roman" w:hAnsi="Times New Roman"/>
                <w:sz w:val="18"/>
                <w:szCs w:val="18"/>
                <w:color w:val="auto"/>
              </w:rPr>
              <w:t>(Address of principal executive offices)</w:t>
            </w:r>
          </w:p>
        </w:tc>
        <w:tc>
          <w:tcPr>
            <w:tcW w:w="3040" w:type="dxa"/>
            <w:vAlign w:val="bottom"/>
          </w:tcPr>
          <w:p>
            <w:pPr>
              <w:jc w:val="center"/>
              <w:ind w:left="870"/>
              <w:spacing w:after="0"/>
              <w:rPr>
                <w:sz w:val="20"/>
                <w:szCs w:val="20"/>
                <w:color w:val="auto"/>
              </w:rPr>
            </w:pPr>
            <w:r>
              <w:rPr>
                <w:rFonts w:ascii="Times New Roman" w:cs="Times New Roman" w:eastAsia="Times New Roman" w:hAnsi="Times New Roman"/>
                <w:sz w:val="18"/>
                <w:szCs w:val="18"/>
                <w:color w:val="auto"/>
              </w:rPr>
              <w:t>(Zip Code)</w:t>
            </w:r>
          </w:p>
        </w:tc>
      </w:tr>
    </w:tbl>
    <w:p>
      <w:pPr>
        <w:spacing w:after="0" w:line="31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 xml:space="preserve">Registrant’s telephone number, including area code: </w:t>
      </w:r>
      <w:r>
        <w:rPr>
          <w:rFonts w:ascii="Times New Roman" w:cs="Times New Roman" w:eastAsia="Times New Roman" w:hAnsi="Times New Roman"/>
          <w:sz w:val="18"/>
          <w:szCs w:val="18"/>
          <w:b w:val="1"/>
          <w:bCs w:val="1"/>
          <w:color w:val="auto"/>
        </w:rPr>
        <w:t>(650) 243-6300</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N/A</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(Former name or former address, if changed since last report.)</w:t>
      </w:r>
    </w:p>
    <w:p>
      <w:pPr>
        <w:spacing w:after="0" w:line="31" w:lineRule="exact"/>
        <w:rPr>
          <w:sz w:val="24"/>
          <w:szCs w:val="24"/>
          <w:color w:val="auto"/>
        </w:rPr>
      </w:pPr>
    </w:p>
    <w:p>
      <w:pPr>
        <w:ind w:left="20" w:right="620" w:firstLine="54"/>
        <w:spacing w:after="0" w:line="261"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22" w:lineRule="exact"/>
        <w:rPr>
          <w:sz w:val="24"/>
          <w:szCs w:val="24"/>
          <w:color w:val="auto"/>
        </w:rPr>
      </w:pPr>
    </w:p>
    <w:p>
      <w:pPr>
        <w:ind w:left="1220" w:hanging="726"/>
        <w:spacing w:after="0"/>
        <w:tabs>
          <w:tab w:leader="none" w:pos="12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55" w:lineRule="exact"/>
        <w:rPr>
          <w:rFonts w:ascii="MS PGothic" w:cs="MS PGothic" w:eastAsia="MS PGothic" w:hAnsi="MS PGothic"/>
          <w:sz w:val="18"/>
          <w:szCs w:val="18"/>
          <w:color w:val="auto"/>
        </w:rPr>
      </w:pPr>
    </w:p>
    <w:p>
      <w:pPr>
        <w:ind w:left="1220" w:hanging="726"/>
        <w:spacing w:after="0"/>
        <w:tabs>
          <w:tab w:leader="none" w:pos="12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49" w:lineRule="exact"/>
        <w:rPr>
          <w:rFonts w:ascii="MS PGothic" w:cs="MS PGothic" w:eastAsia="MS PGothic" w:hAnsi="MS PGothic"/>
          <w:sz w:val="18"/>
          <w:szCs w:val="18"/>
          <w:color w:val="auto"/>
        </w:rPr>
      </w:pPr>
    </w:p>
    <w:p>
      <w:pPr>
        <w:ind w:left="1220" w:hanging="726"/>
        <w:spacing w:after="0"/>
        <w:tabs>
          <w:tab w:leader="none" w:pos="12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49" w:lineRule="exact"/>
        <w:rPr>
          <w:rFonts w:ascii="MS PGothic" w:cs="MS PGothic" w:eastAsia="MS PGothic" w:hAnsi="MS PGothic"/>
          <w:sz w:val="18"/>
          <w:szCs w:val="18"/>
          <w:color w:val="auto"/>
        </w:rPr>
      </w:pPr>
    </w:p>
    <w:p>
      <w:pPr>
        <w:ind w:left="1220" w:hanging="726"/>
        <w:spacing w:after="0"/>
        <w:tabs>
          <w:tab w:leader="none" w:pos="12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354"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45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tc>
        <w:tc>
          <w:tcPr>
            <w:tcW w:w="20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420" w:type="dxa"/>
            <w:vAlign w:val="bottom"/>
          </w:tcPr>
          <w:p>
            <w:pPr>
              <w:spacing w:after="0"/>
              <w:rPr>
                <w:sz w:val="20"/>
                <w:szCs w:val="20"/>
                <w:color w:val="auto"/>
              </w:rPr>
            </w:pPr>
          </w:p>
        </w:tc>
      </w:tr>
      <w:tr>
        <w:trPr>
          <w:trHeight w:val="263"/>
        </w:trPr>
        <w:tc>
          <w:tcPr>
            <w:tcW w:w="44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Title of each class</w:t>
            </w:r>
          </w:p>
        </w:tc>
        <w:tc>
          <w:tcPr>
            <w:tcW w:w="180" w:type="dxa"/>
            <w:vAlign w:val="bottom"/>
          </w:tcPr>
          <w:p>
            <w:pPr>
              <w:spacing w:after="0"/>
              <w:rPr>
                <w:sz w:val="22"/>
                <w:szCs w:val="22"/>
                <w:color w:val="auto"/>
              </w:rPr>
            </w:pPr>
          </w:p>
        </w:tc>
        <w:tc>
          <w:tcPr>
            <w:tcW w:w="206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8"/>
                <w:szCs w:val="18"/>
                <w:b w:val="1"/>
                <w:bCs w:val="1"/>
                <w:color w:val="auto"/>
              </w:rPr>
              <w:t>Trading Symbol(s)</w:t>
            </w:r>
          </w:p>
        </w:tc>
        <w:tc>
          <w:tcPr>
            <w:tcW w:w="180" w:type="dxa"/>
            <w:vAlign w:val="bottom"/>
          </w:tcPr>
          <w:p>
            <w:pPr>
              <w:spacing w:after="0"/>
              <w:rPr>
                <w:sz w:val="22"/>
                <w:szCs w:val="22"/>
                <w:color w:val="auto"/>
              </w:rPr>
            </w:pPr>
          </w:p>
        </w:tc>
        <w:tc>
          <w:tcPr>
            <w:tcW w:w="44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Name of each exchange on which registered</w:t>
            </w:r>
          </w:p>
        </w:tc>
      </w:tr>
      <w:tr>
        <w:trPr>
          <w:trHeight w:val="243"/>
        </w:trPr>
        <w:tc>
          <w:tcPr>
            <w:tcW w:w="458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Common Stock, par value $0.001 per share</w:t>
            </w:r>
          </w:p>
        </w:tc>
        <w:tc>
          <w:tcPr>
            <w:tcW w:w="2240" w:type="dxa"/>
            <w:vAlign w:val="bottom"/>
            <w:gridSpan w:val="2"/>
          </w:tcPr>
          <w:p>
            <w:pPr>
              <w:ind w:left="820"/>
              <w:spacing w:after="0"/>
              <w:rPr>
                <w:sz w:val="20"/>
                <w:szCs w:val="20"/>
                <w:color w:val="auto"/>
              </w:rPr>
            </w:pPr>
            <w:r>
              <w:rPr>
                <w:rFonts w:ascii="Times New Roman" w:cs="Times New Roman" w:eastAsia="Times New Roman" w:hAnsi="Times New Roman"/>
                <w:sz w:val="18"/>
                <w:szCs w:val="18"/>
                <w:color w:val="auto"/>
              </w:rPr>
              <w:t>VCYT</w:t>
            </w:r>
          </w:p>
        </w:tc>
        <w:tc>
          <w:tcPr>
            <w:tcW w:w="44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The Nasdaq Stock Market LLC</w:t>
            </w:r>
          </w:p>
        </w:tc>
      </w:tr>
    </w:tbl>
    <w:p>
      <w:pPr>
        <w:spacing w:after="0" w:line="144" w:lineRule="exact"/>
        <w:rPr>
          <w:sz w:val="24"/>
          <w:szCs w:val="24"/>
          <w:color w:val="auto"/>
        </w:rPr>
      </w:pPr>
    </w:p>
    <w:p>
      <w:pPr>
        <w:ind w:left="20" w:right="260"/>
        <w:spacing w:after="0" w:line="253"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or Rule 12b-2 of the Securities Exchange Act of 1934.</w:t>
      </w:r>
    </w:p>
    <w:p>
      <w:pPr>
        <w:ind w:left="20"/>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91" w:lineRule="exact"/>
        <w:rPr>
          <w:sz w:val="24"/>
          <w:szCs w:val="24"/>
          <w:color w:val="auto"/>
        </w:rPr>
      </w:pPr>
    </w:p>
    <w:p>
      <w:pPr>
        <w:ind w:left="20" w:right="140"/>
        <w:spacing w:after="0" w:line="230"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1418590</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325120</wp:posOffset>
            </wp:positionV>
            <wp:extent cx="708914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08914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231140</wp:posOffset>
            </wp:positionV>
            <wp:extent cx="708914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89140" cy="825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 w:name="page2"/>
    <w:bookmarkEnd w:id="1"/>
    <w:p>
      <w:pPr>
        <w:spacing w:after="0"/>
        <w:tabs>
          <w:tab w:leader="none" w:pos="940" w:val="left"/>
        </w:tabs>
        <w:rPr>
          <w:sz w:val="20"/>
          <w:szCs w:val="20"/>
          <w:color w:val="auto"/>
        </w:rPr>
      </w:pPr>
      <w:r>
        <w:rPr>
          <w:rFonts w:ascii="Times New Roman" w:cs="Times New Roman" w:eastAsia="Times New Roman" w:hAnsi="Times New Roman"/>
          <w:sz w:val="18"/>
          <w:szCs w:val="18"/>
          <w:b w:val="1"/>
          <w:bCs w:val="1"/>
          <w:color w:val="auto"/>
        </w:rPr>
        <w:t>Item 2.02.</w:t>
      </w:r>
      <w:r>
        <w:rPr>
          <w:sz w:val="20"/>
          <w:szCs w:val="20"/>
          <w:color w:val="auto"/>
        </w:rPr>
        <w:tab/>
      </w:r>
      <w:r>
        <w:rPr>
          <w:rFonts w:ascii="Times New Roman" w:cs="Times New Roman" w:eastAsia="Times New Roman" w:hAnsi="Times New Roman"/>
          <w:sz w:val="17"/>
          <w:szCs w:val="17"/>
          <w:b w:val="1"/>
          <w:bCs w:val="1"/>
          <w:color w:val="auto"/>
        </w:rPr>
        <w:t>Results of Operations and Financial Condition.</w:t>
      </w:r>
    </w:p>
    <w:p>
      <w:pPr>
        <w:spacing w:after="0" w:line="24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On February 24, 2025, Veracyte, Inc. issued a press release announcing its financial results for the quarter and year ended December 31, 2024. The full text of the press release is furnished as Exhibit 99.1 to this report.</w:t>
      </w:r>
    </w:p>
    <w:p>
      <w:pPr>
        <w:spacing w:after="0" w:line="17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information in this Current Report on Form 8-K, including Exhibit 99.1, shall not be deemed to be “filed” for purposes of Section 18 of the Securities Exchange Act of 1934 (the “Exchange Act”), or otherwise subject to the liability of that section, and shall not be incorporated by reference into any registration statement or other document filed under the Securities Act of 1933 or the Exchange Act, except as shall be expressly set forth by specific reference in such filing.</w:t>
      </w:r>
    </w:p>
    <w:p>
      <w:pPr>
        <w:spacing w:after="0" w:line="200" w:lineRule="exact"/>
        <w:rPr>
          <w:sz w:val="20"/>
          <w:szCs w:val="20"/>
          <w:color w:val="auto"/>
        </w:rPr>
      </w:pPr>
    </w:p>
    <w:p>
      <w:pPr>
        <w:spacing w:after="0" w:line="246" w:lineRule="exact"/>
        <w:rPr>
          <w:sz w:val="20"/>
          <w:szCs w:val="20"/>
          <w:color w:val="auto"/>
        </w:rPr>
      </w:pPr>
    </w:p>
    <w:p>
      <w:pPr>
        <w:spacing w:after="0"/>
        <w:tabs>
          <w:tab w:leader="none" w:pos="880" w:val="left"/>
        </w:tabs>
        <w:rPr>
          <w:sz w:val="20"/>
          <w:szCs w:val="20"/>
          <w:color w:val="auto"/>
        </w:rPr>
      </w:pPr>
      <w:r>
        <w:rPr>
          <w:rFonts w:ascii="Times New Roman" w:cs="Times New Roman" w:eastAsia="Times New Roman" w:hAnsi="Times New Roman"/>
          <w:sz w:val="18"/>
          <w:szCs w:val="18"/>
          <w:b w:val="1"/>
          <w:bCs w:val="1"/>
          <w:color w:val="auto"/>
        </w:rPr>
        <w:t>Item 9.01</w:t>
      </w:r>
      <w:r>
        <w:rPr>
          <w:sz w:val="20"/>
          <w:szCs w:val="20"/>
          <w:color w:val="auto"/>
        </w:rPr>
        <w:tab/>
      </w:r>
      <w:r>
        <w:rPr>
          <w:rFonts w:ascii="Times New Roman" w:cs="Times New Roman" w:eastAsia="Times New Roman" w:hAnsi="Times New Roman"/>
          <w:sz w:val="17"/>
          <w:szCs w:val="17"/>
          <w:b w:val="1"/>
          <w:bCs w:val="1"/>
          <w:color w:val="auto"/>
        </w:rPr>
        <w:t>Financial Statements and Exhibits.</w:t>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 Exhibits.</w:t>
            </w:r>
          </w:p>
        </w:tc>
        <w:tc>
          <w:tcPr>
            <w:tcW w:w="20" w:type="dxa"/>
            <w:vAlign w:val="bottom"/>
          </w:tcPr>
          <w:p>
            <w:pPr>
              <w:spacing w:after="0"/>
              <w:rPr>
                <w:sz w:val="20"/>
                <w:szCs w:val="20"/>
                <w:color w:val="auto"/>
              </w:rPr>
            </w:pPr>
          </w:p>
        </w:tc>
        <w:tc>
          <w:tcPr>
            <w:tcW w:w="4540" w:type="dxa"/>
            <w:vAlign w:val="bottom"/>
          </w:tcPr>
          <w:p>
            <w:pPr>
              <w:spacing w:after="0"/>
              <w:rPr>
                <w:sz w:val="20"/>
                <w:szCs w:val="20"/>
                <w:color w:val="auto"/>
              </w:rPr>
            </w:pPr>
          </w:p>
        </w:tc>
        <w:tc>
          <w:tcPr>
            <w:tcW w:w="4680" w:type="dxa"/>
            <w:vAlign w:val="bottom"/>
          </w:tcPr>
          <w:p>
            <w:pPr>
              <w:spacing w:after="0"/>
              <w:rPr>
                <w:sz w:val="20"/>
                <w:szCs w:val="20"/>
                <w:color w:val="auto"/>
              </w:rPr>
            </w:pPr>
          </w:p>
        </w:tc>
        <w:tc>
          <w:tcPr>
            <w:tcW w:w="320" w:type="dxa"/>
            <w:vAlign w:val="bottom"/>
          </w:tcPr>
          <w:p>
            <w:pPr>
              <w:spacing w:after="0"/>
              <w:rPr>
                <w:sz w:val="20"/>
                <w:szCs w:val="20"/>
                <w:color w:val="auto"/>
              </w:rPr>
            </w:pPr>
          </w:p>
        </w:tc>
      </w:tr>
      <w:tr>
        <w:trPr>
          <w:trHeight w:val="256"/>
        </w:trPr>
        <w:tc>
          <w:tcPr>
            <w:tcW w:w="14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Exhibit No.</w:t>
            </w:r>
          </w:p>
        </w:tc>
        <w:tc>
          <w:tcPr>
            <w:tcW w:w="260" w:type="dxa"/>
            <w:vAlign w:val="bottom"/>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922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Description</w:t>
            </w:r>
          </w:p>
        </w:tc>
        <w:tc>
          <w:tcPr>
            <w:tcW w:w="320" w:type="dxa"/>
            <w:vAlign w:val="bottom"/>
          </w:tcPr>
          <w:p>
            <w:pPr>
              <w:spacing w:after="0"/>
              <w:rPr>
                <w:sz w:val="22"/>
                <w:szCs w:val="22"/>
                <w:color w:val="auto"/>
              </w:rPr>
            </w:pPr>
          </w:p>
        </w:tc>
      </w:tr>
      <w:tr>
        <w:trPr>
          <w:trHeight w:val="291"/>
        </w:trPr>
        <w:tc>
          <w:tcPr>
            <w:tcW w:w="1420" w:type="dxa"/>
            <w:vAlign w:val="bottom"/>
          </w:tcPr>
          <w:p>
            <w:pPr>
              <w:jc w:val="right"/>
              <w:ind w:right="350"/>
              <w:spacing w:after="0"/>
              <w:rPr>
                <w:sz w:val="20"/>
                <w:szCs w:val="20"/>
                <w:color w:val="auto"/>
              </w:rPr>
            </w:pPr>
            <w:r>
              <w:rPr>
                <w:rFonts w:ascii="Times New Roman" w:cs="Times New Roman" w:eastAsia="Times New Roman" w:hAnsi="Times New Roman"/>
                <w:sz w:val="18"/>
                <w:szCs w:val="18"/>
                <w:color w:val="auto"/>
              </w:rPr>
              <w:t>99.1</w:t>
            </w: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540" w:type="dxa"/>
            <w:vAlign w:val="bottom"/>
            <w:tcBorders>
              <w:bottom w:val="single" w:sz="8" w:color="0000FF"/>
            </w:tcBorders>
          </w:tcPr>
          <w:p>
            <w:pPr>
              <w:spacing w:after="0"/>
              <w:rPr>
                <w:sz w:val="20"/>
                <w:szCs w:val="20"/>
                <w:color w:val="auto"/>
              </w:rPr>
            </w:pPr>
            <w:r>
              <w:rPr>
                <w:rFonts w:ascii="Times New Roman" w:cs="Times New Roman" w:eastAsia="Times New Roman" w:hAnsi="Times New Roman"/>
                <w:sz w:val="18"/>
                <w:szCs w:val="18"/>
                <w:color w:val="0000FF"/>
                <w:w w:val="99"/>
              </w:rPr>
              <w:t>Press release issued by Veracyte, Inc. dated February 24, 2025.</w:t>
            </w:r>
          </w:p>
        </w:tc>
        <w:tc>
          <w:tcPr>
            <w:tcW w:w="5000" w:type="dxa"/>
            <w:vAlign w:val="bottom"/>
            <w:gridSpan w:val="2"/>
          </w:tcPr>
          <w:p>
            <w:pPr>
              <w:spacing w:after="0"/>
              <w:rPr>
                <w:sz w:val="24"/>
                <w:szCs w:val="24"/>
                <w:color w:val="auto"/>
              </w:rPr>
            </w:pPr>
          </w:p>
        </w:tc>
      </w:tr>
      <w:tr>
        <w:trPr>
          <w:trHeight w:val="277"/>
        </w:trPr>
        <w:tc>
          <w:tcPr>
            <w:tcW w:w="1420" w:type="dxa"/>
            <w:vAlign w:val="bottom"/>
          </w:tcPr>
          <w:p>
            <w:pPr>
              <w:jc w:val="right"/>
              <w:ind w:right="470"/>
              <w:spacing w:after="0"/>
              <w:rPr>
                <w:sz w:val="20"/>
                <w:szCs w:val="20"/>
                <w:color w:val="auto"/>
              </w:rPr>
            </w:pPr>
            <w:r>
              <w:rPr>
                <w:rFonts w:ascii="Times New Roman" w:cs="Times New Roman" w:eastAsia="Times New Roman" w:hAnsi="Times New Roman"/>
                <w:sz w:val="18"/>
                <w:szCs w:val="18"/>
                <w:color w:val="auto"/>
              </w:rPr>
              <w:t>104</w:t>
            </w: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5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Cover Page Interactive Data File (embedded within the Inline XBRL document).</w:t>
            </w:r>
          </w:p>
        </w:tc>
      </w:tr>
      <w:tr>
        <w:trPr>
          <w:trHeight w:val="1762"/>
        </w:trPr>
        <w:tc>
          <w:tcPr>
            <w:tcW w:w="142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4540" w:type="dxa"/>
            <w:vAlign w:val="bottom"/>
            <w:tcBorders>
              <w:bottom w:val="single" w:sz="8" w:color="9A9A9A"/>
            </w:tcBorders>
          </w:tcPr>
          <w:p>
            <w:pPr>
              <w:spacing w:after="0"/>
              <w:rPr>
                <w:sz w:val="24"/>
                <w:szCs w:val="24"/>
                <w:color w:val="auto"/>
              </w:rPr>
            </w:pPr>
          </w:p>
        </w:tc>
        <w:tc>
          <w:tcPr>
            <w:tcW w:w="468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2" w:name="page3"/>
    <w:bookmarkEnd w:id="2"/>
    <w:p>
      <w:pPr>
        <w:spacing w:after="0" w:line="21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256"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243" w:lineRule="exact"/>
        <w:rPr>
          <w:sz w:val="20"/>
          <w:szCs w:val="20"/>
          <w:color w:val="auto"/>
        </w:rPr>
      </w:pPr>
    </w:p>
    <w:p>
      <w:pPr>
        <w:ind w:left="80"/>
        <w:spacing w:after="0"/>
        <w:tabs>
          <w:tab w:leader="none" w:pos="920" w:val="left"/>
        </w:tabs>
        <w:rPr>
          <w:sz w:val="20"/>
          <w:szCs w:val="20"/>
          <w:color w:val="auto"/>
        </w:rPr>
      </w:pPr>
      <w:r>
        <w:rPr>
          <w:rFonts w:ascii="Times New Roman" w:cs="Times New Roman" w:eastAsia="Times New Roman" w:hAnsi="Times New Roman"/>
          <w:sz w:val="18"/>
          <w:szCs w:val="18"/>
          <w:color w:val="auto"/>
        </w:rPr>
        <w:t>Dated:</w:t>
      </w:r>
      <w:r>
        <w:rPr>
          <w:sz w:val="20"/>
          <w:szCs w:val="20"/>
          <w:color w:val="auto"/>
        </w:rPr>
        <w:tab/>
      </w:r>
      <w:r>
        <w:rPr>
          <w:rFonts w:ascii="Times New Roman" w:cs="Times New Roman" w:eastAsia="Times New Roman" w:hAnsi="Times New Roman"/>
          <w:sz w:val="18"/>
          <w:szCs w:val="18"/>
          <w:color w:val="auto"/>
        </w:rPr>
        <w:t>February 24, 2025</w:t>
      </w:r>
    </w:p>
    <w:p>
      <w:pPr>
        <w:spacing w:after="0" w:line="306" w:lineRule="exact"/>
        <w:rPr>
          <w:sz w:val="20"/>
          <w:szCs w:val="20"/>
          <w:color w:val="auto"/>
        </w:rPr>
      </w:pPr>
    </w:p>
    <w:p>
      <w:pPr>
        <w:ind w:left="4260"/>
        <w:spacing w:after="0"/>
        <w:rPr>
          <w:sz w:val="20"/>
          <w:szCs w:val="20"/>
          <w:color w:val="auto"/>
        </w:rPr>
      </w:pPr>
      <w:r>
        <w:rPr>
          <w:rFonts w:ascii="Times New Roman" w:cs="Times New Roman" w:eastAsia="Times New Roman" w:hAnsi="Times New Roman"/>
          <w:sz w:val="18"/>
          <w:szCs w:val="18"/>
          <w:color w:val="auto"/>
        </w:rPr>
        <w:t>VERACYTE, INC.</w:t>
      </w:r>
    </w:p>
    <w:p>
      <w:pPr>
        <w:spacing w:after="0" w:line="279" w:lineRule="exact"/>
        <w:rPr>
          <w:sz w:val="20"/>
          <w:szCs w:val="20"/>
          <w:color w:val="auto"/>
        </w:rPr>
      </w:pPr>
    </w:p>
    <w:p>
      <w:pPr>
        <w:ind w:left="4260"/>
        <w:spacing w:after="0"/>
        <w:tabs>
          <w:tab w:leader="none" w:pos="510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Rebecca Chambers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3211195</wp:posOffset>
            </wp:positionH>
            <wp:positionV relativeFrom="paragraph">
              <wp:posOffset>26035</wp:posOffset>
            </wp:positionV>
            <wp:extent cx="392620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926205" cy="8255"/>
                    </a:xfrm>
                    <a:prstGeom prst="rect">
                      <a:avLst/>
                    </a:prstGeom>
                    <a:noFill/>
                  </pic:spPr>
                </pic:pic>
              </a:graphicData>
            </a:graphic>
          </wp:anchor>
        </w:drawing>
      </w:r>
    </w:p>
    <w:p>
      <w:pPr>
        <w:spacing w:after="0" w:line="30" w:lineRule="exact"/>
        <w:rPr>
          <w:sz w:val="20"/>
          <w:szCs w:val="20"/>
          <w:color w:val="auto"/>
        </w:rPr>
      </w:pPr>
    </w:p>
    <w:p>
      <w:pPr>
        <w:ind w:left="4260"/>
        <w:spacing w:after="0"/>
        <w:tabs>
          <w:tab w:leader="none" w:pos="5100" w:val="left"/>
        </w:tabs>
        <w:rPr>
          <w:sz w:val="20"/>
          <w:szCs w:val="20"/>
          <w:color w:val="auto"/>
        </w:rPr>
      </w:pPr>
      <w:r>
        <w:rPr>
          <w:rFonts w:ascii="Times New Roman" w:cs="Times New Roman" w:eastAsia="Times New Roman" w:hAnsi="Times New Roman"/>
          <w:sz w:val="18"/>
          <w:szCs w:val="18"/>
          <w:color w:val="auto"/>
        </w:rPr>
        <w:t>Name:</w:t>
      </w:r>
      <w:r>
        <w:rPr>
          <w:sz w:val="20"/>
          <w:szCs w:val="20"/>
          <w:color w:val="auto"/>
        </w:rPr>
        <w:tab/>
      </w:r>
      <w:r>
        <w:rPr>
          <w:rFonts w:ascii="Times New Roman" w:cs="Times New Roman" w:eastAsia="Times New Roman" w:hAnsi="Times New Roman"/>
          <w:sz w:val="18"/>
          <w:szCs w:val="18"/>
          <w:color w:val="auto"/>
        </w:rPr>
        <w:t>Rebecca Chambers</w:t>
      </w:r>
    </w:p>
    <w:p>
      <w:pPr>
        <w:spacing w:after="0" w:line="61" w:lineRule="exact"/>
        <w:rPr>
          <w:sz w:val="20"/>
          <w:szCs w:val="20"/>
          <w:color w:val="auto"/>
        </w:rPr>
      </w:pPr>
    </w:p>
    <w:p>
      <w:pPr>
        <w:ind w:left="4260"/>
        <w:spacing w:after="0"/>
        <w:tabs>
          <w:tab w:leader="none" w:pos="510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8"/>
          <w:szCs w:val="18"/>
          <w:i w:val="1"/>
          <w:iCs w:val="1"/>
          <w:color w:val="auto"/>
        </w:rPr>
        <w:t>Chief Financial Officer</w:t>
      </w:r>
    </w:p>
    <w:p>
      <w:pPr>
        <w:spacing w:after="0" w:line="50" w:lineRule="exact"/>
        <w:rPr>
          <w:sz w:val="20"/>
          <w:szCs w:val="20"/>
          <w:color w:val="auto"/>
        </w:rPr>
      </w:pPr>
    </w:p>
    <w:p>
      <w:pPr>
        <w:ind w:left="5120"/>
        <w:spacing w:after="0"/>
        <w:rPr>
          <w:sz w:val="20"/>
          <w:szCs w:val="20"/>
          <w:color w:val="auto"/>
        </w:rPr>
      </w:pPr>
      <w:r>
        <w:rPr>
          <w:rFonts w:ascii="Times New Roman" w:cs="Times New Roman" w:eastAsia="Times New Roman" w:hAnsi="Times New Roman"/>
          <w:sz w:val="18"/>
          <w:szCs w:val="18"/>
          <w:i w:val="1"/>
          <w:iCs w:val="1"/>
          <w:color w:val="auto"/>
        </w:rPr>
        <w:t>Principal Financial Officer</w:t>
      </w:r>
    </w:p>
    <w:p>
      <w:pPr>
        <w:sectPr>
          <w:pgSz w:w="11900" w:h="16838" w:orient="portrait"/>
          <w:cols w:equalWidth="0" w:num="1">
            <w:col w:w="11200"/>
          </w:cols>
          <w:pgMar w:left="320" w:top="1440" w:right="379" w:bottom="1440" w:gutter="0" w:footer="0" w:header="0"/>
        </w:sectPr>
      </w:pPr>
    </w:p>
    <w:bookmarkStart w:id="3" w:name="page4"/>
    <w:bookmarkEnd w:id="3"/>
    <w:p>
      <w:pPr>
        <w:jc w:val="right"/>
        <w:spacing w:after="0"/>
        <w:rPr>
          <w:sz w:val="20"/>
          <w:szCs w:val="20"/>
          <w:color w:val="auto"/>
        </w:rPr>
      </w:pPr>
      <w:r>
        <w:rPr>
          <w:rFonts w:ascii="Arial" w:cs="Arial" w:eastAsia="Arial" w:hAnsi="Arial"/>
          <w:sz w:val="18"/>
          <w:szCs w:val="18"/>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2456815</wp:posOffset>
            </wp:positionH>
            <wp:positionV relativeFrom="paragraph">
              <wp:posOffset>172085</wp:posOffset>
            </wp:positionV>
            <wp:extent cx="2228850" cy="48831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2228850" cy="4883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Veracyte Announces Fourth Quarter and Full Year 2024 Financial Results</w:t>
      </w: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Grew fourth quarter total revenue to $118.6 million, an increase of 21%</w:t>
      </w:r>
    </w:p>
    <w:p>
      <w:pPr>
        <w:spacing w:after="0" w:line="12"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Grew fourth quarter testing revenue to $112.2 million, an increase of 24%</w:t>
      </w:r>
    </w:p>
    <w:p>
      <w:pPr>
        <w:spacing w:after="0" w:line="236"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Conference call and webcast today at 4:30 p.m. ET</w:t>
      </w: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ind w:right="460"/>
        <w:spacing w:after="0" w:line="287" w:lineRule="auto"/>
        <w:rPr>
          <w:sz w:val="20"/>
          <w:szCs w:val="20"/>
          <w:color w:val="auto"/>
        </w:rPr>
      </w:pPr>
      <w:r>
        <w:rPr>
          <w:rFonts w:ascii="Arial" w:cs="Arial" w:eastAsia="Arial" w:hAnsi="Arial"/>
          <w:sz w:val="18"/>
          <w:szCs w:val="18"/>
          <w:color w:val="auto"/>
        </w:rPr>
        <w:t>SOUTH SAN FRANCISCO, Calif., February 24, 2025 --- Veracyte, Inc. (Nasdaq: VCYT) today announced financial results for the fourth quarter and full year ended December 31, 2024.</w:t>
      </w:r>
    </w:p>
    <w:p>
      <w:pPr>
        <w:spacing w:after="0" w:line="153" w:lineRule="exact"/>
        <w:rPr>
          <w:sz w:val="20"/>
          <w:szCs w:val="20"/>
          <w:color w:val="auto"/>
        </w:rPr>
      </w:pPr>
    </w:p>
    <w:p>
      <w:pPr>
        <w:ind w:right="120"/>
        <w:spacing w:after="0" w:line="244" w:lineRule="auto"/>
        <w:rPr>
          <w:sz w:val="20"/>
          <w:szCs w:val="20"/>
          <w:color w:val="auto"/>
        </w:rPr>
      </w:pPr>
      <w:r>
        <w:rPr>
          <w:rFonts w:ascii="Arial" w:cs="Arial" w:eastAsia="Arial" w:hAnsi="Arial"/>
          <w:sz w:val="18"/>
          <w:szCs w:val="18"/>
          <w:color w:val="auto"/>
        </w:rPr>
        <w:t>“I’m incredibly proud of what our team accomplished in 2024,” said Marc Stapley, Veracyte’s chief executive officer. “We ended the year with exceptional performance, delivering record revenue in Q4 and achieving our 10th consecutive quarter of 20% or greater testing revenue growth. Looking ahead to 2025, we see significant opportunities for Decipher and Afirma to impact more patients and drive growth for Veracyte. We are focused on moving forward with our exciting portfolio of strategic growth drivers while maintaining the financial discipline that has been core to our success.”</w:t>
      </w: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Key Fourth Quarter 2024 Financial Highlights</w:t>
      </w:r>
    </w:p>
    <w:p>
      <w:pPr>
        <w:spacing w:after="0" w:line="14" w:lineRule="exact"/>
        <w:rPr>
          <w:sz w:val="20"/>
          <w:szCs w:val="20"/>
          <w:color w:val="auto"/>
        </w:rPr>
      </w:pPr>
    </w:p>
    <w:p>
      <w:pPr>
        <w:spacing w:after="0"/>
        <w:rPr>
          <w:sz w:val="20"/>
          <w:szCs w:val="20"/>
          <w:color w:val="auto"/>
        </w:rPr>
      </w:pPr>
      <w:r>
        <w:rPr>
          <w:rFonts w:ascii="Arial" w:cs="Arial" w:eastAsia="Arial" w:hAnsi="Arial"/>
          <w:sz w:val="18"/>
          <w:szCs w:val="18"/>
          <w:color w:val="auto"/>
        </w:rPr>
        <w:t>For the three-month period ended December 31, 2024, as compared to the same period in 2023:</w:t>
      </w:r>
    </w:p>
    <w:p>
      <w:pPr>
        <w:spacing w:after="0" w:line="86" w:lineRule="exact"/>
        <w:rPr>
          <w:sz w:val="20"/>
          <w:szCs w:val="20"/>
          <w:color w:val="auto"/>
        </w:rPr>
      </w:pPr>
    </w:p>
    <w:p>
      <w:pPr>
        <w:ind w:left="660" w:hanging="328"/>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Increased total revenue by 21% to $118.6 million and testing revenue by 24% to $112.2 million.</w:t>
      </w:r>
    </w:p>
    <w:p>
      <w:pPr>
        <w:spacing w:after="0" w:line="103" w:lineRule="exact"/>
        <w:rPr>
          <w:rFonts w:ascii="Arial" w:cs="Arial" w:eastAsia="Arial" w:hAnsi="Arial"/>
          <w:sz w:val="18"/>
          <w:szCs w:val="18"/>
          <w:color w:val="auto"/>
        </w:rPr>
      </w:pPr>
    </w:p>
    <w:p>
      <w:pPr>
        <w:ind w:left="660" w:hanging="328"/>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Increased total volume by 22% to 41,271 tests and testing volume by 25% to 39,107 tests.</w:t>
      </w:r>
    </w:p>
    <w:p>
      <w:pPr>
        <w:spacing w:after="0" w:line="103" w:lineRule="exact"/>
        <w:rPr>
          <w:rFonts w:ascii="Arial" w:cs="Arial" w:eastAsia="Arial" w:hAnsi="Arial"/>
          <w:sz w:val="18"/>
          <w:szCs w:val="18"/>
          <w:color w:val="auto"/>
        </w:rPr>
      </w:pPr>
    </w:p>
    <w:p>
      <w:pPr>
        <w:ind w:left="660" w:hanging="328"/>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Grew Decipher revenue by 44% and Afirma revenue by 4%.</w:t>
      </w:r>
    </w:p>
    <w:p>
      <w:pPr>
        <w:spacing w:after="0" w:line="103" w:lineRule="exact"/>
        <w:rPr>
          <w:rFonts w:ascii="Arial" w:cs="Arial" w:eastAsia="Arial" w:hAnsi="Arial"/>
          <w:sz w:val="18"/>
          <w:szCs w:val="18"/>
          <w:color w:val="auto"/>
        </w:rPr>
      </w:pPr>
    </w:p>
    <w:p>
      <w:pPr>
        <w:ind w:left="660" w:hanging="328"/>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Grew Decipher volume by 45% to more than 22,400 tests and Afirma volume by 8% to more than 16,300 tests.</w:t>
      </w:r>
    </w:p>
    <w:p>
      <w:pPr>
        <w:spacing w:after="0" w:line="103" w:lineRule="exact"/>
        <w:rPr>
          <w:rFonts w:ascii="Arial" w:cs="Arial" w:eastAsia="Arial" w:hAnsi="Arial"/>
          <w:sz w:val="18"/>
          <w:szCs w:val="18"/>
          <w:color w:val="auto"/>
        </w:rPr>
      </w:pPr>
    </w:p>
    <w:p>
      <w:pPr>
        <w:ind w:left="660" w:hanging="328"/>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Increased net income to $5.1 million, or 4.3% of revenue, and delivered adjusted EBITDA of $26.1 million, or 22.0% of revenue.</w:t>
      </w:r>
    </w:p>
    <w:p>
      <w:pPr>
        <w:spacing w:after="0" w:line="103" w:lineRule="exact"/>
        <w:rPr>
          <w:rFonts w:ascii="Arial" w:cs="Arial" w:eastAsia="Arial" w:hAnsi="Arial"/>
          <w:sz w:val="18"/>
          <w:szCs w:val="18"/>
          <w:color w:val="auto"/>
        </w:rPr>
      </w:pPr>
    </w:p>
    <w:p>
      <w:pPr>
        <w:ind w:left="660" w:hanging="328"/>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Generated $24.5 million of cash from operations.</w:t>
      </w:r>
    </w:p>
    <w:p>
      <w:pPr>
        <w:spacing w:after="0" w:line="200" w:lineRule="exact"/>
        <w:rPr>
          <w:sz w:val="20"/>
          <w:szCs w:val="20"/>
          <w:color w:val="auto"/>
        </w:rPr>
      </w:pPr>
    </w:p>
    <w:p>
      <w:pPr>
        <w:spacing w:after="0" w:line="25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Key Full Year 2024 Financial Highlights</w:t>
      </w:r>
    </w:p>
    <w:p>
      <w:pPr>
        <w:spacing w:after="0" w:line="14" w:lineRule="exact"/>
        <w:rPr>
          <w:sz w:val="20"/>
          <w:szCs w:val="20"/>
          <w:color w:val="auto"/>
        </w:rPr>
      </w:pPr>
    </w:p>
    <w:p>
      <w:pPr>
        <w:spacing w:after="0"/>
        <w:rPr>
          <w:sz w:val="20"/>
          <w:szCs w:val="20"/>
          <w:color w:val="auto"/>
        </w:rPr>
      </w:pPr>
      <w:r>
        <w:rPr>
          <w:rFonts w:ascii="Arial" w:cs="Arial" w:eastAsia="Arial" w:hAnsi="Arial"/>
          <w:sz w:val="18"/>
          <w:szCs w:val="18"/>
          <w:color w:val="auto"/>
        </w:rPr>
        <w:t>For the twelve-month period ended December 31, 2024, as compared to the same period in 2023:</w:t>
      </w:r>
    </w:p>
    <w:p>
      <w:pPr>
        <w:spacing w:after="0" w:line="86" w:lineRule="exact"/>
        <w:rPr>
          <w:sz w:val="20"/>
          <w:szCs w:val="20"/>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Increased total revenue by 23% to $445.8 million and testing revenue by 28% to $419.0 million.</w:t>
      </w:r>
    </w:p>
    <w:p>
      <w:pPr>
        <w:spacing w:after="0" w:line="103"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Increased total volume by 20% to 152,750 tests and testing volume by 23% to 142,925 tests.</w:t>
      </w:r>
    </w:p>
    <w:p>
      <w:pPr>
        <w:spacing w:after="0" w:line="103"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Grew Decipher revenue by 43% and Afirma revenue by 14%.</w:t>
      </w:r>
    </w:p>
    <w:p>
      <w:pPr>
        <w:spacing w:after="0" w:line="90"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Grew Decipher volume by 36% to more than 80,000 tests and Afirma volume by 12% to more than 60,000 tests.</w:t>
      </w:r>
    </w:p>
    <w:p>
      <w:pPr>
        <w:spacing w:after="0" w:line="103"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Increased net income to $24.1 million, or 5.4% of revenue, and delivered adjusted EBITDA of $91.9 million, or 20.6% of revenue.</w:t>
      </w:r>
    </w:p>
    <w:p>
      <w:pPr>
        <w:spacing w:after="0" w:line="103" w:lineRule="exact"/>
        <w:rPr>
          <w:rFonts w:ascii="Arial" w:cs="Arial" w:eastAsia="Arial" w:hAnsi="Arial"/>
          <w:sz w:val="18"/>
          <w:szCs w:val="18"/>
          <w:color w:val="auto"/>
        </w:rPr>
      </w:pPr>
    </w:p>
    <w:p>
      <w:pPr>
        <w:ind w:left="660" w:right="680" w:hanging="328"/>
        <w:spacing w:after="0" w:line="271" w:lineRule="auto"/>
        <w:tabs>
          <w:tab w:leader="none" w:pos="655" w:val="left"/>
        </w:tabs>
        <w:numPr>
          <w:ilvl w:val="0"/>
          <w:numId w:val="3"/>
        </w:numPr>
        <w:rPr>
          <w:rFonts w:ascii="Arial" w:cs="Arial" w:eastAsia="Arial" w:hAnsi="Arial"/>
          <w:sz w:val="18"/>
          <w:szCs w:val="18"/>
          <w:color w:val="auto"/>
        </w:rPr>
      </w:pPr>
      <w:r>
        <w:rPr>
          <w:rFonts w:ascii="Arial" w:cs="Arial" w:eastAsia="Arial" w:hAnsi="Arial"/>
          <w:sz w:val="18"/>
          <w:szCs w:val="18"/>
          <w:color w:val="auto"/>
        </w:rPr>
        <w:t>Generated $75.1 million of cash from operations to end the year with $289.4 million of cash, cash equivalents and short-term investments.</w:t>
      </w:r>
    </w:p>
    <w:p>
      <w:pPr>
        <w:spacing w:after="0" w:line="39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Key Business Highlights</w:t>
      </w:r>
    </w:p>
    <w:p>
      <w:pPr>
        <w:sectPr>
          <w:pgSz w:w="11900" w:h="16838" w:orient="portrait"/>
          <w:cols w:equalWidth="0" w:num="1">
            <w:col w:w="11240"/>
          </w:cols>
          <w:pgMar w:left="320" w:top="890" w:right="339" w:bottom="1440" w:gutter="0" w:footer="0" w:header="0"/>
        </w:sectPr>
      </w:pPr>
    </w:p>
    <w:bookmarkStart w:id="4" w:name="page5"/>
    <w:bookmarkEnd w:id="4"/>
    <w:p>
      <w:pPr>
        <w:ind w:left="660" w:right="100" w:hanging="328"/>
        <w:spacing w:after="0" w:line="245" w:lineRule="auto"/>
        <w:tabs>
          <w:tab w:leader="none" w:pos="655" w:val="left"/>
        </w:tabs>
        <w:numPr>
          <w:ilvl w:val="1"/>
          <w:numId w:val="4"/>
        </w:numPr>
        <w:rPr>
          <w:rFonts w:ascii="Arial" w:cs="Arial" w:eastAsia="Arial" w:hAnsi="Arial"/>
          <w:sz w:val="22"/>
          <w:szCs w:val="22"/>
          <w:color w:val="auto"/>
        </w:rPr>
      </w:pPr>
      <w:r>
        <w:rPr>
          <w:rFonts w:ascii="Arial" w:cs="Arial" w:eastAsia="Arial" w:hAnsi="Arial"/>
          <w:sz w:val="18"/>
          <w:szCs w:val="18"/>
          <w:color w:val="auto"/>
        </w:rPr>
        <w:t>Through Level I evidence for the 22-Gene Genomic Classifier (GC) (Decipher), secured its position as the only gene expression test included in V1.2025 of the NCCN Clinical Practice Guidelines in Oncology (NCCN Guidelines®) for Prostate Cancer published in December 2024.</w:t>
      </w:r>
      <w:r>
        <w:rPr>
          <w:rFonts w:ascii="Arial" w:cs="Arial" w:eastAsia="Arial" w:hAnsi="Arial"/>
          <w:sz w:val="23"/>
          <w:szCs w:val="23"/>
          <w:color w:val="auto"/>
          <w:vertAlign w:val="superscript"/>
        </w:rPr>
        <w:t>1</w:t>
      </w:r>
    </w:p>
    <w:p>
      <w:pPr>
        <w:ind w:left="660" w:right="240" w:hanging="328"/>
        <w:spacing w:after="0" w:line="258" w:lineRule="auto"/>
        <w:tabs>
          <w:tab w:leader="none" w:pos="655" w:val="left"/>
        </w:tabs>
        <w:numPr>
          <w:ilvl w:val="1"/>
          <w:numId w:val="4"/>
        </w:numPr>
        <w:rPr>
          <w:rFonts w:ascii="Arial" w:cs="Arial" w:eastAsia="Arial" w:hAnsi="Arial"/>
          <w:sz w:val="18"/>
          <w:szCs w:val="18"/>
          <w:color w:val="auto"/>
        </w:rPr>
      </w:pPr>
      <w:r>
        <w:rPr>
          <w:rFonts w:ascii="Arial" w:cs="Arial" w:eastAsia="Arial" w:hAnsi="Arial"/>
          <w:sz w:val="18"/>
          <w:szCs w:val="18"/>
          <w:color w:val="auto"/>
        </w:rPr>
        <w:t>Received approval from Molecular Diagnostic Services Program (MolDx) for the technical assessment submission for Decipher for use in the metastatic population.</w:t>
      </w:r>
    </w:p>
    <w:p>
      <w:pPr>
        <w:spacing w:after="0" w:line="56" w:lineRule="exact"/>
        <w:rPr>
          <w:rFonts w:ascii="Arial" w:cs="Arial" w:eastAsia="Arial" w:hAnsi="Arial"/>
          <w:sz w:val="18"/>
          <w:szCs w:val="18"/>
          <w:color w:val="auto"/>
        </w:rPr>
      </w:pPr>
    </w:p>
    <w:p>
      <w:pPr>
        <w:ind w:left="660" w:right="360" w:hanging="328"/>
        <w:spacing w:after="0" w:line="253" w:lineRule="auto"/>
        <w:tabs>
          <w:tab w:leader="none" w:pos="655" w:val="left"/>
        </w:tabs>
        <w:numPr>
          <w:ilvl w:val="1"/>
          <w:numId w:val="4"/>
        </w:numPr>
        <w:rPr>
          <w:rFonts w:ascii="Arial" w:cs="Arial" w:eastAsia="Arial" w:hAnsi="Arial"/>
          <w:sz w:val="18"/>
          <w:szCs w:val="18"/>
          <w:color w:val="auto"/>
        </w:rPr>
      </w:pPr>
      <w:r>
        <w:rPr>
          <w:rFonts w:ascii="Arial" w:cs="Arial" w:eastAsia="Arial" w:hAnsi="Arial"/>
          <w:sz w:val="18"/>
          <w:szCs w:val="18"/>
          <w:color w:val="auto"/>
        </w:rPr>
        <w:t>Announced 17 Decipher-focused abstracts to be presented at the 2025 ASCO GU Symposium demonstrating the power of the Veracyte diagnostics platform and Veracyte's commitment to continued leadership in supporting clinical research around urologic cancers.</w:t>
      </w:r>
    </w:p>
    <w:p>
      <w:pPr>
        <w:spacing w:after="0" w:line="60" w:lineRule="exact"/>
        <w:rPr>
          <w:rFonts w:ascii="Arial" w:cs="Arial" w:eastAsia="Arial" w:hAnsi="Arial"/>
          <w:sz w:val="18"/>
          <w:szCs w:val="18"/>
          <w:color w:val="auto"/>
        </w:rPr>
      </w:pPr>
    </w:p>
    <w:p>
      <w:pPr>
        <w:ind w:left="660" w:hanging="328"/>
        <w:spacing w:after="0"/>
        <w:tabs>
          <w:tab w:leader="none" w:pos="660" w:val="left"/>
        </w:tabs>
        <w:numPr>
          <w:ilvl w:val="1"/>
          <w:numId w:val="4"/>
        </w:numPr>
        <w:rPr>
          <w:rFonts w:ascii="Arial" w:cs="Arial" w:eastAsia="Arial" w:hAnsi="Arial"/>
          <w:sz w:val="18"/>
          <w:szCs w:val="18"/>
          <w:color w:val="auto"/>
        </w:rPr>
      </w:pPr>
      <w:r>
        <w:rPr>
          <w:rFonts w:ascii="Arial" w:cs="Arial" w:eastAsia="Arial" w:hAnsi="Arial"/>
          <w:sz w:val="18"/>
          <w:szCs w:val="18"/>
          <w:color w:val="auto"/>
        </w:rPr>
        <w:t>Published our 2024 Environmental, Social and Governance Report.</w:t>
      </w:r>
    </w:p>
    <w:p>
      <w:pPr>
        <w:spacing w:after="0" w:line="117" w:lineRule="exact"/>
        <w:rPr>
          <w:rFonts w:ascii="Arial" w:cs="Arial" w:eastAsia="Arial" w:hAnsi="Arial"/>
          <w:sz w:val="18"/>
          <w:szCs w:val="18"/>
          <w:color w:val="auto"/>
        </w:rPr>
      </w:pPr>
    </w:p>
    <w:p>
      <w:pPr>
        <w:ind w:left="340" w:right="40" w:hanging="324"/>
        <w:spacing w:after="0" w:line="238" w:lineRule="auto"/>
        <w:rPr>
          <w:rFonts w:ascii="Arial" w:cs="Arial" w:eastAsia="Arial" w:hAnsi="Arial"/>
          <w:sz w:val="18"/>
          <w:szCs w:val="18"/>
          <w:color w:val="auto"/>
        </w:rPr>
      </w:pPr>
      <w:r>
        <w:rPr>
          <w:rFonts w:ascii="Arial" w:cs="Arial" w:eastAsia="Arial" w:hAnsi="Arial"/>
          <w:sz w:val="21"/>
          <w:szCs w:val="21"/>
          <w:color w:val="auto"/>
          <w:vertAlign w:val="superscript"/>
        </w:rPr>
        <w:t>1</w:t>
      </w:r>
      <w:r>
        <w:rPr>
          <w:rFonts w:ascii="Arial" w:cs="Arial" w:eastAsia="Arial" w:hAnsi="Arial"/>
          <w:sz w:val="18"/>
          <w:szCs w:val="18"/>
          <w:color w:val="auto"/>
        </w:rPr>
        <w:t xml:space="preserve"> NCCN = National Comprehensive Cancer Network® (NCCN®). Referenced with permission from the NCCN Clinical Practice Guidelines in Oncology (NCCN Guidelines®) for Prostate Cancer v.1.2025. © National Comprehensive Cancer Network, Inc. 2024. All rights reserved. Accessed February 12, 2025. To view the most recent and complete version of the guideline, go online to NCCN.org. NCCN makes no warranties of any kind whatsoever regarding their content, use or application and disclaims any responsibility for their application or use in any way.</w:t>
      </w:r>
    </w:p>
    <w:p>
      <w:pPr>
        <w:spacing w:after="0" w:line="200" w:lineRule="exact"/>
        <w:rPr>
          <w:sz w:val="20"/>
          <w:szCs w:val="20"/>
          <w:color w:val="auto"/>
        </w:rPr>
      </w:pP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Fourth Quarter 2024 Financial Results</w:t>
      </w:r>
    </w:p>
    <w:p>
      <w:pPr>
        <w:spacing w:after="0" w:line="239" w:lineRule="exact"/>
        <w:rPr>
          <w:sz w:val="20"/>
          <w:szCs w:val="20"/>
          <w:color w:val="auto"/>
        </w:rPr>
      </w:pPr>
    </w:p>
    <w:p>
      <w:pPr>
        <w:spacing w:after="0" w:line="237" w:lineRule="auto"/>
        <w:rPr>
          <w:sz w:val="20"/>
          <w:szCs w:val="20"/>
          <w:color w:val="auto"/>
        </w:rPr>
      </w:pPr>
      <w:r>
        <w:rPr>
          <w:rFonts w:ascii="Arial" w:cs="Arial" w:eastAsia="Arial" w:hAnsi="Arial"/>
          <w:sz w:val="18"/>
          <w:szCs w:val="18"/>
          <w:color w:val="auto"/>
        </w:rPr>
        <w:t>Total revenue for the fourth quarter of 2024 was $118.6 million, an increase of 21% compared to $98.2 million reported in the fourth quarter of 2023. Testing revenue was $112.2 million, an increase of 24% compared to $90.4 million in the fourth quarter of 2023, driven by the strong</w:t>
      </w:r>
    </w:p>
    <w:p>
      <w:pPr>
        <w:spacing w:after="0" w:line="1" w:lineRule="exact"/>
        <w:rPr>
          <w:sz w:val="20"/>
          <w:szCs w:val="20"/>
          <w:color w:val="auto"/>
        </w:rPr>
      </w:pPr>
    </w:p>
    <w:p>
      <w:pPr>
        <w:jc w:val="both"/>
        <w:ind w:right="160"/>
        <w:spacing w:after="0" w:line="242" w:lineRule="auto"/>
        <w:rPr>
          <w:sz w:val="20"/>
          <w:szCs w:val="20"/>
          <w:color w:val="auto"/>
        </w:rPr>
      </w:pPr>
      <w:r>
        <w:rPr>
          <w:rFonts w:ascii="Arial" w:cs="Arial" w:eastAsia="Arial" w:hAnsi="Arial"/>
          <w:sz w:val="18"/>
          <w:szCs w:val="18"/>
          <w:color w:val="auto"/>
        </w:rPr>
        <w:t>performance of our Decipher and Afirma tests. Product revenue was $3.0 million, a decrease of 18% compared to $3.7 million in the fourth quarter of 2023. Biopharmaceutical and other revenue was $3.5 million, a decrease of 17% compared to $4.1 million in the fourth quarter of 2023.</w:t>
      </w:r>
    </w:p>
    <w:p>
      <w:pPr>
        <w:spacing w:after="0" w:line="206" w:lineRule="exact"/>
        <w:rPr>
          <w:sz w:val="20"/>
          <w:szCs w:val="20"/>
          <w:color w:val="auto"/>
        </w:rPr>
      </w:pPr>
    </w:p>
    <w:p>
      <w:pPr>
        <w:ind w:right="120"/>
        <w:spacing w:after="0" w:line="271" w:lineRule="auto"/>
        <w:rPr>
          <w:sz w:val="20"/>
          <w:szCs w:val="20"/>
          <w:color w:val="auto"/>
        </w:rPr>
      </w:pPr>
      <w:r>
        <w:rPr>
          <w:rFonts w:ascii="Arial" w:cs="Arial" w:eastAsia="Arial" w:hAnsi="Arial"/>
          <w:sz w:val="18"/>
          <w:szCs w:val="18"/>
          <w:color w:val="auto"/>
        </w:rPr>
        <w:t>Total gross margin for the fourth quarter of 2024 was 66.4%, compared to 66.0% in the fourth quarter of 2023. Non-GAAP gross margin was 69.3%, compared to 70.6% in the fourth quarter of 2023.</w:t>
      </w:r>
    </w:p>
    <w:p>
      <w:pPr>
        <w:spacing w:after="0" w:line="181" w:lineRule="exact"/>
        <w:rPr>
          <w:sz w:val="20"/>
          <w:szCs w:val="20"/>
          <w:color w:val="auto"/>
        </w:rPr>
      </w:pPr>
    </w:p>
    <w:p>
      <w:pPr>
        <w:ind w:right="280"/>
        <w:spacing w:after="0" w:line="271" w:lineRule="auto"/>
        <w:rPr>
          <w:sz w:val="20"/>
          <w:szCs w:val="20"/>
          <w:color w:val="auto"/>
        </w:rPr>
      </w:pPr>
      <w:r>
        <w:rPr>
          <w:rFonts w:ascii="Arial" w:cs="Arial" w:eastAsia="Arial" w:hAnsi="Arial"/>
          <w:sz w:val="18"/>
          <w:szCs w:val="18"/>
          <w:color w:val="auto"/>
        </w:rPr>
        <w:t>Operating expenses were $74.6 million for the fourth quarter of 2024. Non-GAAP operating expenses were $57.9 million, flat compared to $57.9 million in the fourth quarter of 2023.</w:t>
      </w:r>
    </w:p>
    <w:p>
      <w:pPr>
        <w:spacing w:after="0" w:line="181" w:lineRule="exact"/>
        <w:rPr>
          <w:sz w:val="20"/>
          <w:szCs w:val="20"/>
          <w:color w:val="auto"/>
        </w:rPr>
      </w:pPr>
    </w:p>
    <w:p>
      <w:pPr>
        <w:ind w:right="300"/>
        <w:spacing w:after="0" w:line="244" w:lineRule="auto"/>
        <w:rPr>
          <w:sz w:val="20"/>
          <w:szCs w:val="20"/>
          <w:color w:val="auto"/>
        </w:rPr>
      </w:pPr>
      <w:r>
        <w:rPr>
          <w:rFonts w:ascii="Arial" w:cs="Arial" w:eastAsia="Arial" w:hAnsi="Arial"/>
          <w:sz w:val="18"/>
          <w:szCs w:val="18"/>
          <w:color w:val="auto"/>
        </w:rPr>
        <w:t>Net income for the fourth quarter of 2024 was $5.1 million, an improvement of 118% compared to the fourth quarter of 2023, representing 4.3% of revenue compared to (28.8%) in the same period in 2023. Diluted net earnings per common share was $0.06, an improvement of $0.45 compared to the fourth quarter of 2023. Non-GAAP diluted net earnings per common share was $ 0.36, an improvement of $0.15 compared to the fourth quarter of 2023. Net cash provided by operating activities in the fourth quarter of 2024 was $24.5 million, an improvement of $9.0 million compared to the same period in 2023.</w:t>
      </w:r>
    </w:p>
    <w:p>
      <w:pPr>
        <w:spacing w:after="0" w:line="190" w:lineRule="exact"/>
        <w:rPr>
          <w:sz w:val="20"/>
          <w:szCs w:val="20"/>
          <w:color w:val="auto"/>
        </w:rPr>
      </w:pPr>
    </w:p>
    <w:p>
      <w:pPr>
        <w:ind w:right="880"/>
        <w:spacing w:after="0" w:line="271" w:lineRule="auto"/>
        <w:rPr>
          <w:sz w:val="20"/>
          <w:szCs w:val="20"/>
          <w:color w:val="auto"/>
        </w:rPr>
      </w:pPr>
      <w:r>
        <w:rPr>
          <w:rFonts w:ascii="Arial" w:cs="Arial" w:eastAsia="Arial" w:hAnsi="Arial"/>
          <w:sz w:val="18"/>
          <w:szCs w:val="18"/>
          <w:color w:val="auto"/>
        </w:rPr>
        <w:t>Adjusted EBITDA for the fourth quarter of 2024 was $26.1 million, an improvement of 76% compared to the fourth quarter of 2023, representing 22.0% of revenue compared to 15.1% of revenue in the same period of 2023.</w:t>
      </w: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Full Year 2024 Financial Results</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color w:val="auto"/>
        </w:rPr>
        <w:t>Total revenue for 2024 was $445.8 million, an increase of 23% compared to $361.1 million in 2023. Testing revenue was $419.0 million, an</w:t>
      </w:r>
    </w:p>
    <w:p>
      <w:pPr>
        <w:spacing w:after="0" w:line="14" w:lineRule="exact"/>
        <w:rPr>
          <w:sz w:val="20"/>
          <w:szCs w:val="20"/>
          <w:color w:val="auto"/>
        </w:rPr>
      </w:pPr>
    </w:p>
    <w:p>
      <w:pPr>
        <w:ind w:right="300"/>
        <w:spacing w:after="0" w:line="226" w:lineRule="auto"/>
        <w:rPr>
          <w:sz w:val="20"/>
          <w:szCs w:val="20"/>
          <w:color w:val="auto"/>
        </w:rPr>
      </w:pPr>
      <w:r>
        <w:rPr>
          <w:rFonts w:ascii="Arial" w:cs="Arial" w:eastAsia="Arial" w:hAnsi="Arial"/>
          <w:sz w:val="18"/>
          <w:szCs w:val="18"/>
          <w:color w:val="auto"/>
        </w:rPr>
        <w:t>increase of 28% compared to $326.5 million in 2023, driven by the strong performance of our Decipher and Afirma tests. Product revenue was $13.7 million, a decrease of 12% compared to $15.6 million in 2023. Biopharmaceutical and other revenue was $13.2 million, a</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decrease of 30% compared to $18.9 million in 2023.</w:t>
      </w:r>
    </w:p>
    <w:p>
      <w:pPr>
        <w:spacing w:after="0" w:line="221" w:lineRule="exact"/>
        <w:rPr>
          <w:sz w:val="20"/>
          <w:szCs w:val="20"/>
          <w:color w:val="auto"/>
        </w:rPr>
      </w:pPr>
    </w:p>
    <w:p>
      <w:pPr>
        <w:ind w:right="180"/>
        <w:spacing w:after="0" w:line="271" w:lineRule="auto"/>
        <w:rPr>
          <w:sz w:val="20"/>
          <w:szCs w:val="20"/>
          <w:color w:val="auto"/>
        </w:rPr>
      </w:pPr>
      <w:r>
        <w:rPr>
          <w:rFonts w:ascii="Arial" w:cs="Arial" w:eastAsia="Arial" w:hAnsi="Arial"/>
          <w:sz w:val="18"/>
          <w:szCs w:val="18"/>
          <w:color w:val="auto"/>
        </w:rPr>
        <w:t>Total gross margin for the full year 2024 was 66.9%, compared to 63.6% in 2023. Non-GAAP gross margin was 70.0%, compared to 69.3% in 2023.</w:t>
      </w:r>
    </w:p>
    <w:p>
      <w:pPr>
        <w:spacing w:after="0" w:line="181" w:lineRule="exact"/>
        <w:rPr>
          <w:sz w:val="20"/>
          <w:szCs w:val="20"/>
          <w:color w:val="auto"/>
        </w:rPr>
      </w:pPr>
    </w:p>
    <w:p>
      <w:pPr>
        <w:ind w:right="560"/>
        <w:spacing w:after="0" w:line="271" w:lineRule="auto"/>
        <w:rPr>
          <w:sz w:val="20"/>
          <w:szCs w:val="20"/>
          <w:color w:val="auto"/>
        </w:rPr>
      </w:pPr>
      <w:r>
        <w:rPr>
          <w:rFonts w:ascii="Arial" w:cs="Arial" w:eastAsia="Arial" w:hAnsi="Arial"/>
          <w:sz w:val="18"/>
          <w:szCs w:val="18"/>
          <w:color w:val="auto"/>
        </w:rPr>
        <w:t>Operating expenses were $282.0 million for the full year 2024. Non-GAAP operating expenses grew 7% to $227.6 million compared to $212.5 million in 2023.</w:t>
      </w:r>
    </w:p>
    <w:p>
      <w:pPr>
        <w:spacing w:after="0" w:line="181" w:lineRule="exact"/>
        <w:rPr>
          <w:sz w:val="20"/>
          <w:szCs w:val="20"/>
          <w:color w:val="auto"/>
        </w:rPr>
      </w:pPr>
    </w:p>
    <w:p>
      <w:pPr>
        <w:ind w:right="100"/>
        <w:spacing w:after="0" w:line="271" w:lineRule="auto"/>
        <w:rPr>
          <w:sz w:val="20"/>
          <w:szCs w:val="20"/>
          <w:color w:val="auto"/>
        </w:rPr>
      </w:pPr>
      <w:r>
        <w:rPr>
          <w:rFonts w:ascii="Arial" w:cs="Arial" w:eastAsia="Arial" w:hAnsi="Arial"/>
          <w:sz w:val="18"/>
          <w:szCs w:val="18"/>
          <w:color w:val="auto"/>
        </w:rPr>
        <w:t>Net income for the full year 2024 was $24.1 million, an improvement of 132% compared to 2023, representing 5.4% of revenue compared to (20.6%) in 2023. Diluted net earnings per common share was $0.31, an</w:t>
      </w:r>
    </w:p>
    <w:p>
      <w:pPr>
        <w:sectPr>
          <w:pgSz w:w="11900" w:h="16838" w:orient="portrait"/>
          <w:cols w:equalWidth="0" w:num="1">
            <w:col w:w="11240"/>
          </w:cols>
          <w:pgMar w:left="320" w:top="917" w:right="339" w:bottom="1440" w:gutter="0" w:footer="0" w:header="0"/>
        </w:sectPr>
      </w:pPr>
    </w:p>
    <w:bookmarkStart w:id="5" w:name="page6"/>
    <w:bookmarkEnd w:id="5"/>
    <w:p>
      <w:pPr>
        <w:spacing w:after="0" w:line="271" w:lineRule="auto"/>
        <w:rPr>
          <w:sz w:val="20"/>
          <w:szCs w:val="20"/>
          <w:color w:val="auto"/>
        </w:rPr>
      </w:pPr>
      <w:r>
        <w:rPr>
          <w:rFonts w:ascii="Arial" w:cs="Arial" w:eastAsia="Arial" w:hAnsi="Arial"/>
          <w:sz w:val="18"/>
          <w:szCs w:val="18"/>
          <w:color w:val="auto"/>
        </w:rPr>
        <w:t>improvement of $1.33 compared to 2023. Non-GAAP diluted net earnings per common share was $1.19, an improvement of $0.61 compared to 2023. Net cash provided by operating activities in 2024 was $75.1 million, an improvement of $30.9 million compared to 2023.</w:t>
      </w:r>
    </w:p>
    <w:p>
      <w:pPr>
        <w:spacing w:after="0" w:line="181" w:lineRule="exact"/>
        <w:rPr>
          <w:sz w:val="20"/>
          <w:szCs w:val="20"/>
          <w:color w:val="auto"/>
        </w:rPr>
      </w:pPr>
    </w:p>
    <w:p>
      <w:pPr>
        <w:ind w:right="520"/>
        <w:spacing w:after="0" w:line="271" w:lineRule="auto"/>
        <w:rPr>
          <w:sz w:val="20"/>
          <w:szCs w:val="20"/>
          <w:color w:val="auto"/>
        </w:rPr>
      </w:pPr>
      <w:r>
        <w:rPr>
          <w:rFonts w:ascii="Arial" w:cs="Arial" w:eastAsia="Arial" w:hAnsi="Arial"/>
          <w:sz w:val="18"/>
          <w:szCs w:val="18"/>
          <w:color w:val="auto"/>
        </w:rPr>
        <w:t>Adjusted EBITDA for the full year 2024 was $91.9 million, an improvement of 102% compared to 2023, representing 20.6% of revenue compared to 12.6% of revenue in 2023.</w:t>
      </w:r>
    </w:p>
    <w:p>
      <w:pPr>
        <w:spacing w:after="0" w:line="181" w:lineRule="exact"/>
        <w:rPr>
          <w:sz w:val="20"/>
          <w:szCs w:val="20"/>
          <w:color w:val="auto"/>
        </w:rPr>
      </w:pPr>
    </w:p>
    <w:p>
      <w:pPr>
        <w:ind w:right="160"/>
        <w:spacing w:after="0" w:line="271" w:lineRule="auto"/>
        <w:rPr>
          <w:sz w:val="20"/>
          <w:szCs w:val="20"/>
          <w:color w:val="auto"/>
        </w:rPr>
      </w:pPr>
      <w:r>
        <w:rPr>
          <w:rFonts w:ascii="Arial" w:cs="Arial" w:eastAsia="Arial" w:hAnsi="Arial"/>
          <w:sz w:val="18"/>
          <w:szCs w:val="18"/>
          <w:color w:val="auto"/>
        </w:rPr>
        <w:t>A reconciliation of GAAP to non-GAAP financial measures has been provided in the tables included in this press release. An explanation of these measures is also included below under the heading "Note Regarding Use of Non-GAAP Financial Measures."</w:t>
      </w: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Update on Marseille Operations</w:t>
      </w:r>
    </w:p>
    <w:p>
      <w:pPr>
        <w:spacing w:after="0" w:line="225" w:lineRule="exact"/>
        <w:rPr>
          <w:sz w:val="20"/>
          <w:szCs w:val="20"/>
          <w:color w:val="auto"/>
        </w:rPr>
      </w:pPr>
    </w:p>
    <w:p>
      <w:pPr>
        <w:ind w:right="100"/>
        <w:spacing w:after="0" w:line="244" w:lineRule="auto"/>
        <w:rPr>
          <w:sz w:val="20"/>
          <w:szCs w:val="20"/>
          <w:color w:val="auto"/>
        </w:rPr>
      </w:pPr>
      <w:r>
        <w:rPr>
          <w:rFonts w:ascii="Arial" w:cs="Arial" w:eastAsia="Arial" w:hAnsi="Arial"/>
          <w:sz w:val="18"/>
          <w:szCs w:val="18"/>
          <w:color w:val="auto"/>
        </w:rPr>
        <w:t>Veracyte is evaluating its ownership and operations of the company’s French subsidiary, Veracyte SAS, whose business is located in Marseille, France and includes Veracyte’s immune-oncology biopharma business, contract development and manufacturing, and support for Veracyte’s IVD development and manufacturing. Veracyte recently notified Veracyte SAS that, as sole shareholder of Veracyte SAS, it is considering no longer funding the French entity. Accordingly, Veracyte SAS will engage with its works council, as is required by French law, over the next few months.</w:t>
      </w:r>
    </w:p>
    <w:p>
      <w:pPr>
        <w:spacing w:after="0" w:line="190" w:lineRule="exact"/>
        <w:rPr>
          <w:sz w:val="20"/>
          <w:szCs w:val="20"/>
          <w:color w:val="auto"/>
        </w:rPr>
      </w:pPr>
    </w:p>
    <w:p>
      <w:pPr>
        <w:ind w:right="260"/>
        <w:spacing w:after="0" w:line="253" w:lineRule="auto"/>
        <w:rPr>
          <w:sz w:val="20"/>
          <w:szCs w:val="20"/>
          <w:color w:val="auto"/>
        </w:rPr>
      </w:pPr>
      <w:r>
        <w:rPr>
          <w:rFonts w:ascii="Arial" w:cs="Arial" w:eastAsia="Arial" w:hAnsi="Arial"/>
          <w:sz w:val="18"/>
          <w:szCs w:val="18"/>
          <w:color w:val="auto"/>
        </w:rPr>
        <w:t>Seeking external buyer(s) for a potential divestiture of all or part of the French entity’s activities is an option that is actively being explored. Without Veracyte Inc.’s continued funding or identification of a buyer for all or part of the Veracyte SAS assets, Veracyte SAS may be required to begin bankruptcy proceedings following its works council consultation period.</w:t>
      </w:r>
    </w:p>
    <w:p>
      <w:pPr>
        <w:spacing w:after="0" w:line="196" w:lineRule="exact"/>
        <w:rPr>
          <w:sz w:val="20"/>
          <w:szCs w:val="20"/>
          <w:color w:val="auto"/>
        </w:rPr>
      </w:pPr>
    </w:p>
    <w:p>
      <w:pPr>
        <w:ind w:right="220"/>
        <w:spacing w:after="0" w:line="271" w:lineRule="auto"/>
        <w:rPr>
          <w:sz w:val="20"/>
          <w:szCs w:val="20"/>
          <w:color w:val="auto"/>
        </w:rPr>
      </w:pPr>
      <w:r>
        <w:rPr>
          <w:rFonts w:ascii="Arial" w:cs="Arial" w:eastAsia="Arial" w:hAnsi="Arial"/>
          <w:sz w:val="18"/>
          <w:szCs w:val="18"/>
          <w:color w:val="auto"/>
        </w:rPr>
        <w:t>Management will provide further details on this process and its potential impact on Veracyte’s 2025 financial outlook during the conference call this afternoon.</w:t>
      </w: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2025 Financial Outlook</w:t>
      </w:r>
    </w:p>
    <w:p>
      <w:pPr>
        <w:spacing w:after="0" w:line="225" w:lineRule="exact"/>
        <w:rPr>
          <w:sz w:val="20"/>
          <w:szCs w:val="20"/>
          <w:color w:val="auto"/>
        </w:rPr>
      </w:pPr>
    </w:p>
    <w:p>
      <w:pPr>
        <w:ind w:right="140"/>
        <w:spacing w:after="0" w:line="247" w:lineRule="auto"/>
        <w:rPr>
          <w:sz w:val="20"/>
          <w:szCs w:val="20"/>
          <w:color w:val="auto"/>
        </w:rPr>
      </w:pPr>
      <w:r>
        <w:rPr>
          <w:rFonts w:ascii="Arial" w:cs="Arial" w:eastAsia="Arial" w:hAnsi="Arial"/>
          <w:sz w:val="18"/>
          <w:szCs w:val="18"/>
          <w:color w:val="222222"/>
        </w:rPr>
        <w:t>The company expects 2025 testing revenue to be in the range of $470 million to $480 million, or 12% to 15% year-over-year growth. Adjusting for the impact of the paused Envisia test, the guidance implies testing revenue growth of 14% to 16%. Given the number of variables impacting its Marseille, France operations, the company is not providing total company revenue guidance at this time and expects to provide its total revenue outlook for 2025 once there is more clarity on the timing and impact of the process underway.</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color w:val="222222"/>
        </w:rPr>
        <w:t>The company also expects adjusted EBITDA as a percentage of revenue in 2025 to be approximately 21.6% compared to 20.6% in 2024.</w:t>
      </w:r>
    </w:p>
    <w:p>
      <w:pPr>
        <w:spacing w:after="0" w:line="239" w:lineRule="exact"/>
        <w:rPr>
          <w:sz w:val="20"/>
          <w:szCs w:val="20"/>
          <w:color w:val="auto"/>
        </w:rPr>
      </w:pPr>
    </w:p>
    <w:p>
      <w:pPr>
        <w:ind w:right="80"/>
        <w:spacing w:after="0"/>
        <w:rPr>
          <w:sz w:val="20"/>
          <w:szCs w:val="20"/>
          <w:color w:val="auto"/>
        </w:rPr>
      </w:pPr>
      <w:r>
        <w:rPr>
          <w:rFonts w:ascii="Arial" w:cs="Arial" w:eastAsia="Arial" w:hAnsi="Arial"/>
          <w:sz w:val="18"/>
          <w:szCs w:val="18"/>
          <w:color w:val="222222"/>
        </w:rPr>
        <w:t>The company is unable to provide a quantitative reconciliation of expected adjusted EBITDA as a percentage of revenue to the most directly comparable forward-looking GAAP measure, without unreasonable effort, because of the inherent difficulty in accurately forecasting the occurrence and financial impact of the various adjusting items necessary for such reconciliations that have not yet occurred, that are dependent on various factors, are out of the company’s control, or that cannot be reasonably predicted. Such adjustments include, but are not limited to, acquisition related expenses, and other adjustments. Any associated estimate of these items and their impact on GAAP performance for the guidance period could vary materially. For more information on the non-GAAP financial measures, please refer to the section titled “Note Regarding Use of Non-GAAP Financial Measures” at the end of this press release.</w:t>
      </w:r>
    </w:p>
    <w:p>
      <w:pPr>
        <w:spacing w:after="0" w:line="200" w:lineRule="exact"/>
        <w:rPr>
          <w:sz w:val="20"/>
          <w:szCs w:val="20"/>
          <w:color w:val="auto"/>
        </w:rPr>
      </w:pP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Conference Call and Webcast Details</w:t>
      </w:r>
    </w:p>
    <w:p>
      <w:pPr>
        <w:spacing w:after="0" w:line="239" w:lineRule="exact"/>
        <w:rPr>
          <w:sz w:val="20"/>
          <w:szCs w:val="20"/>
          <w:color w:val="auto"/>
        </w:rPr>
      </w:pPr>
    </w:p>
    <w:p>
      <w:pPr>
        <w:ind w:right="260"/>
        <w:spacing w:after="0" w:line="244" w:lineRule="auto"/>
        <w:rPr>
          <w:sz w:val="20"/>
          <w:szCs w:val="20"/>
          <w:color w:val="auto"/>
        </w:rPr>
      </w:pPr>
      <w:r>
        <w:rPr>
          <w:rFonts w:ascii="Arial" w:cs="Arial" w:eastAsia="Arial" w:hAnsi="Arial"/>
          <w:sz w:val="18"/>
          <w:szCs w:val="18"/>
          <w:color w:val="auto"/>
        </w:rPr>
        <w:t xml:space="preserve">Veracyte will host a conference call and webcast today at 4:30 p.m. Eastern Time to discuss the company's financial results and provide a general business update. The conference call will be webcast live from the company’s website and will be available via the following link: </w:t>
      </w:r>
      <w:r>
        <w:rPr>
          <w:rFonts w:ascii="Arial" w:cs="Arial" w:eastAsia="Arial" w:hAnsi="Arial"/>
          <w:sz w:val="18"/>
          <w:szCs w:val="18"/>
          <w:color w:val="0563C1"/>
        </w:rPr>
        <w:t>https://edge.media-server.com/mmc/p/8em9yd38</w:t>
      </w:r>
      <w:r>
        <w:rPr>
          <w:rFonts w:ascii="Arial" w:cs="Arial" w:eastAsia="Arial" w:hAnsi="Arial"/>
          <w:sz w:val="18"/>
          <w:szCs w:val="18"/>
          <w:color w:val="000000"/>
        </w:rPr>
        <w:t>. The webcast should be accessed 10 minutes prior to the conference call start time. A</w:t>
      </w:r>
      <w:r>
        <w:rPr>
          <w:rFonts w:ascii="Arial" w:cs="Arial" w:eastAsia="Arial" w:hAnsi="Arial"/>
          <w:sz w:val="18"/>
          <w:szCs w:val="18"/>
          <w:color w:val="0563C1"/>
        </w:rPr>
        <w:t xml:space="preserve"> </w:t>
      </w:r>
      <w:r>
        <w:rPr>
          <w:rFonts w:ascii="Arial" w:cs="Arial" w:eastAsia="Arial" w:hAnsi="Arial"/>
          <w:sz w:val="18"/>
          <w:szCs w:val="18"/>
          <w:color w:val="000000"/>
        </w:rPr>
        <w:t>replay of the webcast will be available for one year following the conclusion of the live broadcast and will be accessible on the company’s website at https://investor.veracyte.com/events-presentations.</w:t>
      </w:r>
    </w:p>
    <w:p>
      <w:pPr>
        <w:sectPr>
          <w:pgSz w:w="11900" w:h="16838" w:orient="portrait"/>
          <w:cols w:equalWidth="0" w:num="1">
            <w:col w:w="11220"/>
          </w:cols>
          <w:pgMar w:left="320" w:top="877" w:right="359" w:bottom="1440" w:gutter="0" w:footer="0" w:header="0"/>
        </w:sectPr>
      </w:pPr>
    </w:p>
    <w:bookmarkStart w:id="6" w:name="page7"/>
    <w:bookmarkEnd w:id="6"/>
    <w:p>
      <w:pPr>
        <w:spacing w:after="0"/>
        <w:rPr>
          <w:sz w:val="20"/>
          <w:szCs w:val="20"/>
          <w:color w:val="auto"/>
        </w:rPr>
      </w:pPr>
      <w:r>
        <w:rPr>
          <w:rFonts w:ascii="Arial" w:cs="Arial" w:eastAsia="Arial" w:hAnsi="Arial"/>
          <w:sz w:val="18"/>
          <w:szCs w:val="18"/>
          <w:color w:val="auto"/>
        </w:rPr>
        <w:t>The conference call dial-in can be accessed by registering at the following link</w:t>
      </w:r>
      <w:r>
        <w:rPr>
          <w:rFonts w:ascii="Arial" w:cs="Arial" w:eastAsia="Arial" w:hAnsi="Arial"/>
          <w:sz w:val="18"/>
          <w:szCs w:val="18"/>
          <w:color w:val="0000FF"/>
        </w:rPr>
        <w:t>:</w:t>
      </w:r>
    </w:p>
    <w:p>
      <w:pPr>
        <w:spacing w:after="0" w:line="14" w:lineRule="exact"/>
        <w:rPr>
          <w:sz w:val="20"/>
          <w:szCs w:val="20"/>
          <w:color w:val="auto"/>
        </w:rPr>
      </w:pPr>
    </w:p>
    <w:p>
      <w:pPr>
        <w:spacing w:after="0"/>
        <w:rPr>
          <w:sz w:val="20"/>
          <w:szCs w:val="20"/>
          <w:color w:val="auto"/>
        </w:rPr>
      </w:pPr>
      <w:r>
        <w:rPr>
          <w:rFonts w:ascii="Arial" w:cs="Arial" w:eastAsia="Arial" w:hAnsi="Arial"/>
          <w:sz w:val="18"/>
          <w:szCs w:val="18"/>
          <w:color w:val="0563C1"/>
        </w:rPr>
        <w:t>https://register.vevent.com/register/BId0a04e7e33824346ad0b7e5eb4eb2525.</w:t>
      </w:r>
    </w:p>
    <w:p>
      <w:pPr>
        <w:spacing w:after="0" w:line="200" w:lineRule="exact"/>
        <w:rPr>
          <w:sz w:val="20"/>
          <w:szCs w:val="20"/>
          <w:color w:val="auto"/>
        </w:rPr>
      </w:pPr>
    </w:p>
    <w:p>
      <w:pPr>
        <w:spacing w:after="0" w:line="2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Veracyte</w:t>
      </w:r>
    </w:p>
    <w:p>
      <w:pPr>
        <w:spacing w:after="0" w:line="239" w:lineRule="exact"/>
        <w:rPr>
          <w:sz w:val="20"/>
          <w:szCs w:val="20"/>
          <w:color w:val="auto"/>
        </w:rPr>
      </w:pPr>
    </w:p>
    <w:p>
      <w:pPr>
        <w:ind w:right="120"/>
        <w:spacing w:after="0"/>
        <w:rPr>
          <w:sz w:val="20"/>
          <w:szCs w:val="20"/>
          <w:color w:val="auto"/>
        </w:rPr>
      </w:pPr>
      <w:r>
        <w:rPr>
          <w:rFonts w:ascii="Arial" w:cs="Arial" w:eastAsia="Arial" w:hAnsi="Arial"/>
          <w:sz w:val="18"/>
          <w:szCs w:val="18"/>
          <w:color w:val="222222"/>
        </w:rPr>
        <w:t>Veracyte (Nasdaq: VCYT) is a global diagnostics company whose vision is to transform cancer care for patients all over the world. We empower clinicians with the high-value insights they need to guide and assure patients at pivotal moments in the race to diagnose and treat cancer. Our Veracyte Diagnostics Platform delivers high-performing cancer tests that are fueled by broad genomic and clinical data, deep bioinformatic and AI capabilities, and a powerful evidence-generation engine, which ultimately drives durable reimbursement and guideline</w:t>
      </w:r>
    </w:p>
    <w:p>
      <w:pPr>
        <w:ind w:right="140"/>
        <w:spacing w:after="0" w:line="237" w:lineRule="auto"/>
        <w:rPr>
          <w:sz w:val="20"/>
          <w:szCs w:val="20"/>
          <w:color w:val="auto"/>
        </w:rPr>
      </w:pPr>
      <w:r>
        <w:rPr>
          <w:rFonts w:ascii="Arial" w:cs="Arial" w:eastAsia="Arial" w:hAnsi="Arial"/>
          <w:sz w:val="18"/>
          <w:szCs w:val="18"/>
          <w:color w:val="222222"/>
        </w:rPr>
        <w:t xml:space="preserve">inclusion for our tests, along with new insights to support continued innovation and pipeline development. </w:t>
      </w:r>
      <w:r>
        <w:rPr>
          <w:rFonts w:ascii="Arial" w:cs="Arial" w:eastAsia="Arial" w:hAnsi="Arial"/>
          <w:sz w:val="18"/>
          <w:szCs w:val="18"/>
          <w:color w:val="000000"/>
        </w:rPr>
        <w:t>For more information, please visit</w:t>
      </w:r>
      <w:r>
        <w:rPr>
          <w:rFonts w:ascii="Arial" w:cs="Arial" w:eastAsia="Arial" w:hAnsi="Arial"/>
          <w:sz w:val="18"/>
          <w:szCs w:val="18"/>
          <w:color w:val="222222"/>
        </w:rPr>
        <w:t xml:space="preserve"> </w:t>
      </w:r>
      <w:r>
        <w:rPr>
          <w:rFonts w:ascii="Arial" w:cs="Arial" w:eastAsia="Arial" w:hAnsi="Arial"/>
          <w:sz w:val="18"/>
          <w:szCs w:val="18"/>
          <w:color w:val="0563C1"/>
        </w:rPr>
        <w:t xml:space="preserve">www.veracyte.com </w:t>
      </w:r>
      <w:r>
        <w:rPr>
          <w:rFonts w:ascii="Arial" w:cs="Arial" w:eastAsia="Arial" w:hAnsi="Arial"/>
          <w:sz w:val="18"/>
          <w:szCs w:val="18"/>
          <w:color w:val="000000"/>
        </w:rPr>
        <w:t>or follow us on</w:t>
      </w:r>
      <w:r>
        <w:rPr>
          <w:rFonts w:ascii="Arial" w:cs="Arial" w:eastAsia="Arial" w:hAnsi="Arial"/>
          <w:sz w:val="18"/>
          <w:szCs w:val="18"/>
          <w:color w:val="0563C1"/>
        </w:rPr>
        <w:t xml:space="preserve"> LinkedIn </w:t>
      </w:r>
      <w:r>
        <w:rPr>
          <w:rFonts w:ascii="Arial" w:cs="Arial" w:eastAsia="Arial" w:hAnsi="Arial"/>
          <w:sz w:val="18"/>
          <w:szCs w:val="18"/>
          <w:color w:val="000000"/>
        </w:rPr>
        <w:t>or</w:t>
      </w:r>
      <w:r>
        <w:rPr>
          <w:rFonts w:ascii="Arial" w:cs="Arial" w:eastAsia="Arial" w:hAnsi="Arial"/>
          <w:sz w:val="18"/>
          <w:szCs w:val="18"/>
          <w:color w:val="0563C1"/>
        </w:rPr>
        <w:t xml:space="preserve"> X (Twitter).</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color w:val="auto"/>
        </w:rPr>
        <w:t> </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Cautionary Note Regarding Forward-Looking Statements</w:t>
      </w:r>
    </w:p>
    <w:p>
      <w:pPr>
        <w:spacing w:after="0" w:line="239" w:lineRule="exact"/>
        <w:rPr>
          <w:sz w:val="20"/>
          <w:szCs w:val="20"/>
          <w:color w:val="auto"/>
        </w:rPr>
      </w:pPr>
    </w:p>
    <w:p>
      <w:pPr>
        <w:spacing w:after="0" w:line="236" w:lineRule="auto"/>
        <w:rPr>
          <w:sz w:val="20"/>
          <w:szCs w:val="20"/>
          <w:color w:val="auto"/>
        </w:rPr>
      </w:pPr>
      <w:r>
        <w:rPr>
          <w:rFonts w:ascii="Arial" w:cs="Arial" w:eastAsia="Arial" w:hAnsi="Arial"/>
          <w:sz w:val="18"/>
          <w:szCs w:val="18"/>
          <w:color w:val="auto"/>
        </w:rPr>
        <w:t>This press release contains forward-looking statements, including, but not limited to our statements related to our plans, objectives, and expectations (financial and otherwise), including with respect to our Marseille, France operations; 2025 and 2026 financial and operating results; and our intentions with respect to our tests and products, for use in diagnosing and treating diseases, in and outside of the United States. Forward-looking statements can be identified by words such as: “appears,” “anticipate,” “intend,” “plan,” “expect,” “believe,” “should,” “may,” “could,” “would,” “will,” “enable,” “positioned,” “offers,” “designed,” “ultimately,” “strategic,” “outlook,” “guidance” and similar references to future periods. Actual results may differ materially from those projected or suggested in any forward-looking statements. These statements involve risks and uncertainties, which could cause actual results to differ materially from our predictions, and include, but are not limited to: our ability to launch, commercialize and receive reimbursement for our products; our ability to execute on our business strategies relating to the C2i Genomics acquisition, integration of the business and the realization of expected benefits and synergies; our ability to demonstrate the validity and utility of our genomic tests and biopharma and other offerings; our ability to continue executing on our business plan; our</w:t>
      </w:r>
    </w:p>
    <w:p>
      <w:pPr>
        <w:spacing w:after="0" w:line="8" w:lineRule="exact"/>
        <w:rPr>
          <w:sz w:val="20"/>
          <w:szCs w:val="20"/>
          <w:color w:val="auto"/>
        </w:rPr>
      </w:pPr>
    </w:p>
    <w:p>
      <w:pPr>
        <w:ind w:right="280"/>
        <w:spacing w:after="0" w:line="226" w:lineRule="auto"/>
        <w:rPr>
          <w:sz w:val="20"/>
          <w:szCs w:val="20"/>
          <w:color w:val="auto"/>
        </w:rPr>
      </w:pPr>
      <w:r>
        <w:rPr>
          <w:rFonts w:ascii="Arial" w:cs="Arial" w:eastAsia="Arial" w:hAnsi="Arial"/>
          <w:sz w:val="18"/>
          <w:szCs w:val="18"/>
          <w:color w:val="auto"/>
        </w:rPr>
        <w:t>ability to continue to scale our global operations and enhance our internal control environment; the impact of the war in Ukraine and other regional conflicts on European economies and our facilities in France; the impact of foreign currency fluctuations, volatile interest rates,</w:t>
      </w:r>
    </w:p>
    <w:p>
      <w:pPr>
        <w:spacing w:after="0" w:line="2" w:lineRule="exact"/>
        <w:rPr>
          <w:sz w:val="20"/>
          <w:szCs w:val="20"/>
          <w:color w:val="auto"/>
        </w:rPr>
      </w:pPr>
    </w:p>
    <w:p>
      <w:pPr>
        <w:ind w:right="120"/>
        <w:spacing w:after="0" w:line="237" w:lineRule="auto"/>
        <w:rPr>
          <w:sz w:val="20"/>
          <w:szCs w:val="20"/>
          <w:color w:val="auto"/>
        </w:rPr>
      </w:pPr>
      <w:r>
        <w:rPr>
          <w:rFonts w:ascii="Arial" w:cs="Arial" w:eastAsia="Arial" w:hAnsi="Arial"/>
          <w:sz w:val="18"/>
          <w:szCs w:val="18"/>
          <w:color w:val="auto"/>
        </w:rPr>
        <w:t>inflation, the new U.S. administration and turmoil in the global banking and finance system; the ongoing conflicts in Russia and Ukraine and in the Middle East and the performance and utility of our tests in the clinical environment. Additional factors that may impact these forward-looking statements can be found under the caption “Risk Factors” in our Annual Report on Form 10-K filed on February 29, 2024, and our subsequent Quarterly Reports on Form 10-Q, as well as in other documents that we may file from time to time with the Securities and Exchange Commission. Copies of these documents, when available, may be found in the Investors section of our website at investor.veracyte.com. These forward-looking statements speak only as of the date hereof and, except as required by law, we specifically disclaim any obligation to update these forward-looking statements or reasons why actual results might differ, whether as a result of new information, future events or otherwise.</w:t>
      </w:r>
    </w:p>
    <w:p>
      <w:pPr>
        <w:spacing w:after="0" w:line="210" w:lineRule="exact"/>
        <w:rPr>
          <w:sz w:val="20"/>
          <w:szCs w:val="20"/>
          <w:color w:val="auto"/>
        </w:rPr>
      </w:pPr>
    </w:p>
    <w:p>
      <w:pPr>
        <w:spacing w:after="0"/>
        <w:rPr>
          <w:sz w:val="20"/>
          <w:szCs w:val="20"/>
          <w:color w:val="auto"/>
        </w:rPr>
      </w:pPr>
      <w:r>
        <w:rPr>
          <w:rFonts w:ascii="Arial" w:cs="Arial" w:eastAsia="Arial" w:hAnsi="Arial"/>
          <w:sz w:val="17"/>
          <w:szCs w:val="17"/>
          <w:color w:val="auto"/>
        </w:rPr>
        <w:t>Veracyte, the Veracyte logo, Decipher, C2i Genomics, and Afirma are registered trademarks of Veracyte, Inc., and its subsidiaries in the U.S.</w:t>
      </w:r>
    </w:p>
    <w:p>
      <w:pPr>
        <w:spacing w:after="0" w:line="25" w:lineRule="exact"/>
        <w:rPr>
          <w:sz w:val="20"/>
          <w:szCs w:val="20"/>
          <w:color w:val="auto"/>
        </w:rPr>
      </w:pPr>
    </w:p>
    <w:p>
      <w:pPr>
        <w:spacing w:after="0"/>
        <w:rPr>
          <w:sz w:val="20"/>
          <w:szCs w:val="20"/>
          <w:color w:val="auto"/>
        </w:rPr>
      </w:pPr>
      <w:r>
        <w:rPr>
          <w:rFonts w:ascii="Arial" w:cs="Arial" w:eastAsia="Arial" w:hAnsi="Arial"/>
          <w:sz w:val="18"/>
          <w:szCs w:val="18"/>
          <w:color w:val="auto"/>
        </w:rPr>
        <w:t>and selected countries.</w:t>
      </w:r>
    </w:p>
    <w:p>
      <w:pPr>
        <w:spacing w:after="0" w:line="200" w:lineRule="exact"/>
        <w:rPr>
          <w:sz w:val="20"/>
          <w:szCs w:val="20"/>
          <w:color w:val="auto"/>
        </w:rPr>
      </w:pPr>
    </w:p>
    <w:p>
      <w:pPr>
        <w:spacing w:after="0" w:line="2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Regarding Use of Non-GAAP Financial Measures</w:t>
      </w:r>
    </w:p>
    <w:p>
      <w:pPr>
        <w:spacing w:after="0" w:line="225" w:lineRule="exact"/>
        <w:rPr>
          <w:sz w:val="20"/>
          <w:szCs w:val="20"/>
          <w:color w:val="auto"/>
        </w:rPr>
      </w:pPr>
    </w:p>
    <w:p>
      <w:pPr>
        <w:ind w:right="80"/>
        <w:spacing w:after="0" w:line="208" w:lineRule="exact"/>
        <w:rPr>
          <w:sz w:val="20"/>
          <w:szCs w:val="20"/>
          <w:color w:val="auto"/>
        </w:rPr>
      </w:pPr>
      <w:r>
        <w:rPr>
          <w:rFonts w:ascii="Arial" w:cs="Arial" w:eastAsia="Arial" w:hAnsi="Arial"/>
          <w:sz w:val="18"/>
          <w:szCs w:val="18"/>
          <w:color w:val="auto"/>
        </w:rPr>
        <w:t>In addition to the financial measures prepared in accordance with generally accepted accounting principles (GAAP), this press release and the accompanying tables contain, and reference certain non</w:t>
      </w:r>
      <w:r>
        <w:rPr>
          <w:rFonts w:ascii="MS PGothic" w:cs="MS PGothic" w:eastAsia="MS PGothic" w:hAnsi="MS PGothic"/>
          <w:sz w:val="18"/>
          <w:szCs w:val="18"/>
          <w:color w:val="auto"/>
        </w:rPr>
        <w:t>‐</w:t>
      </w:r>
      <w:r>
        <w:rPr>
          <w:rFonts w:ascii="Arial" w:cs="Arial" w:eastAsia="Arial" w:hAnsi="Arial"/>
          <w:sz w:val="18"/>
          <w:szCs w:val="18"/>
          <w:color w:val="auto"/>
        </w:rPr>
        <w:t>GAAP results including non-GAAP gross margin, non-GAAP operating expenses, adjusted EBITDA, adjusted EBITDA as a percentage of revenue, non-GAAP net income, non-GAAP earnings per share (EPS) and non-GAAP weighted average shares outstanding. These non-GAAP financial measures are not meant to be considered superior to or a substitute for financial measures calculated in accordance with GAAP, and investors are cautioned that there are material limitations associated with the use of non-GAAP financial measures as an analytical tool.</w:t>
      </w:r>
    </w:p>
    <w:p>
      <w:pPr>
        <w:spacing w:after="0" w:line="197" w:lineRule="exact"/>
        <w:rPr>
          <w:sz w:val="20"/>
          <w:szCs w:val="20"/>
          <w:color w:val="auto"/>
        </w:rPr>
      </w:pPr>
    </w:p>
    <w:p>
      <w:pPr>
        <w:ind w:right="80"/>
        <w:spacing w:after="0" w:line="244" w:lineRule="auto"/>
        <w:rPr>
          <w:sz w:val="20"/>
          <w:szCs w:val="20"/>
          <w:color w:val="auto"/>
        </w:rPr>
      </w:pPr>
      <w:r>
        <w:rPr>
          <w:rFonts w:ascii="Arial" w:cs="Arial" w:eastAsia="Arial" w:hAnsi="Arial"/>
          <w:sz w:val="18"/>
          <w:szCs w:val="18"/>
          <w:color w:val="auto"/>
        </w:rPr>
        <w:t>We use non-GAAP financial measures to internally evaluate and analyze financial results. We believe these non-GAAP financial measures provide investors with useful supplemental information about the financial performance of our business, enable comparison of financial results between periods where certain items may vary independent of business performance, and enable comparison of our financial results with other public companies, many of which present similar non-GAAP financial measures. However, the non-GAAP financial measures we present may be different from those used by other companies, including similarly titled measures.</w:t>
      </w:r>
    </w:p>
    <w:p>
      <w:pPr>
        <w:sectPr>
          <w:pgSz w:w="11900" w:h="16838" w:orient="portrait"/>
          <w:cols w:equalWidth="0" w:num="1">
            <w:col w:w="11200"/>
          </w:cols>
          <w:pgMar w:left="320" w:top="877" w:right="379" w:bottom="1440" w:gutter="0" w:footer="0" w:header="0"/>
        </w:sectPr>
      </w:pPr>
    </w:p>
    <w:bookmarkStart w:id="7" w:name="page8"/>
    <w:bookmarkEnd w:id="7"/>
    <w:p>
      <w:pPr>
        <w:ind w:right="80"/>
        <w:spacing w:after="0" w:line="238" w:lineRule="auto"/>
        <w:rPr>
          <w:sz w:val="20"/>
          <w:szCs w:val="20"/>
          <w:color w:val="auto"/>
        </w:rPr>
      </w:pPr>
      <w:r>
        <w:rPr>
          <w:rFonts w:ascii="Arial" w:cs="Arial" w:eastAsia="Arial" w:hAnsi="Arial"/>
          <w:sz w:val="18"/>
          <w:szCs w:val="18"/>
          <w:color w:val="auto"/>
        </w:rPr>
        <w:t>We compute these non-GAAP measures by adjusting the applicable GAAP measure to remove the impact of certain recurring and non-recurring charges and gains and to adjust for the impact of income tax items related to such adjustments to our GAAP financial statements. In particular, we exclude amortization of acquired intangible assets, acquisition-related expenses relating to our acquisitions of Decipher Biosciences, HalioDx and C2i Genomics, impairment charges associated with the nCounter license and other biopharmaceutical services related to HalioDx intangible assets, all stock-based compensation and certain costs related to restructuring from all of our non-GAAP financial measures, as well as depreciation and income tax items from our adjusted EBITDA and adjusted EBITDA as a percentage of</w:t>
      </w:r>
    </w:p>
    <w:p>
      <w:pPr>
        <w:spacing w:after="0" w:line="1" w:lineRule="exact"/>
        <w:rPr>
          <w:sz w:val="20"/>
          <w:szCs w:val="20"/>
          <w:color w:val="auto"/>
        </w:rPr>
      </w:pPr>
    </w:p>
    <w:p>
      <w:pPr>
        <w:ind w:right="100"/>
        <w:spacing w:after="0" w:line="226" w:lineRule="auto"/>
        <w:rPr>
          <w:sz w:val="20"/>
          <w:szCs w:val="20"/>
          <w:color w:val="auto"/>
        </w:rPr>
      </w:pPr>
      <w:r>
        <w:rPr>
          <w:rFonts w:ascii="Arial" w:cs="Arial" w:eastAsia="Arial" w:hAnsi="Arial"/>
          <w:sz w:val="18"/>
          <w:szCs w:val="18"/>
          <w:color w:val="auto"/>
        </w:rPr>
        <w:t>revenue. Beginning in the second quarter of 2024, we changed our non-GAAP policy to exclude all stock-based compensation to align with our peers and we have also excluded all stock-based compensation from our prior period non-GAAP financial measures. Management has</w:t>
      </w:r>
    </w:p>
    <w:p>
      <w:pPr>
        <w:spacing w:after="0" w:line="2" w:lineRule="exact"/>
        <w:rPr>
          <w:sz w:val="20"/>
          <w:szCs w:val="20"/>
          <w:color w:val="auto"/>
        </w:rPr>
      </w:pPr>
    </w:p>
    <w:p>
      <w:pPr>
        <w:spacing w:after="0" w:line="206" w:lineRule="exact"/>
        <w:rPr>
          <w:sz w:val="20"/>
          <w:szCs w:val="20"/>
          <w:color w:val="auto"/>
        </w:rPr>
      </w:pPr>
      <w:r>
        <w:rPr>
          <w:rFonts w:ascii="Arial" w:cs="Arial" w:eastAsia="Arial" w:hAnsi="Arial"/>
          <w:sz w:val="18"/>
          <w:szCs w:val="18"/>
          <w:color w:val="auto"/>
        </w:rPr>
        <w:t>excluded the effects of these items in non-GAAP financial measures to help investors gain a better understanding of the core operating results and future prospects of the company, consistent with how management measures and forecasts the company's performance, especially when comparing such results to previous periods or forecasts. The company encourages investors to carefully consider its results under GAAP, together with its supplemental non</w:t>
      </w:r>
      <w:r>
        <w:rPr>
          <w:rFonts w:ascii="MS PGothic" w:cs="MS PGothic" w:eastAsia="MS PGothic" w:hAnsi="MS PGothic"/>
          <w:sz w:val="18"/>
          <w:szCs w:val="18"/>
          <w:color w:val="auto"/>
        </w:rPr>
        <w:t>‐</w:t>
      </w:r>
      <w:r>
        <w:rPr>
          <w:rFonts w:ascii="Arial" w:cs="Arial" w:eastAsia="Arial" w:hAnsi="Arial"/>
          <w:sz w:val="18"/>
          <w:szCs w:val="18"/>
          <w:color w:val="auto"/>
        </w:rPr>
        <w:t>GAAP information and the reconciliation between these presentations. See “Reconciliation of U.S. GAAP to Non-GAAP Financial Measures” for a reconciliation of each non-GAAP measure presented to the comparable GAAP financial measure.”</w:t>
      </w:r>
    </w:p>
    <w:p>
      <w:pPr>
        <w:sectPr>
          <w:pgSz w:w="11900" w:h="16838" w:orient="portrait"/>
          <w:cols w:equalWidth="0" w:num="1">
            <w:col w:w="11140"/>
          </w:cols>
          <w:pgMar w:left="320" w:top="1120" w:right="439" w:bottom="1440" w:gutter="0" w:footer="0" w:header="0"/>
        </w:sectPr>
      </w:pPr>
    </w:p>
    <w:bookmarkStart w:id="8" w:name="page9"/>
    <w:bookmarkEnd w:id="8"/>
    <w:p>
      <w:pPr>
        <w:jc w:val="center"/>
        <w:ind w:right="-171"/>
        <w:spacing w:after="0"/>
        <w:rPr>
          <w:sz w:val="20"/>
          <w:szCs w:val="20"/>
          <w:color w:val="auto"/>
        </w:rPr>
      </w:pPr>
      <w:r>
        <w:rPr>
          <w:rFonts w:ascii="Arial" w:cs="Arial" w:eastAsia="Arial" w:hAnsi="Arial"/>
          <w:sz w:val="18"/>
          <w:szCs w:val="18"/>
          <w:color w:val="auto"/>
        </w:rPr>
        <w:t>VERACYTE, INC.</w:t>
      </w:r>
    </w:p>
    <w:p>
      <w:pPr>
        <w:spacing w:after="0" w:line="32" w:lineRule="exact"/>
        <w:rPr>
          <w:sz w:val="20"/>
          <w:szCs w:val="20"/>
          <w:color w:val="auto"/>
        </w:rPr>
      </w:pPr>
    </w:p>
    <w:p>
      <w:pPr>
        <w:jc w:val="center"/>
        <w:ind w:right="-171"/>
        <w:spacing w:after="0"/>
        <w:rPr>
          <w:sz w:val="20"/>
          <w:szCs w:val="20"/>
          <w:color w:val="auto"/>
        </w:rPr>
      </w:pPr>
      <w:r>
        <w:rPr>
          <w:rFonts w:ascii="Arial" w:cs="Arial" w:eastAsia="Arial" w:hAnsi="Arial"/>
          <w:sz w:val="18"/>
          <w:szCs w:val="18"/>
          <w:color w:val="auto"/>
        </w:rPr>
        <w:t>CONDENSED CONSOLIDATED STATEMENTS OF OPERATIONS</w:t>
      </w:r>
    </w:p>
    <w:p>
      <w:pPr>
        <w:spacing w:after="0" w:line="23" w:lineRule="exact"/>
        <w:rPr>
          <w:sz w:val="20"/>
          <w:szCs w:val="20"/>
          <w:color w:val="auto"/>
        </w:rPr>
      </w:pPr>
    </w:p>
    <w:p>
      <w:pPr>
        <w:jc w:val="center"/>
        <w:ind w:right="-171"/>
        <w:spacing w:after="0"/>
        <w:rPr>
          <w:sz w:val="20"/>
          <w:szCs w:val="20"/>
          <w:color w:val="auto"/>
        </w:rPr>
      </w:pPr>
      <w:r>
        <w:rPr>
          <w:rFonts w:ascii="Arial" w:cs="Arial" w:eastAsia="Arial" w:hAnsi="Arial"/>
          <w:sz w:val="18"/>
          <w:szCs w:val="18"/>
          <w:color w:val="auto"/>
        </w:rPr>
        <w:t>(Unaudited)</w:t>
      </w:r>
    </w:p>
    <w:p>
      <w:pPr>
        <w:spacing w:after="0" w:line="23" w:lineRule="exact"/>
        <w:rPr>
          <w:sz w:val="20"/>
          <w:szCs w:val="20"/>
          <w:color w:val="auto"/>
        </w:rPr>
      </w:pPr>
    </w:p>
    <w:p>
      <w:pPr>
        <w:jc w:val="center"/>
        <w:ind w:right="-171"/>
        <w:spacing w:after="0"/>
        <w:rPr>
          <w:sz w:val="20"/>
          <w:szCs w:val="20"/>
          <w:color w:val="auto"/>
        </w:rPr>
      </w:pPr>
      <w:r>
        <w:rPr>
          <w:rFonts w:ascii="Arial" w:cs="Arial" w:eastAsia="Arial" w:hAnsi="Arial"/>
          <w:sz w:val="18"/>
          <w:szCs w:val="18"/>
          <w:color w:val="auto"/>
        </w:rPr>
        <w:t>(In thousands, except share and per share amounts)</w:t>
      </w:r>
    </w:p>
    <w:p>
      <w:pPr>
        <w:spacing w:after="0" w:line="244" w:lineRule="exact"/>
        <w:rPr>
          <w:sz w:val="20"/>
          <w:szCs w:val="20"/>
          <w:color w:val="auto"/>
        </w:rPr>
      </w:pPr>
    </w:p>
    <w:tbl>
      <w:tblPr>
        <w:tblLayout w:type="fixed"/>
        <w:tblInd w:w="192" w:type="dxa"/>
        <w:tblCellMar>
          <w:top w:w="0" w:type="dxa"/>
          <w:left w:w="0" w:type="dxa"/>
          <w:bottom w:w="0" w:type="dxa"/>
          <w:right w:w="0" w:type="dxa"/>
        </w:tblCellMar>
      </w:tblPr>
      <w:tr>
        <w:trPr>
          <w:trHeight w:val="207"/>
        </w:trPr>
        <w:tc>
          <w:tcPr>
            <w:tcW w:w="5200" w:type="dxa"/>
            <w:vAlign w:val="bottom"/>
          </w:tcPr>
          <w:p>
            <w:pPr>
              <w:spacing w:after="0"/>
              <w:rPr>
                <w:sz w:val="17"/>
                <w:szCs w:val="17"/>
                <w:color w:val="auto"/>
              </w:rPr>
            </w:pPr>
          </w:p>
        </w:tc>
        <w:tc>
          <w:tcPr>
            <w:tcW w:w="2880" w:type="dxa"/>
            <w:vAlign w:val="bottom"/>
            <w:gridSpan w:val="6"/>
          </w:tcPr>
          <w:p>
            <w:pPr>
              <w:ind w:left="100"/>
              <w:spacing w:after="0"/>
              <w:rPr>
                <w:sz w:val="20"/>
                <w:szCs w:val="20"/>
                <w:color w:val="auto"/>
              </w:rPr>
            </w:pPr>
            <w:r>
              <w:rPr>
                <w:rFonts w:ascii="Arial" w:cs="Arial" w:eastAsia="Arial" w:hAnsi="Arial"/>
                <w:sz w:val="18"/>
                <w:szCs w:val="18"/>
                <w:color w:val="auto"/>
              </w:rPr>
              <w:t>Three Months Ended December</w:t>
            </w:r>
          </w:p>
        </w:tc>
        <w:tc>
          <w:tcPr>
            <w:tcW w:w="2780" w:type="dxa"/>
            <w:vAlign w:val="bottom"/>
            <w:gridSpan w:val="6"/>
          </w:tcPr>
          <w:p>
            <w:pPr>
              <w:jc w:val="right"/>
              <w:spacing w:after="0"/>
              <w:rPr>
                <w:sz w:val="20"/>
                <w:szCs w:val="20"/>
                <w:color w:val="auto"/>
              </w:rPr>
            </w:pPr>
            <w:r>
              <w:rPr>
                <w:rFonts w:ascii="Arial" w:cs="Arial" w:eastAsia="Arial" w:hAnsi="Arial"/>
                <w:sz w:val="18"/>
                <w:szCs w:val="18"/>
                <w:color w:val="auto"/>
              </w:rPr>
              <w:t>Twelve Months Ended December</w:t>
            </w:r>
          </w:p>
        </w:tc>
        <w:tc>
          <w:tcPr>
            <w:tcW w:w="0" w:type="dxa"/>
            <w:vAlign w:val="bottom"/>
          </w:tcPr>
          <w:p>
            <w:pPr>
              <w:spacing w:after="0"/>
              <w:rPr>
                <w:sz w:val="1"/>
                <w:szCs w:val="1"/>
                <w:color w:val="auto"/>
              </w:rPr>
            </w:pPr>
          </w:p>
        </w:tc>
      </w:tr>
      <w:tr>
        <w:trPr>
          <w:trHeight w:val="250"/>
        </w:trPr>
        <w:tc>
          <w:tcPr>
            <w:tcW w:w="520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440" w:type="dxa"/>
            <w:vAlign w:val="bottom"/>
            <w:tcBorders>
              <w:bottom w:val="single" w:sz="8" w:color="auto"/>
            </w:tcBorders>
            <w:gridSpan w:val="3"/>
          </w:tcPr>
          <w:p>
            <w:pPr>
              <w:jc w:val="right"/>
              <w:ind w:right="110"/>
              <w:spacing w:after="0"/>
              <w:rPr>
                <w:sz w:val="20"/>
                <w:szCs w:val="20"/>
                <w:color w:val="auto"/>
              </w:rPr>
            </w:pPr>
            <w:r>
              <w:rPr>
                <w:rFonts w:ascii="Arial" w:cs="Arial" w:eastAsia="Arial" w:hAnsi="Arial"/>
                <w:sz w:val="18"/>
                <w:szCs w:val="18"/>
                <w:color w:val="auto"/>
              </w:rPr>
              <w:t>31</w:t>
            </w:r>
          </w:p>
        </w:tc>
        <w:tc>
          <w:tcPr>
            <w:tcW w:w="110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spacing w:after="0"/>
              <w:rPr>
                <w:sz w:val="21"/>
                <w:szCs w:val="21"/>
                <w:color w:val="auto"/>
              </w:rPr>
            </w:pPr>
          </w:p>
        </w:tc>
        <w:tc>
          <w:tcPr>
            <w:tcW w:w="400" w:type="dxa"/>
            <w:vAlign w:val="bottom"/>
            <w:tcBorders>
              <w:bottom w:val="single" w:sz="8" w:color="auto"/>
            </w:tcBorders>
            <w:gridSpan w:val="3"/>
          </w:tcPr>
          <w:p>
            <w:pPr>
              <w:jc w:val="right"/>
              <w:ind w:right="90"/>
              <w:spacing w:after="0"/>
              <w:rPr>
                <w:sz w:val="20"/>
                <w:szCs w:val="20"/>
                <w:color w:val="auto"/>
              </w:rPr>
            </w:pPr>
            <w:r>
              <w:rPr>
                <w:rFonts w:ascii="Arial" w:cs="Arial" w:eastAsia="Arial" w:hAnsi="Arial"/>
                <w:sz w:val="18"/>
                <w:szCs w:val="18"/>
                <w:color w:val="auto"/>
                <w:w w:val="99"/>
              </w:rPr>
              <w:t>31</w:t>
            </w:r>
          </w:p>
        </w:tc>
        <w:tc>
          <w:tcPr>
            <w:tcW w:w="110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520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color w:val="auto"/>
              </w:rPr>
              <w:t>2024</w:t>
            </w:r>
          </w:p>
        </w:tc>
        <w:tc>
          <w:tcPr>
            <w:tcW w:w="10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color w:val="auto"/>
              </w:rPr>
              <w:t>2023</w:t>
            </w:r>
          </w:p>
        </w:tc>
        <w:tc>
          <w:tcPr>
            <w:tcW w:w="10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2024</w:t>
            </w:r>
          </w:p>
        </w:tc>
        <w:tc>
          <w:tcPr>
            <w:tcW w:w="6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color w:val="auto"/>
              </w:rPr>
              <w:t>2023</w:t>
            </w:r>
          </w:p>
        </w:tc>
        <w:tc>
          <w:tcPr>
            <w:tcW w:w="0" w:type="dxa"/>
            <w:vAlign w:val="bottom"/>
          </w:tcPr>
          <w:p>
            <w:pPr>
              <w:spacing w:after="0"/>
              <w:rPr>
                <w:sz w:val="1"/>
                <w:szCs w:val="1"/>
                <w:color w:val="auto"/>
              </w:rPr>
            </w:pPr>
          </w:p>
        </w:tc>
      </w:tr>
      <w:tr>
        <w:trPr>
          <w:trHeight w:val="211"/>
        </w:trPr>
        <w:tc>
          <w:tcPr>
            <w:tcW w:w="5200" w:type="dxa"/>
            <w:vAlign w:val="bottom"/>
          </w:tcPr>
          <w:p>
            <w:pPr>
              <w:spacing w:after="0"/>
              <w:rPr>
                <w:sz w:val="20"/>
                <w:szCs w:val="20"/>
                <w:color w:val="auto"/>
              </w:rPr>
            </w:pPr>
            <w:r>
              <w:rPr>
                <w:rFonts w:ascii="Arial" w:cs="Arial" w:eastAsia="Arial" w:hAnsi="Arial"/>
                <w:sz w:val="18"/>
                <w:szCs w:val="18"/>
                <w:color w:val="auto"/>
              </w:rPr>
              <w:t>Revenue:</w:t>
            </w:r>
          </w:p>
        </w:tc>
        <w:tc>
          <w:tcPr>
            <w:tcW w:w="2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200" w:type="dxa"/>
            <w:vAlign w:val="bottom"/>
          </w:tcPr>
          <w:p>
            <w:pPr>
              <w:ind w:left="100"/>
              <w:spacing w:after="0"/>
              <w:rPr>
                <w:sz w:val="20"/>
                <w:szCs w:val="20"/>
                <w:color w:val="auto"/>
              </w:rPr>
            </w:pPr>
            <w:r>
              <w:rPr>
                <w:rFonts w:ascii="Arial" w:cs="Arial" w:eastAsia="Arial" w:hAnsi="Arial"/>
                <w:sz w:val="18"/>
                <w:szCs w:val="18"/>
                <w:color w:val="auto"/>
              </w:rPr>
              <w:t>Testing revenue</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112,152</w:t>
            </w:r>
          </w:p>
        </w:tc>
        <w:tc>
          <w:tcPr>
            <w:tcW w:w="100" w:type="dxa"/>
            <w:vAlign w:val="bottom"/>
          </w:tcPr>
          <w:p>
            <w:pPr>
              <w:spacing w:after="0"/>
              <w:rPr>
                <w:sz w:val="19"/>
                <w:szCs w:val="19"/>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90,385</w:t>
            </w:r>
          </w:p>
        </w:tc>
        <w:tc>
          <w:tcPr>
            <w:tcW w:w="100" w:type="dxa"/>
            <w:vAlign w:val="bottom"/>
          </w:tcPr>
          <w:p>
            <w:pPr>
              <w:spacing w:after="0"/>
              <w:rPr>
                <w:sz w:val="19"/>
                <w:szCs w:val="19"/>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418,961</w:t>
            </w:r>
          </w:p>
        </w:tc>
        <w:tc>
          <w:tcPr>
            <w:tcW w:w="400" w:type="dxa"/>
            <w:vAlign w:val="bottom"/>
            <w:gridSpan w:val="3"/>
          </w:tcPr>
          <w:p>
            <w:pPr>
              <w:jc w:val="right"/>
              <w:ind w:right="30"/>
              <w:spacing w:after="0"/>
              <w:rPr>
                <w:sz w:val="20"/>
                <w:szCs w:val="20"/>
                <w:color w:val="auto"/>
              </w:rPr>
            </w:pPr>
            <w:r>
              <w:rPr>
                <w:rFonts w:ascii="Arial" w:cs="Arial" w:eastAsia="Arial" w:hAnsi="Arial"/>
                <w:sz w:val="18"/>
                <w:szCs w:val="18"/>
                <w:color w:val="auto"/>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326,542</w:t>
            </w:r>
          </w:p>
        </w:tc>
        <w:tc>
          <w:tcPr>
            <w:tcW w:w="0" w:type="dxa"/>
            <w:vAlign w:val="bottom"/>
          </w:tcPr>
          <w:p>
            <w:pPr>
              <w:spacing w:after="0"/>
              <w:rPr>
                <w:sz w:val="1"/>
                <w:szCs w:val="1"/>
                <w:color w:val="auto"/>
              </w:rPr>
            </w:pPr>
          </w:p>
        </w:tc>
      </w:tr>
      <w:tr>
        <w:trPr>
          <w:trHeight w:val="229"/>
        </w:trPr>
        <w:tc>
          <w:tcPr>
            <w:tcW w:w="5200" w:type="dxa"/>
            <w:vAlign w:val="bottom"/>
          </w:tcPr>
          <w:p>
            <w:pPr>
              <w:ind w:left="100"/>
              <w:spacing w:after="0"/>
              <w:rPr>
                <w:sz w:val="20"/>
                <w:szCs w:val="20"/>
                <w:color w:val="auto"/>
              </w:rPr>
            </w:pPr>
            <w:r>
              <w:rPr>
                <w:rFonts w:ascii="Arial" w:cs="Arial" w:eastAsia="Arial" w:hAnsi="Arial"/>
                <w:sz w:val="18"/>
                <w:szCs w:val="18"/>
                <w:color w:val="auto"/>
              </w:rPr>
              <w:t>Product revenue</w:t>
            </w:r>
          </w:p>
        </w:tc>
        <w:tc>
          <w:tcPr>
            <w:tcW w:w="2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3,019</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3,665</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13,650</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15,588</w:t>
            </w:r>
          </w:p>
        </w:tc>
        <w:tc>
          <w:tcPr>
            <w:tcW w:w="0" w:type="dxa"/>
            <w:vAlign w:val="bottom"/>
          </w:tcPr>
          <w:p>
            <w:pPr>
              <w:spacing w:after="0"/>
              <w:rPr>
                <w:sz w:val="1"/>
                <w:szCs w:val="1"/>
                <w:color w:val="auto"/>
              </w:rPr>
            </w:pPr>
          </w:p>
        </w:tc>
      </w:tr>
      <w:tr>
        <w:trPr>
          <w:trHeight w:val="235"/>
        </w:trPr>
        <w:tc>
          <w:tcPr>
            <w:tcW w:w="5200" w:type="dxa"/>
            <w:vAlign w:val="bottom"/>
          </w:tcPr>
          <w:p>
            <w:pPr>
              <w:ind w:left="100"/>
              <w:spacing w:after="0"/>
              <w:rPr>
                <w:sz w:val="20"/>
                <w:szCs w:val="20"/>
                <w:color w:val="auto"/>
              </w:rPr>
            </w:pPr>
            <w:r>
              <w:rPr>
                <w:rFonts w:ascii="Arial" w:cs="Arial" w:eastAsia="Arial" w:hAnsi="Arial"/>
                <w:sz w:val="18"/>
                <w:szCs w:val="18"/>
                <w:color w:val="auto"/>
              </w:rPr>
              <w:t>Biopharmaceutical and other revenue</w:t>
            </w:r>
          </w:p>
        </w:tc>
        <w:tc>
          <w:tcPr>
            <w:tcW w:w="24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3,461</w:t>
            </w:r>
          </w:p>
        </w:tc>
        <w:tc>
          <w:tcPr>
            <w:tcW w:w="10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4,149</w:t>
            </w:r>
          </w:p>
        </w:tc>
        <w:tc>
          <w:tcPr>
            <w:tcW w:w="10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13,153</w:t>
            </w:r>
          </w:p>
        </w:tc>
        <w:tc>
          <w:tcPr>
            <w:tcW w:w="6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18,921</w:t>
            </w:r>
          </w:p>
        </w:tc>
        <w:tc>
          <w:tcPr>
            <w:tcW w:w="0" w:type="dxa"/>
            <w:vAlign w:val="bottom"/>
          </w:tcPr>
          <w:p>
            <w:pPr>
              <w:spacing w:after="0"/>
              <w:rPr>
                <w:sz w:val="1"/>
                <w:szCs w:val="1"/>
                <w:color w:val="auto"/>
              </w:rPr>
            </w:pPr>
          </w:p>
        </w:tc>
      </w:tr>
      <w:tr>
        <w:trPr>
          <w:trHeight w:val="223"/>
        </w:trPr>
        <w:tc>
          <w:tcPr>
            <w:tcW w:w="5200" w:type="dxa"/>
            <w:vAlign w:val="bottom"/>
          </w:tcPr>
          <w:p>
            <w:pPr>
              <w:ind w:left="220"/>
              <w:spacing w:after="0"/>
              <w:rPr>
                <w:sz w:val="20"/>
                <w:szCs w:val="20"/>
                <w:color w:val="auto"/>
              </w:rPr>
            </w:pPr>
            <w:r>
              <w:rPr>
                <w:rFonts w:ascii="Arial" w:cs="Arial" w:eastAsia="Arial" w:hAnsi="Arial"/>
                <w:sz w:val="18"/>
                <w:szCs w:val="18"/>
                <w:color w:val="auto"/>
              </w:rPr>
              <w:t>Total revenue</w:t>
            </w:r>
          </w:p>
        </w:tc>
        <w:tc>
          <w:tcPr>
            <w:tcW w:w="2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118,632</w:t>
            </w:r>
          </w:p>
        </w:tc>
        <w:tc>
          <w:tcPr>
            <w:tcW w:w="10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98,199</w:t>
            </w:r>
          </w:p>
        </w:tc>
        <w:tc>
          <w:tcPr>
            <w:tcW w:w="10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445,764</w:t>
            </w:r>
          </w:p>
        </w:tc>
        <w:tc>
          <w:tcPr>
            <w:tcW w:w="6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361,051</w:t>
            </w:r>
          </w:p>
        </w:tc>
        <w:tc>
          <w:tcPr>
            <w:tcW w:w="0" w:type="dxa"/>
            <w:vAlign w:val="bottom"/>
          </w:tcPr>
          <w:p>
            <w:pPr>
              <w:spacing w:after="0"/>
              <w:rPr>
                <w:sz w:val="1"/>
                <w:szCs w:val="1"/>
                <w:color w:val="auto"/>
              </w:rPr>
            </w:pPr>
          </w:p>
        </w:tc>
      </w:tr>
      <w:tr>
        <w:trPr>
          <w:trHeight w:val="461"/>
        </w:trPr>
        <w:tc>
          <w:tcPr>
            <w:tcW w:w="5200" w:type="dxa"/>
            <w:vAlign w:val="bottom"/>
          </w:tcPr>
          <w:p>
            <w:pPr>
              <w:spacing w:after="0"/>
              <w:rPr>
                <w:sz w:val="20"/>
                <w:szCs w:val="20"/>
                <w:color w:val="auto"/>
              </w:rPr>
            </w:pPr>
            <w:r>
              <w:rPr>
                <w:rFonts w:ascii="Arial" w:cs="Arial" w:eastAsia="Arial" w:hAnsi="Arial"/>
                <w:sz w:val="18"/>
                <w:szCs w:val="18"/>
                <w:color w:val="auto"/>
              </w:rPr>
              <w:t>Cost of revenue: (1)</w:t>
            </w:r>
          </w:p>
        </w:tc>
        <w:tc>
          <w:tcPr>
            <w:tcW w:w="2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5200" w:type="dxa"/>
            <w:vAlign w:val="bottom"/>
          </w:tcPr>
          <w:p>
            <w:pPr>
              <w:ind w:left="100"/>
              <w:spacing w:after="0"/>
              <w:rPr>
                <w:sz w:val="20"/>
                <w:szCs w:val="20"/>
                <w:color w:val="auto"/>
              </w:rPr>
            </w:pPr>
            <w:r>
              <w:rPr>
                <w:rFonts w:ascii="Arial" w:cs="Arial" w:eastAsia="Arial" w:hAnsi="Arial"/>
                <w:sz w:val="18"/>
                <w:szCs w:val="18"/>
                <w:color w:val="auto"/>
              </w:rPr>
              <w:t>Cost of testing revenue</w:t>
            </w:r>
          </w:p>
        </w:tc>
        <w:tc>
          <w:tcPr>
            <w:tcW w:w="2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31,645</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24,105</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114,573</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88,913</w:t>
            </w:r>
          </w:p>
        </w:tc>
        <w:tc>
          <w:tcPr>
            <w:tcW w:w="0" w:type="dxa"/>
            <w:vAlign w:val="bottom"/>
          </w:tcPr>
          <w:p>
            <w:pPr>
              <w:spacing w:after="0"/>
              <w:rPr>
                <w:sz w:val="1"/>
                <w:szCs w:val="1"/>
                <w:color w:val="auto"/>
              </w:rPr>
            </w:pPr>
          </w:p>
        </w:tc>
      </w:tr>
      <w:tr>
        <w:trPr>
          <w:trHeight w:val="229"/>
        </w:trPr>
        <w:tc>
          <w:tcPr>
            <w:tcW w:w="5200" w:type="dxa"/>
            <w:vAlign w:val="bottom"/>
          </w:tcPr>
          <w:p>
            <w:pPr>
              <w:ind w:left="100"/>
              <w:spacing w:after="0"/>
              <w:rPr>
                <w:sz w:val="20"/>
                <w:szCs w:val="20"/>
                <w:color w:val="auto"/>
              </w:rPr>
            </w:pPr>
            <w:r>
              <w:rPr>
                <w:rFonts w:ascii="Arial" w:cs="Arial" w:eastAsia="Arial" w:hAnsi="Arial"/>
                <w:sz w:val="18"/>
                <w:szCs w:val="18"/>
                <w:color w:val="auto"/>
              </w:rPr>
              <w:t>Cost of product revenue</w:t>
            </w:r>
          </w:p>
        </w:tc>
        <w:tc>
          <w:tcPr>
            <w:tcW w:w="2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2,800</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1,753</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9,110</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8,666</w:t>
            </w:r>
          </w:p>
        </w:tc>
        <w:tc>
          <w:tcPr>
            <w:tcW w:w="0" w:type="dxa"/>
            <w:vAlign w:val="bottom"/>
          </w:tcPr>
          <w:p>
            <w:pPr>
              <w:spacing w:after="0"/>
              <w:rPr>
                <w:sz w:val="1"/>
                <w:szCs w:val="1"/>
                <w:color w:val="auto"/>
              </w:rPr>
            </w:pPr>
          </w:p>
        </w:tc>
      </w:tr>
      <w:tr>
        <w:trPr>
          <w:trHeight w:val="229"/>
        </w:trPr>
        <w:tc>
          <w:tcPr>
            <w:tcW w:w="5200" w:type="dxa"/>
            <w:vAlign w:val="bottom"/>
          </w:tcPr>
          <w:p>
            <w:pPr>
              <w:ind w:left="100"/>
              <w:spacing w:after="0"/>
              <w:rPr>
                <w:sz w:val="20"/>
                <w:szCs w:val="20"/>
                <w:color w:val="auto"/>
              </w:rPr>
            </w:pPr>
            <w:r>
              <w:rPr>
                <w:rFonts w:ascii="Arial" w:cs="Arial" w:eastAsia="Arial" w:hAnsi="Arial"/>
                <w:sz w:val="18"/>
                <w:szCs w:val="18"/>
                <w:color w:val="auto"/>
              </w:rPr>
              <w:t>Cost of biopharmaceutical and other revenue</w:t>
            </w:r>
          </w:p>
        </w:tc>
        <w:tc>
          <w:tcPr>
            <w:tcW w:w="2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2,622</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3,518</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12,384</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15,324</w:t>
            </w:r>
          </w:p>
        </w:tc>
        <w:tc>
          <w:tcPr>
            <w:tcW w:w="0" w:type="dxa"/>
            <w:vAlign w:val="bottom"/>
          </w:tcPr>
          <w:p>
            <w:pPr>
              <w:spacing w:after="0"/>
              <w:rPr>
                <w:sz w:val="1"/>
                <w:szCs w:val="1"/>
                <w:color w:val="auto"/>
              </w:rPr>
            </w:pPr>
          </w:p>
        </w:tc>
      </w:tr>
      <w:tr>
        <w:trPr>
          <w:trHeight w:val="235"/>
        </w:trPr>
        <w:tc>
          <w:tcPr>
            <w:tcW w:w="5200" w:type="dxa"/>
            <w:vAlign w:val="bottom"/>
          </w:tcPr>
          <w:p>
            <w:pPr>
              <w:ind w:left="100"/>
              <w:spacing w:after="0"/>
              <w:rPr>
                <w:sz w:val="20"/>
                <w:szCs w:val="20"/>
                <w:color w:val="auto"/>
              </w:rPr>
            </w:pPr>
            <w:r>
              <w:rPr>
                <w:rFonts w:ascii="Arial" w:cs="Arial" w:eastAsia="Arial" w:hAnsi="Arial"/>
                <w:sz w:val="18"/>
                <w:szCs w:val="18"/>
                <w:color w:val="auto"/>
              </w:rPr>
              <w:t>Intangible asset amortization - cost of revenue</w:t>
            </w:r>
          </w:p>
        </w:tc>
        <w:tc>
          <w:tcPr>
            <w:tcW w:w="24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2,811</w:t>
            </w:r>
          </w:p>
        </w:tc>
        <w:tc>
          <w:tcPr>
            <w:tcW w:w="10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4,035</w:t>
            </w:r>
          </w:p>
        </w:tc>
        <w:tc>
          <w:tcPr>
            <w:tcW w:w="10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11,552</w:t>
            </w:r>
          </w:p>
        </w:tc>
        <w:tc>
          <w:tcPr>
            <w:tcW w:w="6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18,464</w:t>
            </w:r>
          </w:p>
        </w:tc>
        <w:tc>
          <w:tcPr>
            <w:tcW w:w="0" w:type="dxa"/>
            <w:vAlign w:val="bottom"/>
          </w:tcPr>
          <w:p>
            <w:pPr>
              <w:spacing w:after="0"/>
              <w:rPr>
                <w:sz w:val="1"/>
                <w:szCs w:val="1"/>
                <w:color w:val="auto"/>
              </w:rPr>
            </w:pPr>
          </w:p>
        </w:tc>
      </w:tr>
      <w:tr>
        <w:trPr>
          <w:trHeight w:val="223"/>
        </w:trPr>
        <w:tc>
          <w:tcPr>
            <w:tcW w:w="5200" w:type="dxa"/>
            <w:vAlign w:val="bottom"/>
          </w:tcPr>
          <w:p>
            <w:pPr>
              <w:ind w:left="220"/>
              <w:spacing w:after="0"/>
              <w:rPr>
                <w:sz w:val="20"/>
                <w:szCs w:val="20"/>
                <w:color w:val="auto"/>
              </w:rPr>
            </w:pPr>
            <w:r>
              <w:rPr>
                <w:rFonts w:ascii="Arial" w:cs="Arial" w:eastAsia="Arial" w:hAnsi="Arial"/>
                <w:sz w:val="18"/>
                <w:szCs w:val="18"/>
                <w:color w:val="auto"/>
              </w:rPr>
              <w:t>Total cost of revenue</w:t>
            </w:r>
          </w:p>
        </w:tc>
        <w:tc>
          <w:tcPr>
            <w:tcW w:w="2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39,878</w:t>
            </w:r>
          </w:p>
        </w:tc>
        <w:tc>
          <w:tcPr>
            <w:tcW w:w="10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33,411</w:t>
            </w:r>
          </w:p>
        </w:tc>
        <w:tc>
          <w:tcPr>
            <w:tcW w:w="10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147,619</w:t>
            </w:r>
          </w:p>
        </w:tc>
        <w:tc>
          <w:tcPr>
            <w:tcW w:w="6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131,367</w:t>
            </w:r>
          </w:p>
        </w:tc>
        <w:tc>
          <w:tcPr>
            <w:tcW w:w="0" w:type="dxa"/>
            <w:vAlign w:val="bottom"/>
          </w:tcPr>
          <w:p>
            <w:pPr>
              <w:spacing w:after="0"/>
              <w:rPr>
                <w:sz w:val="1"/>
                <w:szCs w:val="1"/>
                <w:color w:val="auto"/>
              </w:rPr>
            </w:pPr>
          </w:p>
        </w:tc>
      </w:tr>
      <w:tr>
        <w:trPr>
          <w:trHeight w:val="223"/>
        </w:trPr>
        <w:tc>
          <w:tcPr>
            <w:tcW w:w="5200" w:type="dxa"/>
            <w:vAlign w:val="bottom"/>
          </w:tcPr>
          <w:p>
            <w:pPr>
              <w:ind w:left="320"/>
              <w:spacing w:after="0"/>
              <w:rPr>
                <w:sz w:val="20"/>
                <w:szCs w:val="20"/>
                <w:color w:val="auto"/>
              </w:rPr>
            </w:pPr>
            <w:r>
              <w:rPr>
                <w:rFonts w:ascii="Arial" w:cs="Arial" w:eastAsia="Arial" w:hAnsi="Arial"/>
                <w:sz w:val="18"/>
                <w:szCs w:val="18"/>
                <w:color w:val="auto"/>
              </w:rPr>
              <w:t>Gross profit</w:t>
            </w:r>
          </w:p>
        </w:tc>
        <w:tc>
          <w:tcPr>
            <w:tcW w:w="2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78,754</w:t>
            </w:r>
          </w:p>
        </w:tc>
        <w:tc>
          <w:tcPr>
            <w:tcW w:w="10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64,788</w:t>
            </w:r>
          </w:p>
        </w:tc>
        <w:tc>
          <w:tcPr>
            <w:tcW w:w="10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298,145</w:t>
            </w:r>
          </w:p>
        </w:tc>
        <w:tc>
          <w:tcPr>
            <w:tcW w:w="6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229,684</w:t>
            </w:r>
          </w:p>
        </w:tc>
        <w:tc>
          <w:tcPr>
            <w:tcW w:w="0" w:type="dxa"/>
            <w:vAlign w:val="bottom"/>
          </w:tcPr>
          <w:p>
            <w:pPr>
              <w:spacing w:after="0"/>
              <w:rPr>
                <w:sz w:val="1"/>
                <w:szCs w:val="1"/>
                <w:color w:val="auto"/>
              </w:rPr>
            </w:pPr>
          </w:p>
        </w:tc>
      </w:tr>
      <w:tr>
        <w:trPr>
          <w:trHeight w:val="204"/>
        </w:trPr>
        <w:tc>
          <w:tcPr>
            <w:tcW w:w="5200" w:type="dxa"/>
            <w:vAlign w:val="bottom"/>
          </w:tcPr>
          <w:p>
            <w:pPr>
              <w:spacing w:after="0" w:line="204" w:lineRule="exact"/>
              <w:rPr>
                <w:sz w:val="20"/>
                <w:szCs w:val="20"/>
                <w:color w:val="auto"/>
              </w:rPr>
            </w:pPr>
            <w:r>
              <w:rPr>
                <w:rFonts w:ascii="Arial" w:cs="Arial" w:eastAsia="Arial" w:hAnsi="Arial"/>
                <w:sz w:val="18"/>
                <w:szCs w:val="18"/>
                <w:color w:val="auto"/>
              </w:rPr>
              <w:t>Operating expenses: (1)</w:t>
            </w:r>
          </w:p>
        </w:tc>
        <w:tc>
          <w:tcPr>
            <w:tcW w:w="2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5200" w:type="dxa"/>
            <w:vAlign w:val="bottom"/>
          </w:tcPr>
          <w:p>
            <w:pPr>
              <w:ind w:left="100"/>
              <w:spacing w:after="0"/>
              <w:rPr>
                <w:sz w:val="20"/>
                <w:szCs w:val="20"/>
                <w:color w:val="auto"/>
              </w:rPr>
            </w:pPr>
            <w:r>
              <w:rPr>
                <w:rFonts w:ascii="Arial" w:cs="Arial" w:eastAsia="Arial" w:hAnsi="Arial"/>
                <w:sz w:val="18"/>
                <w:szCs w:val="18"/>
                <w:color w:val="auto"/>
              </w:rPr>
              <w:t>Research and development</w:t>
            </w:r>
          </w:p>
        </w:tc>
        <w:tc>
          <w:tcPr>
            <w:tcW w:w="2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19,290</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18,673</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69,294</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57,305</w:t>
            </w:r>
          </w:p>
        </w:tc>
        <w:tc>
          <w:tcPr>
            <w:tcW w:w="0" w:type="dxa"/>
            <w:vAlign w:val="bottom"/>
          </w:tcPr>
          <w:p>
            <w:pPr>
              <w:spacing w:after="0"/>
              <w:rPr>
                <w:sz w:val="1"/>
                <w:szCs w:val="1"/>
                <w:color w:val="auto"/>
              </w:rPr>
            </w:pPr>
          </w:p>
        </w:tc>
      </w:tr>
      <w:tr>
        <w:trPr>
          <w:trHeight w:val="230"/>
        </w:trPr>
        <w:tc>
          <w:tcPr>
            <w:tcW w:w="5200" w:type="dxa"/>
            <w:vAlign w:val="bottom"/>
          </w:tcPr>
          <w:p>
            <w:pPr>
              <w:ind w:left="100"/>
              <w:spacing w:after="0"/>
              <w:rPr>
                <w:sz w:val="20"/>
                <w:szCs w:val="20"/>
                <w:color w:val="auto"/>
              </w:rPr>
            </w:pPr>
            <w:r>
              <w:rPr>
                <w:rFonts w:ascii="Arial" w:cs="Arial" w:eastAsia="Arial" w:hAnsi="Arial"/>
                <w:sz w:val="18"/>
                <w:szCs w:val="18"/>
                <w:color w:val="auto"/>
              </w:rPr>
              <w:t>Selling and marketing</w:t>
            </w:r>
          </w:p>
        </w:tc>
        <w:tc>
          <w:tcPr>
            <w:tcW w:w="2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24,824</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25,260</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95,434</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101,490</w:t>
            </w:r>
          </w:p>
        </w:tc>
        <w:tc>
          <w:tcPr>
            <w:tcW w:w="0" w:type="dxa"/>
            <w:vAlign w:val="bottom"/>
          </w:tcPr>
          <w:p>
            <w:pPr>
              <w:spacing w:after="0"/>
              <w:rPr>
                <w:sz w:val="1"/>
                <w:szCs w:val="1"/>
                <w:color w:val="auto"/>
              </w:rPr>
            </w:pPr>
          </w:p>
        </w:tc>
      </w:tr>
      <w:tr>
        <w:trPr>
          <w:trHeight w:val="230"/>
        </w:trPr>
        <w:tc>
          <w:tcPr>
            <w:tcW w:w="5200" w:type="dxa"/>
            <w:vAlign w:val="bottom"/>
          </w:tcPr>
          <w:p>
            <w:pPr>
              <w:ind w:left="100"/>
              <w:spacing w:after="0"/>
              <w:rPr>
                <w:sz w:val="20"/>
                <w:szCs w:val="20"/>
                <w:color w:val="auto"/>
              </w:rPr>
            </w:pPr>
            <w:r>
              <w:rPr>
                <w:rFonts w:ascii="Arial" w:cs="Arial" w:eastAsia="Arial" w:hAnsi="Arial"/>
                <w:sz w:val="18"/>
                <w:szCs w:val="18"/>
                <w:color w:val="auto"/>
              </w:rPr>
              <w:t>General and administrative</w:t>
            </w:r>
          </w:p>
        </w:tc>
        <w:tc>
          <w:tcPr>
            <w:tcW w:w="2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26,913</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23,795</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110,610</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86,229</w:t>
            </w:r>
          </w:p>
        </w:tc>
        <w:tc>
          <w:tcPr>
            <w:tcW w:w="0" w:type="dxa"/>
            <w:vAlign w:val="bottom"/>
          </w:tcPr>
          <w:p>
            <w:pPr>
              <w:spacing w:after="0"/>
              <w:rPr>
                <w:sz w:val="1"/>
                <w:szCs w:val="1"/>
                <w:color w:val="auto"/>
              </w:rPr>
            </w:pPr>
          </w:p>
        </w:tc>
      </w:tr>
      <w:tr>
        <w:trPr>
          <w:trHeight w:val="230"/>
        </w:trPr>
        <w:tc>
          <w:tcPr>
            <w:tcW w:w="5200" w:type="dxa"/>
            <w:vAlign w:val="bottom"/>
          </w:tcPr>
          <w:p>
            <w:pPr>
              <w:ind w:left="100"/>
              <w:spacing w:after="0"/>
              <w:rPr>
                <w:sz w:val="20"/>
                <w:szCs w:val="20"/>
                <w:color w:val="auto"/>
              </w:rPr>
            </w:pPr>
            <w:r>
              <w:rPr>
                <w:rFonts w:ascii="Arial" w:cs="Arial" w:eastAsia="Arial" w:hAnsi="Arial"/>
                <w:sz w:val="18"/>
                <w:szCs w:val="18"/>
                <w:color w:val="auto"/>
              </w:rPr>
              <w:t>Impairment of long-lived assets</w:t>
            </w:r>
          </w:p>
        </w:tc>
        <w:tc>
          <w:tcPr>
            <w:tcW w:w="2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2,754</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32,039</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3,368</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68,349</w:t>
            </w:r>
          </w:p>
        </w:tc>
        <w:tc>
          <w:tcPr>
            <w:tcW w:w="0" w:type="dxa"/>
            <w:vAlign w:val="bottom"/>
          </w:tcPr>
          <w:p>
            <w:pPr>
              <w:spacing w:after="0"/>
              <w:rPr>
                <w:sz w:val="1"/>
                <w:szCs w:val="1"/>
                <w:color w:val="auto"/>
              </w:rPr>
            </w:pPr>
          </w:p>
        </w:tc>
      </w:tr>
      <w:tr>
        <w:trPr>
          <w:trHeight w:val="235"/>
        </w:trPr>
        <w:tc>
          <w:tcPr>
            <w:tcW w:w="5200" w:type="dxa"/>
            <w:vAlign w:val="bottom"/>
          </w:tcPr>
          <w:p>
            <w:pPr>
              <w:ind w:left="100"/>
              <w:spacing w:after="0"/>
              <w:rPr>
                <w:sz w:val="20"/>
                <w:szCs w:val="20"/>
                <w:color w:val="auto"/>
              </w:rPr>
            </w:pPr>
            <w:r>
              <w:rPr>
                <w:rFonts w:ascii="Arial" w:cs="Arial" w:eastAsia="Arial" w:hAnsi="Arial"/>
                <w:sz w:val="18"/>
                <w:szCs w:val="18"/>
                <w:color w:val="auto"/>
              </w:rPr>
              <w:t>Intangible asset amortization - operating expenses</w:t>
            </w:r>
          </w:p>
        </w:tc>
        <w:tc>
          <w:tcPr>
            <w:tcW w:w="24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798</w:t>
            </w:r>
          </w:p>
        </w:tc>
        <w:tc>
          <w:tcPr>
            <w:tcW w:w="10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528</w:t>
            </w:r>
          </w:p>
        </w:tc>
        <w:tc>
          <w:tcPr>
            <w:tcW w:w="10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3,297</w:t>
            </w:r>
          </w:p>
        </w:tc>
        <w:tc>
          <w:tcPr>
            <w:tcW w:w="6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2,106</w:t>
            </w:r>
          </w:p>
        </w:tc>
        <w:tc>
          <w:tcPr>
            <w:tcW w:w="0" w:type="dxa"/>
            <w:vAlign w:val="bottom"/>
          </w:tcPr>
          <w:p>
            <w:pPr>
              <w:spacing w:after="0"/>
              <w:rPr>
                <w:sz w:val="1"/>
                <w:szCs w:val="1"/>
                <w:color w:val="auto"/>
              </w:rPr>
            </w:pPr>
          </w:p>
        </w:tc>
      </w:tr>
      <w:tr>
        <w:trPr>
          <w:trHeight w:val="223"/>
        </w:trPr>
        <w:tc>
          <w:tcPr>
            <w:tcW w:w="5200" w:type="dxa"/>
            <w:vAlign w:val="bottom"/>
          </w:tcPr>
          <w:p>
            <w:pPr>
              <w:ind w:left="220"/>
              <w:spacing w:after="0"/>
              <w:rPr>
                <w:sz w:val="20"/>
                <w:szCs w:val="20"/>
                <w:color w:val="auto"/>
              </w:rPr>
            </w:pPr>
            <w:r>
              <w:rPr>
                <w:rFonts w:ascii="Arial" w:cs="Arial" w:eastAsia="Arial" w:hAnsi="Arial"/>
                <w:sz w:val="18"/>
                <w:szCs w:val="18"/>
                <w:color w:val="auto"/>
              </w:rPr>
              <w:t>Total operating expenses</w:t>
            </w:r>
          </w:p>
        </w:tc>
        <w:tc>
          <w:tcPr>
            <w:tcW w:w="2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74,579</w:t>
            </w:r>
          </w:p>
        </w:tc>
        <w:tc>
          <w:tcPr>
            <w:tcW w:w="10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100,295</w:t>
            </w:r>
          </w:p>
        </w:tc>
        <w:tc>
          <w:tcPr>
            <w:tcW w:w="10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282,003</w:t>
            </w:r>
          </w:p>
        </w:tc>
        <w:tc>
          <w:tcPr>
            <w:tcW w:w="6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315,479</w:t>
            </w:r>
          </w:p>
        </w:tc>
        <w:tc>
          <w:tcPr>
            <w:tcW w:w="0" w:type="dxa"/>
            <w:vAlign w:val="bottom"/>
          </w:tcPr>
          <w:p>
            <w:pPr>
              <w:spacing w:after="0"/>
              <w:rPr>
                <w:sz w:val="1"/>
                <w:szCs w:val="1"/>
                <w:color w:val="auto"/>
              </w:rPr>
            </w:pPr>
          </w:p>
        </w:tc>
      </w:tr>
      <w:tr>
        <w:trPr>
          <w:trHeight w:val="218"/>
        </w:trPr>
        <w:tc>
          <w:tcPr>
            <w:tcW w:w="5200" w:type="dxa"/>
            <w:vAlign w:val="bottom"/>
          </w:tcPr>
          <w:p>
            <w:pPr>
              <w:spacing w:after="0"/>
              <w:rPr>
                <w:sz w:val="20"/>
                <w:szCs w:val="20"/>
                <w:color w:val="auto"/>
              </w:rPr>
            </w:pPr>
            <w:r>
              <w:rPr>
                <w:rFonts w:ascii="Arial" w:cs="Arial" w:eastAsia="Arial" w:hAnsi="Arial"/>
                <w:sz w:val="18"/>
                <w:szCs w:val="18"/>
                <w:color w:val="auto"/>
              </w:rPr>
              <w:t>Income (loss) from operations</w:t>
            </w:r>
          </w:p>
        </w:tc>
        <w:tc>
          <w:tcPr>
            <w:tcW w:w="2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4,175</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(35,507)</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16,142</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(85,795)</w:t>
            </w:r>
          </w:p>
        </w:tc>
        <w:tc>
          <w:tcPr>
            <w:tcW w:w="0" w:type="dxa"/>
            <w:vAlign w:val="bottom"/>
          </w:tcPr>
          <w:p>
            <w:pPr>
              <w:spacing w:after="0"/>
              <w:rPr>
                <w:sz w:val="1"/>
                <w:szCs w:val="1"/>
                <w:color w:val="auto"/>
              </w:rPr>
            </w:pPr>
          </w:p>
        </w:tc>
      </w:tr>
      <w:tr>
        <w:trPr>
          <w:trHeight w:val="235"/>
        </w:trPr>
        <w:tc>
          <w:tcPr>
            <w:tcW w:w="5200" w:type="dxa"/>
            <w:vAlign w:val="bottom"/>
          </w:tcPr>
          <w:p>
            <w:pPr>
              <w:spacing w:after="0"/>
              <w:rPr>
                <w:sz w:val="20"/>
                <w:szCs w:val="20"/>
                <w:color w:val="auto"/>
              </w:rPr>
            </w:pPr>
            <w:r>
              <w:rPr>
                <w:rFonts w:ascii="Arial" w:cs="Arial" w:eastAsia="Arial" w:hAnsi="Arial"/>
                <w:sz w:val="18"/>
                <w:szCs w:val="18"/>
                <w:color w:val="auto"/>
              </w:rPr>
              <w:t>Other income (loss), net</w:t>
            </w:r>
          </w:p>
        </w:tc>
        <w:tc>
          <w:tcPr>
            <w:tcW w:w="24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(732)</w:t>
            </w:r>
          </w:p>
        </w:tc>
        <w:tc>
          <w:tcPr>
            <w:tcW w:w="10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5,035</w:t>
            </w:r>
          </w:p>
        </w:tc>
        <w:tc>
          <w:tcPr>
            <w:tcW w:w="10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9,602</w:t>
            </w:r>
          </w:p>
        </w:tc>
        <w:tc>
          <w:tcPr>
            <w:tcW w:w="6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9,183</w:t>
            </w:r>
          </w:p>
        </w:tc>
        <w:tc>
          <w:tcPr>
            <w:tcW w:w="0" w:type="dxa"/>
            <w:vAlign w:val="bottom"/>
          </w:tcPr>
          <w:p>
            <w:pPr>
              <w:spacing w:after="0"/>
              <w:rPr>
                <w:sz w:val="1"/>
                <w:szCs w:val="1"/>
                <w:color w:val="auto"/>
              </w:rPr>
            </w:pPr>
          </w:p>
        </w:tc>
      </w:tr>
      <w:tr>
        <w:trPr>
          <w:trHeight w:val="218"/>
        </w:trPr>
        <w:tc>
          <w:tcPr>
            <w:tcW w:w="5200" w:type="dxa"/>
            <w:vAlign w:val="bottom"/>
          </w:tcPr>
          <w:p>
            <w:pPr>
              <w:spacing w:after="0"/>
              <w:rPr>
                <w:sz w:val="20"/>
                <w:szCs w:val="20"/>
                <w:color w:val="auto"/>
              </w:rPr>
            </w:pPr>
            <w:r>
              <w:rPr>
                <w:rFonts w:ascii="Arial" w:cs="Arial" w:eastAsia="Arial" w:hAnsi="Arial"/>
                <w:sz w:val="18"/>
                <w:szCs w:val="18"/>
                <w:color w:val="auto"/>
              </w:rPr>
              <w:t>Income (loss) before income taxes</w:t>
            </w:r>
          </w:p>
        </w:tc>
        <w:tc>
          <w:tcPr>
            <w:tcW w:w="2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3,443</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(30,472)</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25,744</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(76,612)</w:t>
            </w:r>
          </w:p>
        </w:tc>
        <w:tc>
          <w:tcPr>
            <w:tcW w:w="0" w:type="dxa"/>
            <w:vAlign w:val="bottom"/>
          </w:tcPr>
          <w:p>
            <w:pPr>
              <w:spacing w:after="0"/>
              <w:rPr>
                <w:sz w:val="1"/>
                <w:szCs w:val="1"/>
                <w:color w:val="auto"/>
              </w:rPr>
            </w:pPr>
          </w:p>
        </w:tc>
      </w:tr>
      <w:tr>
        <w:trPr>
          <w:trHeight w:val="235"/>
        </w:trPr>
        <w:tc>
          <w:tcPr>
            <w:tcW w:w="5200" w:type="dxa"/>
            <w:vAlign w:val="bottom"/>
          </w:tcPr>
          <w:p>
            <w:pPr>
              <w:spacing w:after="0"/>
              <w:rPr>
                <w:sz w:val="20"/>
                <w:szCs w:val="20"/>
                <w:color w:val="auto"/>
              </w:rPr>
            </w:pPr>
            <w:r>
              <w:rPr>
                <w:rFonts w:ascii="Arial" w:cs="Arial" w:eastAsia="Arial" w:hAnsi="Arial"/>
                <w:sz w:val="18"/>
                <w:szCs w:val="18"/>
                <w:color w:val="auto"/>
              </w:rPr>
              <w:t>Income tax provision (benefit)</w:t>
            </w:r>
          </w:p>
        </w:tc>
        <w:tc>
          <w:tcPr>
            <w:tcW w:w="24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(1,670)</w:t>
            </w:r>
          </w:p>
        </w:tc>
        <w:tc>
          <w:tcPr>
            <w:tcW w:w="10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(2,179)</w:t>
            </w:r>
          </w:p>
        </w:tc>
        <w:tc>
          <w:tcPr>
            <w:tcW w:w="10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1,606</w:t>
            </w:r>
          </w:p>
        </w:tc>
        <w:tc>
          <w:tcPr>
            <w:tcW w:w="6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(2,208)</w:t>
            </w:r>
          </w:p>
        </w:tc>
        <w:tc>
          <w:tcPr>
            <w:tcW w:w="0" w:type="dxa"/>
            <w:vAlign w:val="bottom"/>
          </w:tcPr>
          <w:p>
            <w:pPr>
              <w:spacing w:after="0"/>
              <w:rPr>
                <w:sz w:val="1"/>
                <w:szCs w:val="1"/>
                <w:color w:val="auto"/>
              </w:rPr>
            </w:pPr>
          </w:p>
        </w:tc>
      </w:tr>
      <w:tr>
        <w:trPr>
          <w:trHeight w:val="230"/>
        </w:trPr>
        <w:tc>
          <w:tcPr>
            <w:tcW w:w="5200" w:type="dxa"/>
            <w:vAlign w:val="bottom"/>
          </w:tcPr>
          <w:p>
            <w:pPr>
              <w:spacing w:after="0"/>
              <w:rPr>
                <w:sz w:val="20"/>
                <w:szCs w:val="20"/>
                <w:color w:val="auto"/>
              </w:rPr>
            </w:pPr>
            <w:r>
              <w:rPr>
                <w:rFonts w:ascii="Arial" w:cs="Arial" w:eastAsia="Arial" w:hAnsi="Arial"/>
                <w:sz w:val="18"/>
                <w:szCs w:val="18"/>
                <w:color w:val="auto"/>
              </w:rPr>
              <w:t>Net income (loss)</w:t>
            </w: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5,113</w:t>
            </w:r>
          </w:p>
        </w:tc>
        <w:tc>
          <w:tcPr>
            <w:tcW w:w="100" w:type="dxa"/>
            <w:vAlign w:val="bottom"/>
          </w:tcPr>
          <w:p>
            <w:pPr>
              <w:spacing w:after="0"/>
              <w:rPr>
                <w:sz w:val="20"/>
                <w:szCs w:val="20"/>
                <w:color w:val="auto"/>
              </w:rPr>
            </w:pP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(28,293)</w:t>
            </w:r>
          </w:p>
        </w:tc>
        <w:tc>
          <w:tcPr>
            <w:tcW w:w="100" w:type="dxa"/>
            <w:vAlign w:val="bottom"/>
          </w:tcPr>
          <w:p>
            <w:pPr>
              <w:spacing w:after="0"/>
              <w:rPr>
                <w:sz w:val="20"/>
                <w:szCs w:val="20"/>
                <w:color w:val="auto"/>
              </w:rPr>
            </w:pP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24,138</w:t>
            </w:r>
          </w:p>
        </w:tc>
        <w:tc>
          <w:tcPr>
            <w:tcW w:w="6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(74,404)</w:t>
            </w:r>
          </w:p>
        </w:tc>
        <w:tc>
          <w:tcPr>
            <w:tcW w:w="0" w:type="dxa"/>
            <w:vAlign w:val="bottom"/>
          </w:tcPr>
          <w:p>
            <w:pPr>
              <w:spacing w:after="0"/>
              <w:rPr>
                <w:sz w:val="1"/>
                <w:szCs w:val="1"/>
                <w:color w:val="auto"/>
              </w:rPr>
            </w:pPr>
          </w:p>
        </w:tc>
      </w:tr>
      <w:tr>
        <w:trPr>
          <w:trHeight w:val="34"/>
        </w:trPr>
        <w:tc>
          <w:tcPr>
            <w:tcW w:w="5200" w:type="dxa"/>
            <w:vAlign w:val="bottom"/>
            <w:vMerge w:val="restart"/>
          </w:tcPr>
          <w:p>
            <w:pPr>
              <w:spacing w:after="0"/>
              <w:rPr>
                <w:sz w:val="20"/>
                <w:szCs w:val="20"/>
                <w:color w:val="auto"/>
              </w:rPr>
            </w:pPr>
            <w:r>
              <w:rPr>
                <w:rFonts w:ascii="Arial" w:cs="Arial" w:eastAsia="Arial" w:hAnsi="Arial"/>
                <w:sz w:val="18"/>
                <w:szCs w:val="18"/>
                <w:color w:val="auto"/>
              </w:rPr>
              <w:t>Earnings (loss) per share:</w:t>
            </w:r>
          </w:p>
        </w:tc>
        <w:tc>
          <w:tcPr>
            <w:tcW w:w="2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4"/>
        </w:trPr>
        <w:tc>
          <w:tcPr>
            <w:tcW w:w="5200" w:type="dxa"/>
            <w:vAlign w:val="bottom"/>
            <w:vMerge w:val="continue"/>
          </w:tcPr>
          <w:p>
            <w:pPr>
              <w:spacing w:after="0"/>
              <w:rPr>
                <w:sz w:val="15"/>
                <w:szCs w:val="15"/>
                <w:color w:val="auto"/>
              </w:rPr>
            </w:pPr>
          </w:p>
        </w:tc>
        <w:tc>
          <w:tcPr>
            <w:tcW w:w="2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5200" w:type="dxa"/>
            <w:vAlign w:val="bottom"/>
          </w:tcPr>
          <w:p>
            <w:pPr>
              <w:ind w:left="100"/>
              <w:spacing w:after="0"/>
              <w:rPr>
                <w:sz w:val="20"/>
                <w:szCs w:val="20"/>
                <w:color w:val="auto"/>
              </w:rPr>
            </w:pPr>
            <w:r>
              <w:rPr>
                <w:rFonts w:ascii="Arial" w:cs="Arial" w:eastAsia="Arial" w:hAnsi="Arial"/>
                <w:sz w:val="18"/>
                <w:szCs w:val="18"/>
                <w:color w:val="auto"/>
              </w:rPr>
              <w:t>Basic</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0.07</w:t>
            </w:r>
          </w:p>
        </w:tc>
        <w:tc>
          <w:tcPr>
            <w:tcW w:w="100" w:type="dxa"/>
            <w:vAlign w:val="bottom"/>
          </w:tcPr>
          <w:p>
            <w:pPr>
              <w:spacing w:after="0"/>
              <w:rPr>
                <w:sz w:val="19"/>
                <w:szCs w:val="19"/>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(0.39)</w:t>
            </w:r>
          </w:p>
        </w:tc>
        <w:tc>
          <w:tcPr>
            <w:tcW w:w="100" w:type="dxa"/>
            <w:vAlign w:val="bottom"/>
          </w:tcPr>
          <w:p>
            <w:pPr>
              <w:spacing w:after="0"/>
              <w:rPr>
                <w:sz w:val="19"/>
                <w:szCs w:val="19"/>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0.32</w:t>
            </w:r>
          </w:p>
        </w:tc>
        <w:tc>
          <w:tcPr>
            <w:tcW w:w="400" w:type="dxa"/>
            <w:vAlign w:val="bottom"/>
            <w:gridSpan w:val="3"/>
          </w:tcPr>
          <w:p>
            <w:pPr>
              <w:jc w:val="right"/>
              <w:ind w:right="30"/>
              <w:spacing w:after="0"/>
              <w:rPr>
                <w:sz w:val="20"/>
                <w:szCs w:val="20"/>
                <w:color w:val="auto"/>
              </w:rPr>
            </w:pPr>
            <w:r>
              <w:rPr>
                <w:rFonts w:ascii="Arial" w:cs="Arial" w:eastAsia="Arial" w:hAnsi="Arial"/>
                <w:sz w:val="18"/>
                <w:szCs w:val="18"/>
                <w:color w:val="auto"/>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(1.02)</w:t>
            </w:r>
          </w:p>
        </w:tc>
        <w:tc>
          <w:tcPr>
            <w:tcW w:w="0" w:type="dxa"/>
            <w:vAlign w:val="bottom"/>
          </w:tcPr>
          <w:p>
            <w:pPr>
              <w:spacing w:after="0"/>
              <w:rPr>
                <w:sz w:val="1"/>
                <w:szCs w:val="1"/>
                <w:color w:val="auto"/>
              </w:rPr>
            </w:pPr>
          </w:p>
        </w:tc>
      </w:tr>
      <w:tr>
        <w:trPr>
          <w:trHeight w:val="230"/>
        </w:trPr>
        <w:tc>
          <w:tcPr>
            <w:tcW w:w="5200" w:type="dxa"/>
            <w:vAlign w:val="bottom"/>
          </w:tcPr>
          <w:p>
            <w:pPr>
              <w:ind w:left="100"/>
              <w:spacing w:after="0"/>
              <w:rPr>
                <w:sz w:val="20"/>
                <w:szCs w:val="20"/>
                <w:color w:val="auto"/>
              </w:rPr>
            </w:pPr>
            <w:r>
              <w:rPr>
                <w:rFonts w:ascii="Arial" w:cs="Arial" w:eastAsia="Arial" w:hAnsi="Arial"/>
                <w:sz w:val="18"/>
                <w:szCs w:val="18"/>
                <w:color w:val="auto"/>
              </w:rPr>
              <w:t>Diluted</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0.06</w:t>
            </w:r>
          </w:p>
        </w:tc>
        <w:tc>
          <w:tcPr>
            <w:tcW w:w="100" w:type="dxa"/>
            <w:vAlign w:val="bottom"/>
          </w:tcPr>
          <w:p>
            <w:pPr>
              <w:spacing w:after="0"/>
              <w:rPr>
                <w:sz w:val="19"/>
                <w:szCs w:val="19"/>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(0.39)</w:t>
            </w:r>
          </w:p>
        </w:tc>
        <w:tc>
          <w:tcPr>
            <w:tcW w:w="100" w:type="dxa"/>
            <w:vAlign w:val="bottom"/>
          </w:tcPr>
          <w:p>
            <w:pPr>
              <w:spacing w:after="0"/>
              <w:rPr>
                <w:sz w:val="19"/>
                <w:szCs w:val="19"/>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0.31</w:t>
            </w:r>
          </w:p>
        </w:tc>
        <w:tc>
          <w:tcPr>
            <w:tcW w:w="400" w:type="dxa"/>
            <w:vAlign w:val="bottom"/>
            <w:gridSpan w:val="3"/>
          </w:tcPr>
          <w:p>
            <w:pPr>
              <w:jc w:val="right"/>
              <w:ind w:right="30"/>
              <w:spacing w:after="0"/>
              <w:rPr>
                <w:sz w:val="20"/>
                <w:szCs w:val="20"/>
                <w:color w:val="auto"/>
              </w:rPr>
            </w:pPr>
            <w:r>
              <w:rPr>
                <w:rFonts w:ascii="Arial" w:cs="Arial" w:eastAsia="Arial" w:hAnsi="Arial"/>
                <w:sz w:val="18"/>
                <w:szCs w:val="18"/>
                <w:color w:val="auto"/>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(1.02)</w:t>
            </w:r>
          </w:p>
        </w:tc>
        <w:tc>
          <w:tcPr>
            <w:tcW w:w="0" w:type="dxa"/>
            <w:vAlign w:val="bottom"/>
          </w:tcPr>
          <w:p>
            <w:pPr>
              <w:spacing w:after="0"/>
              <w:rPr>
                <w:sz w:val="1"/>
                <w:szCs w:val="1"/>
                <w:color w:val="auto"/>
              </w:rPr>
            </w:pPr>
          </w:p>
        </w:tc>
      </w:tr>
      <w:tr>
        <w:trPr>
          <w:trHeight w:val="230"/>
        </w:trPr>
        <w:tc>
          <w:tcPr>
            <w:tcW w:w="5200" w:type="dxa"/>
            <w:vAlign w:val="bottom"/>
          </w:tcPr>
          <w:p>
            <w:pPr>
              <w:spacing w:after="0"/>
              <w:rPr>
                <w:sz w:val="20"/>
                <w:szCs w:val="20"/>
                <w:color w:val="auto"/>
              </w:rPr>
            </w:pPr>
            <w:r>
              <w:rPr>
                <w:rFonts w:ascii="Arial" w:cs="Arial" w:eastAsia="Arial" w:hAnsi="Arial"/>
                <w:sz w:val="18"/>
                <w:szCs w:val="18"/>
                <w:color w:val="auto"/>
              </w:rPr>
              <w:t>Shares used to compute earnings (loss) per common share:</w:t>
            </w:r>
          </w:p>
        </w:tc>
        <w:tc>
          <w:tcPr>
            <w:tcW w:w="2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200" w:type="dxa"/>
            <w:vAlign w:val="bottom"/>
          </w:tcPr>
          <w:p>
            <w:pPr>
              <w:ind w:left="100"/>
              <w:spacing w:after="0"/>
              <w:rPr>
                <w:sz w:val="20"/>
                <w:szCs w:val="20"/>
                <w:color w:val="auto"/>
              </w:rPr>
            </w:pPr>
            <w:r>
              <w:rPr>
                <w:rFonts w:ascii="Arial" w:cs="Arial" w:eastAsia="Arial" w:hAnsi="Arial"/>
                <w:sz w:val="18"/>
                <w:szCs w:val="18"/>
                <w:color w:val="auto"/>
              </w:rPr>
              <w:t>Basic</w:t>
            </w:r>
          </w:p>
        </w:tc>
        <w:tc>
          <w:tcPr>
            <w:tcW w:w="2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77,608,924</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73,107,059</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76,484,759</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72,644,487</w:t>
            </w:r>
          </w:p>
        </w:tc>
        <w:tc>
          <w:tcPr>
            <w:tcW w:w="0" w:type="dxa"/>
            <w:vAlign w:val="bottom"/>
          </w:tcPr>
          <w:p>
            <w:pPr>
              <w:spacing w:after="0"/>
              <w:rPr>
                <w:sz w:val="1"/>
                <w:szCs w:val="1"/>
                <w:color w:val="auto"/>
              </w:rPr>
            </w:pPr>
          </w:p>
        </w:tc>
      </w:tr>
      <w:tr>
        <w:trPr>
          <w:trHeight w:val="239"/>
        </w:trPr>
        <w:tc>
          <w:tcPr>
            <w:tcW w:w="5200" w:type="dxa"/>
            <w:vAlign w:val="bottom"/>
          </w:tcPr>
          <w:p>
            <w:pPr>
              <w:ind w:left="100"/>
              <w:spacing w:after="0"/>
              <w:rPr>
                <w:sz w:val="20"/>
                <w:szCs w:val="20"/>
                <w:color w:val="auto"/>
              </w:rPr>
            </w:pPr>
            <w:r>
              <w:rPr>
                <w:rFonts w:ascii="Arial" w:cs="Arial" w:eastAsia="Arial" w:hAnsi="Arial"/>
                <w:sz w:val="18"/>
                <w:szCs w:val="18"/>
                <w:color w:val="auto"/>
              </w:rPr>
              <w:t>Diluted</w:t>
            </w:r>
          </w:p>
        </w:tc>
        <w:tc>
          <w:tcPr>
            <w:tcW w:w="24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79,905,412</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73,107,059</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78,163,217</w:t>
            </w: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72,644,487</w:t>
            </w:r>
          </w:p>
        </w:tc>
        <w:tc>
          <w:tcPr>
            <w:tcW w:w="0" w:type="dxa"/>
            <w:vAlign w:val="bottom"/>
          </w:tcPr>
          <w:p>
            <w:pPr>
              <w:spacing w:after="0"/>
              <w:rPr>
                <w:sz w:val="1"/>
                <w:szCs w:val="1"/>
                <w:color w:val="auto"/>
              </w:rPr>
            </w:pPr>
          </w:p>
        </w:tc>
      </w:tr>
    </w:tbl>
    <w:p>
      <w:pPr>
        <w:spacing w:after="0" w:line="301" w:lineRule="exact"/>
        <w:rPr>
          <w:sz w:val="20"/>
          <w:szCs w:val="20"/>
          <w:color w:val="auto"/>
        </w:rPr>
      </w:pPr>
    </w:p>
    <w:p>
      <w:pPr>
        <w:ind w:left="-8" w:right="100" w:firstLine="8"/>
        <w:spacing w:after="0" w:line="287" w:lineRule="auto"/>
        <w:tabs>
          <w:tab w:leader="none" w:pos="192" w:val="left"/>
        </w:tabs>
        <w:numPr>
          <w:ilvl w:val="0"/>
          <w:numId w:val="5"/>
        </w:numPr>
        <w:rPr>
          <w:rFonts w:ascii="Arial" w:cs="Arial" w:eastAsia="Arial" w:hAnsi="Arial"/>
          <w:sz w:val="18"/>
          <w:szCs w:val="18"/>
          <w:color w:val="auto"/>
        </w:rPr>
      </w:pPr>
      <w:r>
        <w:rPr>
          <w:rFonts w:ascii="Arial" w:cs="Arial" w:eastAsia="Arial" w:hAnsi="Arial"/>
          <w:sz w:val="18"/>
          <w:szCs w:val="18"/>
          <w:color w:val="auto"/>
        </w:rPr>
        <w:t>Cost of revenue, research and development, sales and marketing and general and administrative expenses include the following stock-based compensation related expenses:</w:t>
      </w:r>
    </w:p>
    <w:p>
      <w:pPr>
        <w:sectPr>
          <w:pgSz w:w="11900" w:h="16838" w:orient="portrait"/>
          <w:cols w:equalWidth="0" w:num="1">
            <w:col w:w="11052"/>
          </w:cols>
          <w:pgMar w:left="328" w:top="1268" w:right="519" w:bottom="1440" w:gutter="0" w:footer="0" w:header="0"/>
        </w:sectPr>
      </w:pPr>
    </w:p>
    <w:bookmarkStart w:id="9" w:name="page10"/>
    <w:bookmarkEnd w:id="9"/>
    <w:tbl>
      <w:tblPr>
        <w:tblLayout w:type="fixed"/>
        <w:tblInd w:w="0" w:type="dxa"/>
        <w:tblCellMar>
          <w:top w:w="0" w:type="dxa"/>
          <w:left w:w="0" w:type="dxa"/>
          <w:bottom w:w="0" w:type="dxa"/>
          <w:right w:w="0" w:type="dxa"/>
        </w:tblCellMar>
      </w:tblPr>
      <w:tr>
        <w:trPr>
          <w:trHeight w:val="207"/>
        </w:trPr>
        <w:tc>
          <w:tcPr>
            <w:tcW w:w="5240" w:type="dxa"/>
            <w:vAlign w:val="bottom"/>
          </w:tcPr>
          <w:p>
            <w:pPr>
              <w:spacing w:after="0"/>
              <w:rPr>
                <w:sz w:val="17"/>
                <w:szCs w:val="17"/>
                <w:color w:val="auto"/>
              </w:rPr>
            </w:pPr>
          </w:p>
        </w:tc>
        <w:tc>
          <w:tcPr>
            <w:tcW w:w="2860" w:type="dxa"/>
            <w:vAlign w:val="bottom"/>
            <w:gridSpan w:val="7"/>
          </w:tcPr>
          <w:p>
            <w:pPr>
              <w:ind w:left="100"/>
              <w:spacing w:after="0"/>
              <w:rPr>
                <w:sz w:val="20"/>
                <w:szCs w:val="20"/>
                <w:color w:val="auto"/>
              </w:rPr>
            </w:pPr>
            <w:r>
              <w:rPr>
                <w:rFonts w:ascii="Arial" w:cs="Arial" w:eastAsia="Arial" w:hAnsi="Arial"/>
                <w:sz w:val="18"/>
                <w:szCs w:val="18"/>
                <w:color w:val="auto"/>
              </w:rPr>
              <w:t>Three Months Ended December</w:t>
            </w:r>
          </w:p>
        </w:tc>
        <w:tc>
          <w:tcPr>
            <w:tcW w:w="2760" w:type="dxa"/>
            <w:vAlign w:val="bottom"/>
            <w:gridSpan w:val="6"/>
          </w:tcPr>
          <w:p>
            <w:pPr>
              <w:jc w:val="right"/>
              <w:spacing w:after="0"/>
              <w:rPr>
                <w:sz w:val="20"/>
                <w:szCs w:val="20"/>
                <w:color w:val="auto"/>
              </w:rPr>
            </w:pPr>
            <w:r>
              <w:rPr>
                <w:rFonts w:ascii="Arial" w:cs="Arial" w:eastAsia="Arial" w:hAnsi="Arial"/>
                <w:sz w:val="18"/>
                <w:szCs w:val="18"/>
                <w:color w:val="auto"/>
              </w:rPr>
              <w:t>Twelve Months Ended December</w:t>
            </w:r>
          </w:p>
        </w:tc>
      </w:tr>
      <w:tr>
        <w:trPr>
          <w:trHeight w:val="250"/>
        </w:trPr>
        <w:tc>
          <w:tcPr>
            <w:tcW w:w="5240" w:type="dxa"/>
            <w:vAlign w:val="bottom"/>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spacing w:after="0"/>
              <w:rPr>
                <w:sz w:val="21"/>
                <w:szCs w:val="21"/>
                <w:color w:val="auto"/>
              </w:rPr>
            </w:pPr>
          </w:p>
        </w:tc>
        <w:tc>
          <w:tcPr>
            <w:tcW w:w="460" w:type="dxa"/>
            <w:vAlign w:val="bottom"/>
            <w:tcBorders>
              <w:bottom w:val="single" w:sz="8" w:color="auto"/>
            </w:tcBorders>
            <w:gridSpan w:val="3"/>
          </w:tcPr>
          <w:p>
            <w:pPr>
              <w:jc w:val="right"/>
              <w:ind w:right="150"/>
              <w:spacing w:after="0"/>
              <w:rPr>
                <w:sz w:val="20"/>
                <w:szCs w:val="20"/>
                <w:color w:val="auto"/>
              </w:rPr>
            </w:pPr>
            <w:r>
              <w:rPr>
                <w:rFonts w:ascii="Arial" w:cs="Arial" w:eastAsia="Arial" w:hAnsi="Arial"/>
                <w:sz w:val="18"/>
                <w:szCs w:val="18"/>
                <w:color w:val="auto"/>
                <w:w w:val="99"/>
              </w:rPr>
              <w:t>31</w:t>
            </w:r>
          </w:p>
        </w:tc>
        <w:tc>
          <w:tcPr>
            <w:tcW w:w="104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spacing w:after="0"/>
              <w:rPr>
                <w:sz w:val="21"/>
                <w:szCs w:val="21"/>
                <w:color w:val="auto"/>
              </w:rPr>
            </w:pPr>
          </w:p>
        </w:tc>
        <w:tc>
          <w:tcPr>
            <w:tcW w:w="460" w:type="dxa"/>
            <w:vAlign w:val="bottom"/>
            <w:tcBorders>
              <w:bottom w:val="single" w:sz="8" w:color="auto"/>
            </w:tcBorders>
            <w:gridSpan w:val="3"/>
          </w:tcPr>
          <w:p>
            <w:pPr>
              <w:jc w:val="right"/>
              <w:ind w:right="150"/>
              <w:spacing w:after="0"/>
              <w:rPr>
                <w:sz w:val="20"/>
                <w:szCs w:val="20"/>
                <w:color w:val="auto"/>
              </w:rPr>
            </w:pPr>
            <w:r>
              <w:rPr>
                <w:rFonts w:ascii="Arial" w:cs="Arial" w:eastAsia="Arial" w:hAnsi="Arial"/>
                <w:sz w:val="18"/>
                <w:szCs w:val="18"/>
                <w:color w:val="auto"/>
                <w:w w:val="99"/>
              </w:rPr>
              <w:t>31</w:t>
            </w:r>
          </w:p>
        </w:tc>
        <w:tc>
          <w:tcPr>
            <w:tcW w:w="1040" w:type="dxa"/>
            <w:vAlign w:val="bottom"/>
            <w:tcBorders>
              <w:bottom w:val="single" w:sz="8" w:color="auto"/>
            </w:tcBorders>
          </w:tcPr>
          <w:p>
            <w:pPr>
              <w:spacing w:after="0"/>
              <w:rPr>
                <w:sz w:val="21"/>
                <w:szCs w:val="21"/>
                <w:color w:val="auto"/>
              </w:rPr>
            </w:pPr>
          </w:p>
        </w:tc>
      </w:tr>
      <w:tr>
        <w:trPr>
          <w:trHeight w:val="237"/>
        </w:trPr>
        <w:tc>
          <w:tcPr>
            <w:tcW w:w="524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2024</w:t>
            </w:r>
          </w:p>
        </w:tc>
        <w:tc>
          <w:tcPr>
            <w:tcW w:w="6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color w:val="auto"/>
              </w:rPr>
              <w:t>2023</w:t>
            </w:r>
          </w:p>
        </w:tc>
        <w:tc>
          <w:tcPr>
            <w:tcW w:w="10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2024</w:t>
            </w:r>
          </w:p>
        </w:tc>
        <w:tc>
          <w:tcPr>
            <w:tcW w:w="6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color w:val="auto"/>
              </w:rPr>
              <w:t>2023</w:t>
            </w:r>
          </w:p>
        </w:tc>
      </w:tr>
      <w:tr>
        <w:trPr>
          <w:trHeight w:val="224"/>
        </w:trPr>
        <w:tc>
          <w:tcPr>
            <w:tcW w:w="5240" w:type="dxa"/>
            <w:vAlign w:val="bottom"/>
          </w:tcPr>
          <w:p>
            <w:pPr>
              <w:spacing w:after="0"/>
              <w:rPr>
                <w:sz w:val="20"/>
                <w:szCs w:val="20"/>
                <w:color w:val="auto"/>
              </w:rPr>
            </w:pPr>
            <w:r>
              <w:rPr>
                <w:rFonts w:ascii="Arial" w:cs="Arial" w:eastAsia="Arial" w:hAnsi="Arial"/>
                <w:sz w:val="18"/>
                <w:szCs w:val="18"/>
                <w:color w:val="auto"/>
              </w:rPr>
              <w:t>Cost of revenue</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641</w:t>
            </w: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472</w:t>
            </w:r>
          </w:p>
        </w:tc>
        <w:tc>
          <w:tcPr>
            <w:tcW w:w="100" w:type="dxa"/>
            <w:vAlign w:val="bottom"/>
          </w:tcPr>
          <w:p>
            <w:pPr>
              <w:spacing w:after="0"/>
              <w:rPr>
                <w:sz w:val="19"/>
                <w:szCs w:val="19"/>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2,319</w:t>
            </w: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1,858</w:t>
            </w:r>
          </w:p>
        </w:tc>
      </w:tr>
      <w:tr>
        <w:trPr>
          <w:trHeight w:val="230"/>
        </w:trPr>
        <w:tc>
          <w:tcPr>
            <w:tcW w:w="5240" w:type="dxa"/>
            <w:vAlign w:val="bottom"/>
          </w:tcPr>
          <w:p>
            <w:pPr>
              <w:spacing w:after="0"/>
              <w:rPr>
                <w:sz w:val="20"/>
                <w:szCs w:val="20"/>
                <w:color w:val="auto"/>
              </w:rPr>
            </w:pPr>
            <w:r>
              <w:rPr>
                <w:rFonts w:ascii="Arial" w:cs="Arial" w:eastAsia="Arial" w:hAnsi="Arial"/>
                <w:sz w:val="18"/>
                <w:szCs w:val="18"/>
                <w:color w:val="auto"/>
              </w:rPr>
              <w:t>Research and development</w:t>
            </w:r>
          </w:p>
        </w:tc>
        <w:tc>
          <w:tcPr>
            <w:tcW w:w="3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1,896</w:t>
            </w: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1,495</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7,511</w:t>
            </w: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5,326</w:t>
            </w:r>
          </w:p>
        </w:tc>
      </w:tr>
      <w:tr>
        <w:trPr>
          <w:trHeight w:val="229"/>
        </w:trPr>
        <w:tc>
          <w:tcPr>
            <w:tcW w:w="5240" w:type="dxa"/>
            <w:vAlign w:val="bottom"/>
          </w:tcPr>
          <w:p>
            <w:pPr>
              <w:spacing w:after="0"/>
              <w:rPr>
                <w:sz w:val="20"/>
                <w:szCs w:val="20"/>
                <w:color w:val="auto"/>
              </w:rPr>
            </w:pPr>
            <w:r>
              <w:rPr>
                <w:rFonts w:ascii="Arial" w:cs="Arial" w:eastAsia="Arial" w:hAnsi="Arial"/>
                <w:sz w:val="18"/>
                <w:szCs w:val="18"/>
                <w:color w:val="auto"/>
              </w:rPr>
              <w:t>Selling and marketing</w:t>
            </w:r>
          </w:p>
        </w:tc>
        <w:tc>
          <w:tcPr>
            <w:tcW w:w="3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1,872</w:t>
            </w: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2,498</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6,897</w:t>
            </w: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9,624</w:t>
            </w:r>
          </w:p>
        </w:tc>
      </w:tr>
      <w:tr>
        <w:trPr>
          <w:trHeight w:val="235"/>
        </w:trPr>
        <w:tc>
          <w:tcPr>
            <w:tcW w:w="5240" w:type="dxa"/>
            <w:vAlign w:val="bottom"/>
          </w:tcPr>
          <w:p>
            <w:pPr>
              <w:spacing w:after="0"/>
              <w:rPr>
                <w:sz w:val="20"/>
                <w:szCs w:val="20"/>
                <w:color w:val="auto"/>
              </w:rPr>
            </w:pPr>
            <w:r>
              <w:rPr>
                <w:rFonts w:ascii="Arial" w:cs="Arial" w:eastAsia="Arial" w:hAnsi="Arial"/>
                <w:sz w:val="18"/>
                <w:szCs w:val="18"/>
                <w:color w:val="auto"/>
              </w:rPr>
              <w:t>General and administrative</w:t>
            </w:r>
          </w:p>
        </w:tc>
        <w:tc>
          <w:tcPr>
            <w:tcW w:w="30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5,220</w:t>
            </w:r>
          </w:p>
        </w:tc>
        <w:tc>
          <w:tcPr>
            <w:tcW w:w="6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3,142</w:t>
            </w:r>
          </w:p>
        </w:tc>
        <w:tc>
          <w:tcPr>
            <w:tcW w:w="10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19,522</w:t>
            </w:r>
          </w:p>
        </w:tc>
        <w:tc>
          <w:tcPr>
            <w:tcW w:w="6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16,681</w:t>
            </w:r>
          </w:p>
        </w:tc>
      </w:tr>
      <w:tr>
        <w:trPr>
          <w:trHeight w:val="223"/>
        </w:trPr>
        <w:tc>
          <w:tcPr>
            <w:tcW w:w="5240" w:type="dxa"/>
            <w:vAlign w:val="bottom"/>
          </w:tcPr>
          <w:p>
            <w:pPr>
              <w:ind w:left="100"/>
              <w:spacing w:after="0"/>
              <w:rPr>
                <w:sz w:val="20"/>
                <w:szCs w:val="20"/>
                <w:color w:val="auto"/>
              </w:rPr>
            </w:pPr>
            <w:r>
              <w:rPr>
                <w:rFonts w:ascii="Arial" w:cs="Arial" w:eastAsia="Arial" w:hAnsi="Arial"/>
                <w:sz w:val="18"/>
                <w:szCs w:val="18"/>
                <w:color w:val="auto"/>
              </w:rPr>
              <w:t>Total stock-based compensation expense</w:t>
            </w: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9,629</w:t>
            </w:r>
          </w:p>
        </w:tc>
        <w:tc>
          <w:tcPr>
            <w:tcW w:w="6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7,607</w:t>
            </w:r>
          </w:p>
        </w:tc>
        <w:tc>
          <w:tcPr>
            <w:tcW w:w="100" w:type="dxa"/>
            <w:vAlign w:val="bottom"/>
          </w:tcPr>
          <w:p>
            <w:pPr>
              <w:spacing w:after="0"/>
              <w:rPr>
                <w:sz w:val="19"/>
                <w:szCs w:val="19"/>
                <w:color w:val="auto"/>
              </w:rPr>
            </w:pP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36,249</w:t>
            </w:r>
          </w:p>
        </w:tc>
        <w:tc>
          <w:tcPr>
            <w:tcW w:w="6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33,489</w:t>
            </w:r>
          </w:p>
        </w:tc>
      </w:tr>
      <w:tr>
        <w:trPr>
          <w:trHeight w:val="20"/>
        </w:trPr>
        <w:tc>
          <w:tcPr>
            <w:tcW w:w="52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bl>
    <w:p>
      <w:pPr>
        <w:sectPr>
          <w:pgSz w:w="11900" w:h="16838" w:orient="portrait"/>
          <w:cols w:equalWidth="0" w:num="1">
            <w:col w:w="10860"/>
          </w:cols>
          <w:pgMar w:left="580" w:top="905" w:right="459" w:bottom="1440" w:gutter="0" w:footer="0" w:header="0"/>
        </w:sectPr>
      </w:pPr>
    </w:p>
    <w:bookmarkStart w:id="10" w:name="page11"/>
    <w:bookmarkEnd w:id="10"/>
    <w:p>
      <w:pPr>
        <w:jc w:val="center"/>
        <w:ind w:right="20"/>
        <w:spacing w:after="0"/>
        <w:rPr>
          <w:sz w:val="20"/>
          <w:szCs w:val="20"/>
          <w:color w:val="auto"/>
        </w:rPr>
      </w:pPr>
      <w:r>
        <w:rPr>
          <w:rFonts w:ascii="Arial" w:cs="Arial" w:eastAsia="Arial" w:hAnsi="Arial"/>
          <w:sz w:val="18"/>
          <w:szCs w:val="18"/>
          <w:color w:val="auto"/>
        </w:rPr>
        <w:t>VERACYTE, INC.</w:t>
      </w:r>
    </w:p>
    <w:p>
      <w:pPr>
        <w:spacing w:after="0" w:line="32"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CONDENSED CONSOLIDATED STATEMENT OF COMPREHENSIVE INCOME (LOSS)</w:t>
      </w:r>
    </w:p>
    <w:p>
      <w:pPr>
        <w:spacing w:after="0" w:line="23"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(Unaudited)</w:t>
      </w:r>
    </w:p>
    <w:p>
      <w:pPr>
        <w:spacing w:after="0" w:line="23"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(In thousands)</w:t>
      </w:r>
    </w:p>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320" w:type="dxa"/>
            <w:vAlign w:val="bottom"/>
          </w:tcPr>
          <w:p>
            <w:pPr>
              <w:spacing w:after="0"/>
              <w:rPr>
                <w:sz w:val="17"/>
                <w:szCs w:val="17"/>
                <w:color w:val="auto"/>
              </w:rPr>
            </w:pPr>
          </w:p>
        </w:tc>
        <w:tc>
          <w:tcPr>
            <w:tcW w:w="3000" w:type="dxa"/>
            <w:vAlign w:val="bottom"/>
            <w:gridSpan w:val="6"/>
            <w:vMerge w:val="restart"/>
          </w:tcPr>
          <w:p>
            <w:pPr>
              <w:ind w:left="40"/>
              <w:spacing w:after="0"/>
              <w:rPr>
                <w:sz w:val="20"/>
                <w:szCs w:val="20"/>
                <w:color w:val="auto"/>
              </w:rPr>
            </w:pPr>
            <w:r>
              <w:rPr>
                <w:rFonts w:ascii="Arial" w:cs="Arial" w:eastAsia="Arial" w:hAnsi="Arial"/>
                <w:sz w:val="18"/>
                <w:szCs w:val="18"/>
                <w:color w:val="auto"/>
              </w:rPr>
              <w:t>Three Months Ended December 31</w:t>
            </w:r>
          </w:p>
        </w:tc>
        <w:tc>
          <w:tcPr>
            <w:tcW w:w="120" w:type="dxa"/>
            <w:vAlign w:val="bottom"/>
          </w:tcPr>
          <w:p>
            <w:pPr>
              <w:spacing w:after="0"/>
              <w:rPr>
                <w:sz w:val="17"/>
                <w:szCs w:val="17"/>
                <w:color w:val="auto"/>
              </w:rPr>
            </w:pPr>
          </w:p>
        </w:tc>
        <w:tc>
          <w:tcPr>
            <w:tcW w:w="2780" w:type="dxa"/>
            <w:vAlign w:val="bottom"/>
            <w:gridSpan w:val="5"/>
          </w:tcPr>
          <w:p>
            <w:pPr>
              <w:jc w:val="right"/>
              <w:ind w:right="30"/>
              <w:spacing w:after="0"/>
              <w:rPr>
                <w:sz w:val="20"/>
                <w:szCs w:val="20"/>
                <w:color w:val="auto"/>
              </w:rPr>
            </w:pPr>
            <w:r>
              <w:rPr>
                <w:rFonts w:ascii="Arial" w:cs="Arial" w:eastAsia="Arial" w:hAnsi="Arial"/>
                <w:sz w:val="18"/>
                <w:szCs w:val="18"/>
                <w:color w:val="auto"/>
                <w:w w:val="99"/>
              </w:rPr>
              <w:t>Twelve Months Ended December</w:t>
            </w:r>
          </w:p>
        </w:tc>
        <w:tc>
          <w:tcPr>
            <w:tcW w:w="0" w:type="dxa"/>
            <w:vAlign w:val="bottom"/>
          </w:tcPr>
          <w:p>
            <w:pPr>
              <w:spacing w:after="0"/>
              <w:rPr>
                <w:sz w:val="1"/>
                <w:szCs w:val="1"/>
                <w:color w:val="auto"/>
              </w:rPr>
            </w:pPr>
          </w:p>
        </w:tc>
      </w:tr>
      <w:tr>
        <w:trPr>
          <w:trHeight w:val="250"/>
        </w:trPr>
        <w:tc>
          <w:tcPr>
            <w:tcW w:w="5320" w:type="dxa"/>
            <w:vAlign w:val="bottom"/>
          </w:tcPr>
          <w:p>
            <w:pPr>
              <w:spacing w:after="0"/>
              <w:rPr>
                <w:sz w:val="21"/>
                <w:szCs w:val="21"/>
                <w:color w:val="auto"/>
              </w:rPr>
            </w:pPr>
          </w:p>
        </w:tc>
        <w:tc>
          <w:tcPr>
            <w:tcW w:w="3000" w:type="dxa"/>
            <w:vAlign w:val="bottom"/>
            <w:gridSpan w:val="6"/>
            <w:vMerge w:val="continue"/>
          </w:tcPr>
          <w:p>
            <w:pPr>
              <w:spacing w:after="0"/>
              <w:rPr>
                <w:sz w:val="21"/>
                <w:szCs w:val="21"/>
                <w:color w:val="auto"/>
              </w:rPr>
            </w:pPr>
          </w:p>
        </w:tc>
        <w:tc>
          <w:tcPr>
            <w:tcW w:w="12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460" w:type="dxa"/>
            <w:vAlign w:val="bottom"/>
            <w:gridSpan w:val="3"/>
          </w:tcPr>
          <w:p>
            <w:pPr>
              <w:jc w:val="right"/>
              <w:ind w:right="170"/>
              <w:spacing w:after="0"/>
              <w:rPr>
                <w:sz w:val="20"/>
                <w:szCs w:val="20"/>
                <w:color w:val="auto"/>
              </w:rPr>
            </w:pPr>
            <w:r>
              <w:rPr>
                <w:rFonts w:ascii="Arial" w:cs="Arial" w:eastAsia="Arial" w:hAnsi="Arial"/>
                <w:sz w:val="18"/>
                <w:szCs w:val="18"/>
                <w:color w:val="auto"/>
                <w:w w:val="89"/>
              </w:rPr>
              <w:t>31</w:t>
            </w:r>
          </w:p>
        </w:tc>
        <w:tc>
          <w:tcPr>
            <w:tcW w:w="1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5320" w:type="dxa"/>
            <w:vAlign w:val="bottom"/>
          </w:tcPr>
          <w:p>
            <w:pPr>
              <w:spacing w:after="0"/>
              <w:rPr>
                <w:sz w:val="19"/>
                <w:szCs w:val="19"/>
                <w:color w:val="auto"/>
              </w:rPr>
            </w:pPr>
          </w:p>
        </w:tc>
        <w:tc>
          <w:tcPr>
            <w:tcW w:w="320" w:type="dxa"/>
            <w:vAlign w:val="bottom"/>
            <w:tcBorders>
              <w:top w:val="single" w:sz="8" w:color="auto"/>
              <w:bottom w:val="single" w:sz="8" w:color="auto"/>
            </w:tcBorders>
          </w:tcPr>
          <w:p>
            <w:pPr>
              <w:spacing w:after="0"/>
              <w:rPr>
                <w:sz w:val="19"/>
                <w:szCs w:val="19"/>
                <w:color w:val="auto"/>
              </w:rPr>
            </w:pPr>
          </w:p>
        </w:tc>
        <w:tc>
          <w:tcPr>
            <w:tcW w:w="1080" w:type="dxa"/>
            <w:vAlign w:val="bottom"/>
            <w:tcBorders>
              <w:top w:val="single" w:sz="8" w:color="auto"/>
              <w:bottom w:val="single" w:sz="8" w:color="auto"/>
            </w:tcBorders>
          </w:tcPr>
          <w:p>
            <w:pPr>
              <w:jc w:val="right"/>
              <w:ind w:right="410"/>
              <w:spacing w:after="0"/>
              <w:rPr>
                <w:sz w:val="20"/>
                <w:szCs w:val="20"/>
                <w:color w:val="auto"/>
              </w:rPr>
            </w:pPr>
            <w:r>
              <w:rPr>
                <w:rFonts w:ascii="Arial" w:cs="Arial" w:eastAsia="Arial" w:hAnsi="Arial"/>
                <w:sz w:val="18"/>
                <w:szCs w:val="18"/>
                <w:color w:val="auto"/>
              </w:rPr>
              <w:t>2024</w:t>
            </w:r>
          </w:p>
        </w:tc>
        <w:tc>
          <w:tcPr>
            <w:tcW w:w="100" w:type="dxa"/>
            <w:vAlign w:val="bottom"/>
            <w:tcBorders>
              <w:top w:val="single" w:sz="8" w:color="auto"/>
            </w:tcBorders>
          </w:tcPr>
          <w:p>
            <w:pPr>
              <w:spacing w:after="0"/>
              <w:rPr>
                <w:sz w:val="19"/>
                <w:szCs w:val="19"/>
                <w:color w:val="auto"/>
              </w:rPr>
            </w:pPr>
          </w:p>
        </w:tc>
        <w:tc>
          <w:tcPr>
            <w:tcW w:w="300" w:type="dxa"/>
            <w:vAlign w:val="bottom"/>
            <w:tcBorders>
              <w:top w:val="single" w:sz="8" w:color="auto"/>
              <w:bottom w:val="single" w:sz="8" w:color="auto"/>
            </w:tcBorders>
          </w:tcPr>
          <w:p>
            <w:pPr>
              <w:spacing w:after="0"/>
              <w:rPr>
                <w:sz w:val="19"/>
                <w:szCs w:val="19"/>
                <w:color w:val="auto"/>
              </w:rPr>
            </w:pPr>
          </w:p>
        </w:tc>
        <w:tc>
          <w:tcPr>
            <w:tcW w:w="1100" w:type="dxa"/>
            <w:vAlign w:val="bottom"/>
            <w:tcBorders>
              <w:top w:val="single" w:sz="8" w:color="auto"/>
              <w:bottom w:val="single" w:sz="8" w:color="auto"/>
            </w:tcBorders>
          </w:tcPr>
          <w:p>
            <w:pPr>
              <w:jc w:val="right"/>
              <w:ind w:right="410"/>
              <w:spacing w:after="0"/>
              <w:rPr>
                <w:sz w:val="20"/>
                <w:szCs w:val="20"/>
                <w:color w:val="auto"/>
              </w:rPr>
            </w:pPr>
            <w:r>
              <w:rPr>
                <w:rFonts w:ascii="Arial" w:cs="Arial" w:eastAsia="Arial" w:hAnsi="Arial"/>
                <w:sz w:val="18"/>
                <w:szCs w:val="18"/>
                <w:color w:val="auto"/>
              </w:rPr>
              <w:t>2023</w:t>
            </w:r>
          </w:p>
        </w:tc>
        <w:tc>
          <w:tcPr>
            <w:tcW w:w="100" w:type="dxa"/>
            <w:vAlign w:val="bottom"/>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1220" w:type="dxa"/>
            <w:vAlign w:val="bottom"/>
            <w:tcBorders>
              <w:top w:val="single" w:sz="8" w:color="auto"/>
              <w:bottom w:val="single" w:sz="8" w:color="auto"/>
            </w:tcBorders>
          </w:tcPr>
          <w:p>
            <w:pPr>
              <w:jc w:val="right"/>
              <w:ind w:right="350"/>
              <w:spacing w:after="0"/>
              <w:rPr>
                <w:sz w:val="20"/>
                <w:szCs w:val="20"/>
                <w:color w:val="auto"/>
              </w:rPr>
            </w:pPr>
            <w:r>
              <w:rPr>
                <w:rFonts w:ascii="Arial" w:cs="Arial" w:eastAsia="Arial" w:hAnsi="Arial"/>
                <w:sz w:val="18"/>
                <w:szCs w:val="18"/>
                <w:color w:val="auto"/>
              </w:rPr>
              <w:t>2024</w:t>
            </w:r>
          </w:p>
        </w:tc>
        <w:tc>
          <w:tcPr>
            <w:tcW w:w="60" w:type="dxa"/>
            <w:vAlign w:val="bottom"/>
            <w:tcBorders>
              <w:top w:val="single" w:sz="8" w:color="auto"/>
              <w:bottom w:val="single" w:sz="8" w:color="auto"/>
            </w:tcBorders>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300" w:type="dxa"/>
            <w:vAlign w:val="bottom"/>
            <w:tcBorders>
              <w:top w:val="single" w:sz="8" w:color="auto"/>
              <w:bottom w:val="single" w:sz="8" w:color="auto"/>
            </w:tcBorders>
          </w:tcPr>
          <w:p>
            <w:pPr>
              <w:spacing w:after="0"/>
              <w:rPr>
                <w:sz w:val="19"/>
                <w:szCs w:val="19"/>
                <w:color w:val="auto"/>
              </w:rPr>
            </w:pPr>
          </w:p>
        </w:tc>
        <w:tc>
          <w:tcPr>
            <w:tcW w:w="1100" w:type="dxa"/>
            <w:vAlign w:val="bottom"/>
            <w:tcBorders>
              <w:top w:val="single" w:sz="8" w:color="auto"/>
              <w:bottom w:val="single" w:sz="8" w:color="auto"/>
            </w:tcBorders>
          </w:tcPr>
          <w:p>
            <w:pPr>
              <w:jc w:val="right"/>
              <w:ind w:right="410"/>
              <w:spacing w:after="0"/>
              <w:rPr>
                <w:sz w:val="20"/>
                <w:szCs w:val="20"/>
                <w:color w:val="auto"/>
              </w:rPr>
            </w:pPr>
            <w:r>
              <w:rPr>
                <w:rFonts w:ascii="Arial" w:cs="Arial" w:eastAsia="Arial" w:hAnsi="Arial"/>
                <w:sz w:val="18"/>
                <w:szCs w:val="18"/>
                <w:color w:val="auto"/>
              </w:rPr>
              <w:t>2023</w:t>
            </w:r>
          </w:p>
        </w:tc>
        <w:tc>
          <w:tcPr>
            <w:tcW w:w="0" w:type="dxa"/>
            <w:vAlign w:val="bottom"/>
          </w:tcPr>
          <w:p>
            <w:pPr>
              <w:spacing w:after="0"/>
              <w:rPr>
                <w:sz w:val="1"/>
                <w:szCs w:val="1"/>
                <w:color w:val="auto"/>
              </w:rPr>
            </w:pPr>
          </w:p>
        </w:tc>
      </w:tr>
      <w:tr>
        <w:trPr>
          <w:trHeight w:val="218"/>
        </w:trPr>
        <w:tc>
          <w:tcPr>
            <w:tcW w:w="5320" w:type="dxa"/>
            <w:vAlign w:val="bottom"/>
          </w:tcPr>
          <w:p>
            <w:pPr>
              <w:spacing w:after="0"/>
              <w:rPr>
                <w:sz w:val="20"/>
                <w:szCs w:val="20"/>
                <w:color w:val="auto"/>
              </w:rPr>
            </w:pPr>
            <w:r>
              <w:rPr>
                <w:rFonts w:ascii="Arial" w:cs="Arial" w:eastAsia="Arial" w:hAnsi="Arial"/>
                <w:sz w:val="18"/>
                <w:szCs w:val="18"/>
                <w:color w:val="auto"/>
              </w:rPr>
              <w:t>Net income (loss)</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5,113</w:t>
            </w:r>
          </w:p>
        </w:tc>
        <w:tc>
          <w:tcPr>
            <w:tcW w:w="100" w:type="dxa"/>
            <w:vAlign w:val="bottom"/>
          </w:tcPr>
          <w:p>
            <w:pPr>
              <w:spacing w:after="0"/>
              <w:rPr>
                <w:sz w:val="18"/>
                <w:szCs w:val="18"/>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(28,293)</w:t>
            </w:r>
          </w:p>
        </w:tc>
        <w:tc>
          <w:tcPr>
            <w:tcW w:w="10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Pr>
          <w:p>
            <w:pPr>
              <w:jc w:val="center"/>
              <w:ind w:left="550"/>
              <w:spacing w:after="0"/>
              <w:rPr>
                <w:sz w:val="20"/>
                <w:szCs w:val="20"/>
                <w:color w:val="auto"/>
              </w:rPr>
            </w:pPr>
            <w:r>
              <w:rPr>
                <w:rFonts w:ascii="Arial" w:cs="Arial" w:eastAsia="Arial" w:hAnsi="Arial"/>
                <w:sz w:val="18"/>
                <w:szCs w:val="18"/>
                <w:color w:val="auto"/>
                <w:w w:val="98"/>
              </w:rPr>
              <w:t>24,138</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(74,404)</w:t>
            </w:r>
          </w:p>
        </w:tc>
        <w:tc>
          <w:tcPr>
            <w:tcW w:w="0" w:type="dxa"/>
            <w:vAlign w:val="bottom"/>
          </w:tcPr>
          <w:p>
            <w:pPr>
              <w:spacing w:after="0"/>
              <w:rPr>
                <w:sz w:val="1"/>
                <w:szCs w:val="1"/>
                <w:color w:val="auto"/>
              </w:rPr>
            </w:pPr>
          </w:p>
        </w:tc>
      </w:tr>
      <w:tr>
        <w:trPr>
          <w:trHeight w:val="230"/>
        </w:trPr>
        <w:tc>
          <w:tcPr>
            <w:tcW w:w="5320" w:type="dxa"/>
            <w:vAlign w:val="bottom"/>
          </w:tcPr>
          <w:p>
            <w:pPr>
              <w:ind w:left="120"/>
              <w:spacing w:after="0"/>
              <w:rPr>
                <w:sz w:val="20"/>
                <w:szCs w:val="20"/>
                <w:color w:val="auto"/>
              </w:rPr>
            </w:pPr>
            <w:r>
              <w:rPr>
                <w:rFonts w:ascii="Arial" w:cs="Arial" w:eastAsia="Arial" w:hAnsi="Arial"/>
                <w:sz w:val="18"/>
                <w:szCs w:val="18"/>
                <w:color w:val="auto"/>
              </w:rPr>
              <w:t>Other comprehensive income (loss):</w:t>
            </w:r>
          </w:p>
        </w:tc>
        <w:tc>
          <w:tcPr>
            <w:tcW w:w="3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5320" w:type="dxa"/>
            <w:vAlign w:val="bottom"/>
          </w:tcPr>
          <w:p>
            <w:pPr>
              <w:ind w:left="240"/>
              <w:spacing w:after="0"/>
              <w:rPr>
                <w:sz w:val="20"/>
                <w:szCs w:val="20"/>
                <w:color w:val="auto"/>
              </w:rPr>
            </w:pPr>
            <w:r>
              <w:rPr>
                <w:rFonts w:ascii="Arial" w:cs="Arial" w:eastAsia="Arial" w:hAnsi="Arial"/>
                <w:sz w:val="18"/>
                <w:szCs w:val="18"/>
                <w:color w:val="auto"/>
              </w:rPr>
              <w:t>Change in currency translation adjustments</w:t>
            </w:r>
          </w:p>
        </w:tc>
        <w:tc>
          <w:tcPr>
            <w:tcW w:w="32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(14,808)</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3,765</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80" w:type="dxa"/>
            <w:vAlign w:val="bottom"/>
            <w:gridSpan w:val="2"/>
          </w:tcPr>
          <w:p>
            <w:pPr>
              <w:jc w:val="center"/>
              <w:ind w:left="470"/>
              <w:spacing w:after="0"/>
              <w:rPr>
                <w:sz w:val="20"/>
                <w:szCs w:val="20"/>
                <w:color w:val="auto"/>
              </w:rPr>
            </w:pPr>
            <w:r>
              <w:rPr>
                <w:rFonts w:ascii="Arial" w:cs="Arial" w:eastAsia="Arial" w:hAnsi="Arial"/>
                <w:sz w:val="18"/>
                <w:szCs w:val="18"/>
                <w:color w:val="auto"/>
              </w:rPr>
              <w:t>(12,072)</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7,328</w:t>
            </w:r>
          </w:p>
        </w:tc>
        <w:tc>
          <w:tcPr>
            <w:tcW w:w="0" w:type="dxa"/>
            <w:vAlign w:val="bottom"/>
          </w:tcPr>
          <w:p>
            <w:pPr>
              <w:spacing w:after="0"/>
              <w:rPr>
                <w:sz w:val="1"/>
                <w:szCs w:val="1"/>
                <w:color w:val="auto"/>
              </w:rPr>
            </w:pPr>
          </w:p>
        </w:tc>
      </w:tr>
      <w:tr>
        <w:trPr>
          <w:trHeight w:val="253"/>
        </w:trPr>
        <w:tc>
          <w:tcPr>
            <w:tcW w:w="53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460" w:type="dxa"/>
            <w:vAlign w:val="bottom"/>
            <w:gridSpan w:val="3"/>
          </w:tcPr>
          <w:p>
            <w:pPr>
              <w:spacing w:after="0"/>
              <w:rPr>
                <w:sz w:val="21"/>
                <w:szCs w:val="21"/>
                <w:color w:val="auto"/>
              </w:rPr>
            </w:pPr>
          </w:p>
        </w:tc>
        <w:tc>
          <w:tcPr>
            <w:tcW w:w="1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5320" w:type="dxa"/>
            <w:vAlign w:val="bottom"/>
          </w:tcPr>
          <w:p>
            <w:pPr>
              <w:spacing w:after="0"/>
              <w:rPr>
                <w:sz w:val="20"/>
                <w:szCs w:val="20"/>
                <w:color w:val="auto"/>
              </w:rPr>
            </w:pPr>
            <w:r>
              <w:rPr>
                <w:rFonts w:ascii="Arial" w:cs="Arial" w:eastAsia="Arial" w:hAnsi="Arial"/>
                <w:sz w:val="18"/>
                <w:szCs w:val="18"/>
                <w:color w:val="auto"/>
              </w:rPr>
              <w:t>Net comprehensive income (loss)</w:t>
            </w: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(9,695)</w:t>
            </w:r>
          </w:p>
        </w:tc>
        <w:tc>
          <w:tcPr>
            <w:tcW w:w="100" w:type="dxa"/>
            <w:vAlign w:val="bottom"/>
          </w:tcPr>
          <w:p>
            <w:pPr>
              <w:spacing w:after="0"/>
              <w:rPr>
                <w:sz w:val="19"/>
                <w:szCs w:val="19"/>
                <w:color w:val="auto"/>
              </w:rPr>
            </w:pP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(24,528)</w:t>
            </w:r>
          </w:p>
        </w:tc>
        <w:tc>
          <w:tcPr>
            <w:tcW w:w="10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bottom w:val="single" w:sz="8" w:color="auto"/>
            </w:tcBorders>
          </w:tcPr>
          <w:p>
            <w:pPr>
              <w:jc w:val="center"/>
              <w:ind w:left="550"/>
              <w:spacing w:after="0"/>
              <w:rPr>
                <w:sz w:val="20"/>
                <w:szCs w:val="20"/>
                <w:color w:val="auto"/>
              </w:rPr>
            </w:pPr>
            <w:r>
              <w:rPr>
                <w:rFonts w:ascii="Arial" w:cs="Arial" w:eastAsia="Arial" w:hAnsi="Arial"/>
                <w:sz w:val="18"/>
                <w:szCs w:val="18"/>
                <w:color w:val="auto"/>
                <w:w w:val="98"/>
              </w:rPr>
              <w:t>12,066</w:t>
            </w:r>
          </w:p>
        </w:tc>
        <w:tc>
          <w:tcPr>
            <w:tcW w:w="60" w:type="dxa"/>
            <w:vAlign w:val="bottom"/>
            <w:tcBorders>
              <w:top w:val="single" w:sz="8" w:color="auto"/>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(67,076)</w:t>
            </w:r>
          </w:p>
        </w:tc>
        <w:tc>
          <w:tcPr>
            <w:tcW w:w="0" w:type="dxa"/>
            <w:vAlign w:val="bottom"/>
          </w:tcPr>
          <w:p>
            <w:pPr>
              <w:spacing w:after="0"/>
              <w:rPr>
                <w:sz w:val="1"/>
                <w:szCs w:val="1"/>
                <w:color w:val="auto"/>
              </w:rPr>
            </w:pPr>
          </w:p>
        </w:tc>
      </w:tr>
      <w:tr>
        <w:trPr>
          <w:trHeight w:val="21"/>
        </w:trPr>
        <w:tc>
          <w:tcPr>
            <w:tcW w:w="53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ectPr>
          <w:pgSz w:w="11900" w:h="16838" w:orient="portrait"/>
          <w:cols w:equalWidth="0" w:num="1">
            <w:col w:w="11220"/>
          </w:cols>
          <w:pgMar w:left="340" w:top="931" w:right="339" w:bottom="1440" w:gutter="0" w:footer="0" w:header="0"/>
        </w:sectPr>
      </w:pPr>
    </w:p>
    <w:bookmarkStart w:id="11" w:name="page12"/>
    <w:bookmarkEnd w:id="11"/>
    <w:p>
      <w:pPr>
        <w:jc w:val="center"/>
        <w:ind w:right="20"/>
        <w:spacing w:after="0"/>
        <w:rPr>
          <w:sz w:val="20"/>
          <w:szCs w:val="20"/>
          <w:color w:val="auto"/>
        </w:rPr>
      </w:pPr>
      <w:r>
        <w:rPr>
          <w:rFonts w:ascii="Arial" w:cs="Arial" w:eastAsia="Arial" w:hAnsi="Arial"/>
          <w:sz w:val="18"/>
          <w:szCs w:val="18"/>
          <w:color w:val="auto"/>
        </w:rPr>
        <w:t>VERACYTE, INC.</w:t>
      </w:r>
    </w:p>
    <w:p>
      <w:pPr>
        <w:spacing w:after="0" w:line="32"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CONDENSED CONSOLIDATED BALANCE SHEETS</w:t>
      </w:r>
    </w:p>
    <w:p>
      <w:pPr>
        <w:spacing w:after="0" w:line="23"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(In thousands)</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66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920" w:type="dxa"/>
            <w:vAlign w:val="bottom"/>
            <w:gridSpan w:val="2"/>
          </w:tcPr>
          <w:p>
            <w:pPr>
              <w:jc w:val="center"/>
              <w:ind w:right="400"/>
              <w:spacing w:after="0"/>
              <w:rPr>
                <w:sz w:val="20"/>
                <w:szCs w:val="20"/>
                <w:color w:val="auto"/>
              </w:rPr>
            </w:pPr>
            <w:r>
              <w:rPr>
                <w:rFonts w:ascii="Arial" w:cs="Arial" w:eastAsia="Arial" w:hAnsi="Arial"/>
                <w:sz w:val="18"/>
                <w:szCs w:val="18"/>
                <w:color w:val="auto"/>
                <w:w w:val="99"/>
              </w:rPr>
              <w:t>December 31,</w:t>
            </w:r>
          </w:p>
        </w:tc>
        <w:tc>
          <w:tcPr>
            <w:tcW w:w="320" w:type="dxa"/>
            <w:vAlign w:val="bottom"/>
          </w:tcPr>
          <w:p>
            <w:pPr>
              <w:spacing w:after="0"/>
              <w:rPr>
                <w:sz w:val="19"/>
                <w:szCs w:val="19"/>
                <w:color w:val="auto"/>
              </w:rPr>
            </w:pPr>
          </w:p>
        </w:tc>
        <w:tc>
          <w:tcPr>
            <w:tcW w:w="1800" w:type="dxa"/>
            <w:vAlign w:val="bottom"/>
          </w:tcPr>
          <w:p>
            <w:pPr>
              <w:jc w:val="center"/>
              <w:ind w:right="210"/>
              <w:spacing w:after="0"/>
              <w:rPr>
                <w:sz w:val="20"/>
                <w:szCs w:val="20"/>
                <w:color w:val="auto"/>
              </w:rPr>
            </w:pPr>
            <w:r>
              <w:rPr>
                <w:rFonts w:ascii="Arial" w:cs="Arial" w:eastAsia="Arial" w:hAnsi="Arial"/>
                <w:sz w:val="18"/>
                <w:szCs w:val="18"/>
                <w:color w:val="auto"/>
              </w:rPr>
              <w:t>December 31,</w:t>
            </w:r>
          </w:p>
        </w:tc>
        <w:tc>
          <w:tcPr>
            <w:tcW w:w="0" w:type="dxa"/>
            <w:vAlign w:val="bottom"/>
          </w:tcPr>
          <w:p>
            <w:pPr>
              <w:spacing w:after="0"/>
              <w:rPr>
                <w:sz w:val="1"/>
                <w:szCs w:val="1"/>
                <w:color w:val="auto"/>
              </w:rPr>
            </w:pPr>
          </w:p>
        </w:tc>
      </w:tr>
      <w:tr>
        <w:trPr>
          <w:trHeight w:val="242"/>
        </w:trPr>
        <w:tc>
          <w:tcPr>
            <w:tcW w:w="6600" w:type="dxa"/>
            <w:vAlign w:val="bottom"/>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820" w:type="dxa"/>
            <w:vAlign w:val="bottom"/>
            <w:tcBorders>
              <w:bottom w:val="single" w:sz="8" w:color="auto"/>
            </w:tcBorders>
          </w:tcPr>
          <w:p>
            <w:pPr>
              <w:jc w:val="center"/>
              <w:ind w:right="210"/>
              <w:spacing w:after="0"/>
              <w:rPr>
                <w:sz w:val="20"/>
                <w:szCs w:val="20"/>
                <w:color w:val="auto"/>
              </w:rPr>
            </w:pPr>
            <w:r>
              <w:rPr>
                <w:rFonts w:ascii="Arial" w:cs="Arial" w:eastAsia="Arial" w:hAnsi="Arial"/>
                <w:sz w:val="18"/>
                <w:szCs w:val="18"/>
                <w:color w:val="auto"/>
                <w:w w:val="99"/>
              </w:rPr>
              <w:t>2024</w:t>
            </w:r>
          </w:p>
        </w:tc>
        <w:tc>
          <w:tcPr>
            <w:tcW w:w="100" w:type="dxa"/>
            <w:vAlign w:val="bottom"/>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800" w:type="dxa"/>
            <w:vAlign w:val="bottom"/>
            <w:tcBorders>
              <w:bottom w:val="single" w:sz="8" w:color="auto"/>
            </w:tcBorders>
          </w:tcPr>
          <w:p>
            <w:pPr>
              <w:jc w:val="center"/>
              <w:ind w:right="230"/>
              <w:spacing w:after="0"/>
              <w:rPr>
                <w:sz w:val="20"/>
                <w:szCs w:val="20"/>
                <w:color w:val="auto"/>
              </w:rPr>
            </w:pPr>
            <w:r>
              <w:rPr>
                <w:rFonts w:ascii="Arial" w:cs="Arial" w:eastAsia="Arial" w:hAnsi="Arial"/>
                <w:sz w:val="18"/>
                <w:szCs w:val="18"/>
                <w:color w:val="auto"/>
                <w:w w:val="99"/>
              </w:rPr>
              <w:t>2023</w:t>
            </w:r>
          </w:p>
        </w:tc>
        <w:tc>
          <w:tcPr>
            <w:tcW w:w="0" w:type="dxa"/>
            <w:vAlign w:val="bottom"/>
          </w:tcPr>
          <w:p>
            <w:pPr>
              <w:spacing w:after="0"/>
              <w:rPr>
                <w:sz w:val="1"/>
                <w:szCs w:val="1"/>
                <w:color w:val="auto"/>
              </w:rPr>
            </w:pPr>
          </w:p>
        </w:tc>
      </w:tr>
      <w:tr>
        <w:trPr>
          <w:trHeight w:val="239"/>
        </w:trPr>
        <w:tc>
          <w:tcPr>
            <w:tcW w:w="6600" w:type="dxa"/>
            <w:vAlign w:val="bottom"/>
            <w:vMerge w:val="restart"/>
          </w:tcPr>
          <w:p>
            <w:pPr>
              <w:spacing w:after="0"/>
              <w:rPr>
                <w:sz w:val="20"/>
                <w:szCs w:val="20"/>
                <w:color w:val="auto"/>
              </w:rPr>
            </w:pPr>
            <w:r>
              <w:rPr>
                <w:rFonts w:ascii="Arial" w:cs="Arial" w:eastAsia="Arial" w:hAnsi="Arial"/>
                <w:sz w:val="18"/>
                <w:szCs w:val="18"/>
                <w:color w:val="auto"/>
              </w:rPr>
              <w:t>Assets</w:t>
            </w:r>
          </w:p>
        </w:tc>
        <w:tc>
          <w:tcPr>
            <w:tcW w:w="300" w:type="dxa"/>
            <w:vAlign w:val="bottom"/>
          </w:tcPr>
          <w:p>
            <w:pPr>
              <w:spacing w:after="0"/>
              <w:rPr>
                <w:sz w:val="20"/>
                <w:szCs w:val="20"/>
                <w:color w:val="auto"/>
              </w:rPr>
            </w:pPr>
          </w:p>
        </w:tc>
        <w:tc>
          <w:tcPr>
            <w:tcW w:w="1820" w:type="dxa"/>
            <w:vAlign w:val="bottom"/>
          </w:tcPr>
          <w:p>
            <w:pPr>
              <w:jc w:val="center"/>
              <w:ind w:right="230"/>
              <w:spacing w:after="0"/>
              <w:rPr>
                <w:sz w:val="20"/>
                <w:szCs w:val="20"/>
                <w:color w:val="auto"/>
              </w:rPr>
            </w:pPr>
            <w:r>
              <w:rPr>
                <w:rFonts w:ascii="Arial" w:cs="Arial" w:eastAsia="Arial" w:hAnsi="Arial"/>
                <w:sz w:val="18"/>
                <w:szCs w:val="18"/>
                <w:color w:val="auto"/>
                <w:w w:val="99"/>
              </w:rPr>
              <w:t>(Unaudited)</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800" w:type="dxa"/>
            <w:vAlign w:val="bottom"/>
          </w:tcPr>
          <w:p>
            <w:pPr>
              <w:jc w:val="center"/>
              <w:ind w:right="210"/>
              <w:spacing w:after="0"/>
              <w:rPr>
                <w:sz w:val="20"/>
                <w:szCs w:val="20"/>
                <w:color w:val="auto"/>
              </w:rPr>
            </w:pPr>
            <w:r>
              <w:rPr>
                <w:rFonts w:ascii="Arial" w:cs="Arial" w:eastAsia="Arial" w:hAnsi="Arial"/>
                <w:sz w:val="18"/>
                <w:szCs w:val="18"/>
                <w:color w:val="auto"/>
                <w:w w:val="99"/>
              </w:rPr>
              <w:t>(See Note 1)</w:t>
            </w:r>
          </w:p>
        </w:tc>
        <w:tc>
          <w:tcPr>
            <w:tcW w:w="0" w:type="dxa"/>
            <w:vAlign w:val="bottom"/>
          </w:tcPr>
          <w:p>
            <w:pPr>
              <w:spacing w:after="0"/>
              <w:rPr>
                <w:sz w:val="1"/>
                <w:szCs w:val="1"/>
                <w:color w:val="auto"/>
              </w:rPr>
            </w:pPr>
          </w:p>
        </w:tc>
      </w:tr>
      <w:tr>
        <w:trPr>
          <w:trHeight w:val="215"/>
        </w:trPr>
        <w:tc>
          <w:tcPr>
            <w:tcW w:w="6600" w:type="dxa"/>
            <w:vAlign w:val="bottom"/>
            <w:vMerge w:val="continue"/>
          </w:tcPr>
          <w:p>
            <w:pPr>
              <w:spacing w:after="0"/>
              <w:rPr>
                <w:sz w:val="18"/>
                <w:szCs w:val="18"/>
                <w:color w:val="auto"/>
              </w:rPr>
            </w:pPr>
          </w:p>
        </w:tc>
        <w:tc>
          <w:tcPr>
            <w:tcW w:w="30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6600" w:type="dxa"/>
            <w:vAlign w:val="bottom"/>
          </w:tcPr>
          <w:p>
            <w:pPr>
              <w:spacing w:after="0"/>
              <w:rPr>
                <w:sz w:val="20"/>
                <w:szCs w:val="20"/>
                <w:color w:val="auto"/>
              </w:rPr>
            </w:pPr>
            <w:r>
              <w:rPr>
                <w:rFonts w:ascii="Arial" w:cs="Arial" w:eastAsia="Arial" w:hAnsi="Arial"/>
                <w:sz w:val="18"/>
                <w:szCs w:val="18"/>
                <w:color w:val="auto"/>
              </w:rPr>
              <w:t>Current assets:</w:t>
            </w:r>
          </w:p>
        </w:tc>
        <w:tc>
          <w:tcPr>
            <w:tcW w:w="300" w:type="dxa"/>
            <w:vAlign w:val="bottom"/>
          </w:tcPr>
          <w:p>
            <w:pPr>
              <w:spacing w:after="0"/>
              <w:rPr>
                <w:sz w:val="19"/>
                <w:szCs w:val="19"/>
                <w:color w:val="auto"/>
              </w:rPr>
            </w:pPr>
          </w:p>
        </w:tc>
        <w:tc>
          <w:tcPr>
            <w:tcW w:w="1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8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600" w:type="dxa"/>
            <w:vAlign w:val="bottom"/>
          </w:tcPr>
          <w:p>
            <w:pPr>
              <w:ind w:left="220"/>
              <w:spacing w:after="0"/>
              <w:rPr>
                <w:sz w:val="20"/>
                <w:szCs w:val="20"/>
                <w:color w:val="auto"/>
              </w:rPr>
            </w:pPr>
            <w:r>
              <w:rPr>
                <w:rFonts w:ascii="Arial" w:cs="Arial" w:eastAsia="Arial" w:hAnsi="Arial"/>
                <w:sz w:val="18"/>
                <w:szCs w:val="18"/>
                <w:color w:val="auto"/>
              </w:rPr>
              <w:t>Cash and cash equivalents</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820" w:type="dxa"/>
            <w:vAlign w:val="bottom"/>
          </w:tcPr>
          <w:p>
            <w:pPr>
              <w:jc w:val="right"/>
              <w:spacing w:after="0"/>
              <w:rPr>
                <w:sz w:val="20"/>
                <w:szCs w:val="20"/>
                <w:color w:val="auto"/>
              </w:rPr>
            </w:pPr>
            <w:r>
              <w:rPr>
                <w:rFonts w:ascii="Arial" w:cs="Arial" w:eastAsia="Arial" w:hAnsi="Arial"/>
                <w:sz w:val="18"/>
                <w:szCs w:val="18"/>
                <w:color w:val="auto"/>
              </w:rPr>
              <w:t>239,087</w:t>
            </w:r>
          </w:p>
        </w:tc>
        <w:tc>
          <w:tcPr>
            <w:tcW w:w="100" w:type="dxa"/>
            <w:vAlign w:val="bottom"/>
          </w:tcPr>
          <w:p>
            <w:pPr>
              <w:spacing w:after="0"/>
              <w:rPr>
                <w:sz w:val="19"/>
                <w:szCs w:val="19"/>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800" w:type="dxa"/>
            <w:vAlign w:val="bottom"/>
          </w:tcPr>
          <w:p>
            <w:pPr>
              <w:jc w:val="right"/>
              <w:spacing w:after="0"/>
              <w:rPr>
                <w:sz w:val="20"/>
                <w:szCs w:val="20"/>
                <w:color w:val="auto"/>
              </w:rPr>
            </w:pPr>
            <w:r>
              <w:rPr>
                <w:rFonts w:ascii="Arial" w:cs="Arial" w:eastAsia="Arial" w:hAnsi="Arial"/>
                <w:sz w:val="18"/>
                <w:szCs w:val="18"/>
                <w:color w:val="auto"/>
              </w:rPr>
              <w:t>216,454</w:t>
            </w:r>
          </w:p>
        </w:tc>
        <w:tc>
          <w:tcPr>
            <w:tcW w:w="0" w:type="dxa"/>
            <w:vAlign w:val="bottom"/>
          </w:tcPr>
          <w:p>
            <w:pPr>
              <w:spacing w:after="0"/>
              <w:rPr>
                <w:sz w:val="1"/>
                <w:szCs w:val="1"/>
                <w:color w:val="auto"/>
              </w:rPr>
            </w:pPr>
          </w:p>
        </w:tc>
      </w:tr>
      <w:tr>
        <w:trPr>
          <w:trHeight w:val="229"/>
        </w:trPr>
        <w:tc>
          <w:tcPr>
            <w:tcW w:w="6600" w:type="dxa"/>
            <w:vAlign w:val="bottom"/>
          </w:tcPr>
          <w:p>
            <w:pPr>
              <w:ind w:left="220"/>
              <w:spacing w:after="0"/>
              <w:rPr>
                <w:sz w:val="20"/>
                <w:szCs w:val="20"/>
                <w:color w:val="auto"/>
              </w:rPr>
            </w:pPr>
            <w:r>
              <w:rPr>
                <w:rFonts w:ascii="Arial" w:cs="Arial" w:eastAsia="Arial" w:hAnsi="Arial"/>
                <w:sz w:val="18"/>
                <w:szCs w:val="18"/>
                <w:color w:val="auto"/>
              </w:rPr>
              <w:t>Short-term investments</w:t>
            </w:r>
          </w:p>
        </w:tc>
        <w:tc>
          <w:tcPr>
            <w:tcW w:w="300" w:type="dxa"/>
            <w:vAlign w:val="bottom"/>
          </w:tcPr>
          <w:p>
            <w:pPr>
              <w:spacing w:after="0"/>
              <w:rPr>
                <w:sz w:val="19"/>
                <w:szCs w:val="19"/>
                <w:color w:val="auto"/>
              </w:rPr>
            </w:pPr>
          </w:p>
        </w:tc>
        <w:tc>
          <w:tcPr>
            <w:tcW w:w="1820" w:type="dxa"/>
            <w:vAlign w:val="bottom"/>
          </w:tcPr>
          <w:p>
            <w:pPr>
              <w:jc w:val="right"/>
              <w:spacing w:after="0"/>
              <w:rPr>
                <w:sz w:val="20"/>
                <w:szCs w:val="20"/>
                <w:color w:val="auto"/>
              </w:rPr>
            </w:pPr>
            <w:r>
              <w:rPr>
                <w:rFonts w:ascii="Arial" w:cs="Arial" w:eastAsia="Arial" w:hAnsi="Arial"/>
                <w:sz w:val="18"/>
                <w:szCs w:val="18"/>
                <w:color w:val="auto"/>
              </w:rPr>
              <w:t>50,354</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80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6600" w:type="dxa"/>
            <w:vAlign w:val="bottom"/>
          </w:tcPr>
          <w:p>
            <w:pPr>
              <w:ind w:left="220"/>
              <w:spacing w:after="0"/>
              <w:rPr>
                <w:sz w:val="20"/>
                <w:szCs w:val="20"/>
                <w:color w:val="auto"/>
              </w:rPr>
            </w:pPr>
            <w:r>
              <w:rPr>
                <w:rFonts w:ascii="Arial" w:cs="Arial" w:eastAsia="Arial" w:hAnsi="Arial"/>
                <w:sz w:val="18"/>
                <w:szCs w:val="18"/>
                <w:color w:val="auto"/>
              </w:rPr>
              <w:t>Accounts receivable</w:t>
            </w:r>
          </w:p>
        </w:tc>
        <w:tc>
          <w:tcPr>
            <w:tcW w:w="300" w:type="dxa"/>
            <w:vAlign w:val="bottom"/>
          </w:tcPr>
          <w:p>
            <w:pPr>
              <w:spacing w:after="0"/>
              <w:rPr>
                <w:sz w:val="19"/>
                <w:szCs w:val="19"/>
                <w:color w:val="auto"/>
              </w:rPr>
            </w:pPr>
          </w:p>
        </w:tc>
        <w:tc>
          <w:tcPr>
            <w:tcW w:w="1820" w:type="dxa"/>
            <w:vAlign w:val="bottom"/>
          </w:tcPr>
          <w:p>
            <w:pPr>
              <w:jc w:val="right"/>
              <w:spacing w:after="0"/>
              <w:rPr>
                <w:sz w:val="20"/>
                <w:szCs w:val="20"/>
                <w:color w:val="auto"/>
              </w:rPr>
            </w:pPr>
            <w:r>
              <w:rPr>
                <w:rFonts w:ascii="Arial" w:cs="Arial" w:eastAsia="Arial" w:hAnsi="Arial"/>
                <w:sz w:val="18"/>
                <w:szCs w:val="18"/>
                <w:color w:val="auto"/>
              </w:rPr>
              <w:t>46,525</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800" w:type="dxa"/>
            <w:vAlign w:val="bottom"/>
          </w:tcPr>
          <w:p>
            <w:pPr>
              <w:jc w:val="right"/>
              <w:spacing w:after="0"/>
              <w:rPr>
                <w:sz w:val="20"/>
                <w:szCs w:val="20"/>
                <w:color w:val="auto"/>
              </w:rPr>
            </w:pPr>
            <w:r>
              <w:rPr>
                <w:rFonts w:ascii="Arial" w:cs="Arial" w:eastAsia="Arial" w:hAnsi="Arial"/>
                <w:sz w:val="18"/>
                <w:szCs w:val="18"/>
                <w:color w:val="auto"/>
              </w:rPr>
              <w:t>40,378</w:t>
            </w:r>
          </w:p>
        </w:tc>
        <w:tc>
          <w:tcPr>
            <w:tcW w:w="0" w:type="dxa"/>
            <w:vAlign w:val="bottom"/>
          </w:tcPr>
          <w:p>
            <w:pPr>
              <w:spacing w:after="0"/>
              <w:rPr>
                <w:sz w:val="1"/>
                <w:szCs w:val="1"/>
                <w:color w:val="auto"/>
              </w:rPr>
            </w:pPr>
          </w:p>
        </w:tc>
      </w:tr>
      <w:tr>
        <w:trPr>
          <w:trHeight w:val="229"/>
        </w:trPr>
        <w:tc>
          <w:tcPr>
            <w:tcW w:w="6600" w:type="dxa"/>
            <w:vAlign w:val="bottom"/>
          </w:tcPr>
          <w:p>
            <w:pPr>
              <w:ind w:left="220"/>
              <w:spacing w:after="0"/>
              <w:rPr>
                <w:sz w:val="20"/>
                <w:szCs w:val="20"/>
                <w:color w:val="auto"/>
              </w:rPr>
            </w:pPr>
            <w:r>
              <w:rPr>
                <w:rFonts w:ascii="Arial" w:cs="Arial" w:eastAsia="Arial" w:hAnsi="Arial"/>
                <w:sz w:val="18"/>
                <w:szCs w:val="18"/>
                <w:color w:val="auto"/>
              </w:rPr>
              <w:t>Supplies and inventory</w:t>
            </w:r>
          </w:p>
        </w:tc>
        <w:tc>
          <w:tcPr>
            <w:tcW w:w="300" w:type="dxa"/>
            <w:vAlign w:val="bottom"/>
          </w:tcPr>
          <w:p>
            <w:pPr>
              <w:spacing w:after="0"/>
              <w:rPr>
                <w:sz w:val="19"/>
                <w:szCs w:val="19"/>
                <w:color w:val="auto"/>
              </w:rPr>
            </w:pPr>
          </w:p>
        </w:tc>
        <w:tc>
          <w:tcPr>
            <w:tcW w:w="1820" w:type="dxa"/>
            <w:vAlign w:val="bottom"/>
          </w:tcPr>
          <w:p>
            <w:pPr>
              <w:jc w:val="right"/>
              <w:spacing w:after="0"/>
              <w:rPr>
                <w:sz w:val="20"/>
                <w:szCs w:val="20"/>
                <w:color w:val="auto"/>
              </w:rPr>
            </w:pPr>
            <w:r>
              <w:rPr>
                <w:rFonts w:ascii="Arial" w:cs="Arial" w:eastAsia="Arial" w:hAnsi="Arial"/>
                <w:sz w:val="18"/>
                <w:szCs w:val="18"/>
                <w:color w:val="auto"/>
              </w:rPr>
              <w:t>21,750</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800" w:type="dxa"/>
            <w:vAlign w:val="bottom"/>
          </w:tcPr>
          <w:p>
            <w:pPr>
              <w:jc w:val="right"/>
              <w:spacing w:after="0"/>
              <w:rPr>
                <w:sz w:val="20"/>
                <w:szCs w:val="20"/>
                <w:color w:val="auto"/>
              </w:rPr>
            </w:pPr>
            <w:r>
              <w:rPr>
                <w:rFonts w:ascii="Arial" w:cs="Arial" w:eastAsia="Arial" w:hAnsi="Arial"/>
                <w:sz w:val="18"/>
                <w:szCs w:val="18"/>
                <w:color w:val="auto"/>
              </w:rPr>
              <w:t>16,128</w:t>
            </w:r>
          </w:p>
        </w:tc>
        <w:tc>
          <w:tcPr>
            <w:tcW w:w="0" w:type="dxa"/>
            <w:vAlign w:val="bottom"/>
          </w:tcPr>
          <w:p>
            <w:pPr>
              <w:spacing w:after="0"/>
              <w:rPr>
                <w:sz w:val="1"/>
                <w:szCs w:val="1"/>
                <w:color w:val="auto"/>
              </w:rPr>
            </w:pPr>
          </w:p>
        </w:tc>
      </w:tr>
      <w:tr>
        <w:trPr>
          <w:trHeight w:val="235"/>
        </w:trPr>
        <w:tc>
          <w:tcPr>
            <w:tcW w:w="6600" w:type="dxa"/>
            <w:vAlign w:val="bottom"/>
          </w:tcPr>
          <w:p>
            <w:pPr>
              <w:ind w:left="220"/>
              <w:spacing w:after="0"/>
              <w:rPr>
                <w:sz w:val="20"/>
                <w:szCs w:val="20"/>
                <w:color w:val="auto"/>
              </w:rPr>
            </w:pPr>
            <w:r>
              <w:rPr>
                <w:rFonts w:ascii="Arial" w:cs="Arial" w:eastAsia="Arial" w:hAnsi="Arial"/>
                <w:sz w:val="18"/>
                <w:szCs w:val="18"/>
                <w:color w:val="auto"/>
              </w:rPr>
              <w:t>Prepaid expenses and other current assets</w:t>
            </w:r>
          </w:p>
        </w:tc>
        <w:tc>
          <w:tcPr>
            <w:tcW w:w="300" w:type="dxa"/>
            <w:vAlign w:val="bottom"/>
            <w:tcBorders>
              <w:bottom w:val="single" w:sz="8" w:color="auto"/>
            </w:tcBorders>
          </w:tcPr>
          <w:p>
            <w:pPr>
              <w:spacing w:after="0"/>
              <w:rPr>
                <w:sz w:val="20"/>
                <w:szCs w:val="20"/>
                <w:color w:val="auto"/>
              </w:rPr>
            </w:pPr>
          </w:p>
        </w:tc>
        <w:tc>
          <w:tcPr>
            <w:tcW w:w="1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14,551</w:t>
            </w:r>
          </w:p>
        </w:tc>
        <w:tc>
          <w:tcPr>
            <w:tcW w:w="10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12,661</w:t>
            </w:r>
          </w:p>
        </w:tc>
        <w:tc>
          <w:tcPr>
            <w:tcW w:w="0" w:type="dxa"/>
            <w:vAlign w:val="bottom"/>
          </w:tcPr>
          <w:p>
            <w:pPr>
              <w:spacing w:after="0"/>
              <w:rPr>
                <w:sz w:val="1"/>
                <w:szCs w:val="1"/>
                <w:color w:val="auto"/>
              </w:rPr>
            </w:pPr>
          </w:p>
        </w:tc>
      </w:tr>
      <w:tr>
        <w:trPr>
          <w:trHeight w:val="218"/>
        </w:trPr>
        <w:tc>
          <w:tcPr>
            <w:tcW w:w="6600" w:type="dxa"/>
            <w:vAlign w:val="bottom"/>
          </w:tcPr>
          <w:p>
            <w:pPr>
              <w:ind w:left="320"/>
              <w:spacing w:after="0"/>
              <w:rPr>
                <w:sz w:val="20"/>
                <w:szCs w:val="20"/>
                <w:color w:val="auto"/>
              </w:rPr>
            </w:pPr>
            <w:r>
              <w:rPr>
                <w:rFonts w:ascii="Arial" w:cs="Arial" w:eastAsia="Arial" w:hAnsi="Arial"/>
                <w:sz w:val="18"/>
                <w:szCs w:val="18"/>
                <w:color w:val="auto"/>
              </w:rPr>
              <w:t>Total current assets</w:t>
            </w:r>
          </w:p>
        </w:tc>
        <w:tc>
          <w:tcPr>
            <w:tcW w:w="300" w:type="dxa"/>
            <w:vAlign w:val="bottom"/>
          </w:tcPr>
          <w:p>
            <w:pPr>
              <w:spacing w:after="0"/>
              <w:rPr>
                <w:sz w:val="18"/>
                <w:szCs w:val="18"/>
                <w:color w:val="auto"/>
              </w:rPr>
            </w:pPr>
          </w:p>
        </w:tc>
        <w:tc>
          <w:tcPr>
            <w:tcW w:w="1820" w:type="dxa"/>
            <w:vAlign w:val="bottom"/>
          </w:tcPr>
          <w:p>
            <w:pPr>
              <w:jc w:val="right"/>
              <w:spacing w:after="0"/>
              <w:rPr>
                <w:sz w:val="20"/>
                <w:szCs w:val="20"/>
                <w:color w:val="auto"/>
              </w:rPr>
            </w:pPr>
            <w:r>
              <w:rPr>
                <w:rFonts w:ascii="Arial" w:cs="Arial" w:eastAsia="Arial" w:hAnsi="Arial"/>
                <w:sz w:val="18"/>
                <w:szCs w:val="18"/>
                <w:color w:val="auto"/>
              </w:rPr>
              <w:t>372,267</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800" w:type="dxa"/>
            <w:vAlign w:val="bottom"/>
          </w:tcPr>
          <w:p>
            <w:pPr>
              <w:jc w:val="right"/>
              <w:spacing w:after="0"/>
              <w:rPr>
                <w:sz w:val="20"/>
                <w:szCs w:val="20"/>
                <w:color w:val="auto"/>
              </w:rPr>
            </w:pPr>
            <w:r>
              <w:rPr>
                <w:rFonts w:ascii="Arial" w:cs="Arial" w:eastAsia="Arial" w:hAnsi="Arial"/>
                <w:sz w:val="18"/>
                <w:szCs w:val="18"/>
                <w:color w:val="auto"/>
              </w:rPr>
              <w:t>285,621</w:t>
            </w:r>
          </w:p>
        </w:tc>
        <w:tc>
          <w:tcPr>
            <w:tcW w:w="0" w:type="dxa"/>
            <w:vAlign w:val="bottom"/>
          </w:tcPr>
          <w:p>
            <w:pPr>
              <w:spacing w:after="0"/>
              <w:rPr>
                <w:sz w:val="1"/>
                <w:szCs w:val="1"/>
                <w:color w:val="auto"/>
              </w:rPr>
            </w:pPr>
          </w:p>
        </w:tc>
      </w:tr>
      <w:tr>
        <w:trPr>
          <w:trHeight w:val="229"/>
        </w:trPr>
        <w:tc>
          <w:tcPr>
            <w:tcW w:w="6600" w:type="dxa"/>
            <w:vAlign w:val="bottom"/>
          </w:tcPr>
          <w:p>
            <w:pPr>
              <w:spacing w:after="0"/>
              <w:rPr>
                <w:sz w:val="20"/>
                <w:szCs w:val="20"/>
                <w:color w:val="auto"/>
              </w:rPr>
            </w:pPr>
            <w:r>
              <w:rPr>
                <w:rFonts w:ascii="Arial" w:cs="Arial" w:eastAsia="Arial" w:hAnsi="Arial"/>
                <w:sz w:val="18"/>
                <w:szCs w:val="18"/>
                <w:color w:val="auto"/>
              </w:rPr>
              <w:t>Property, plant and equipment, net</w:t>
            </w:r>
          </w:p>
        </w:tc>
        <w:tc>
          <w:tcPr>
            <w:tcW w:w="300" w:type="dxa"/>
            <w:vAlign w:val="bottom"/>
          </w:tcPr>
          <w:p>
            <w:pPr>
              <w:spacing w:after="0"/>
              <w:rPr>
                <w:sz w:val="19"/>
                <w:szCs w:val="19"/>
                <w:color w:val="auto"/>
              </w:rPr>
            </w:pPr>
          </w:p>
        </w:tc>
        <w:tc>
          <w:tcPr>
            <w:tcW w:w="1820" w:type="dxa"/>
            <w:vAlign w:val="bottom"/>
          </w:tcPr>
          <w:p>
            <w:pPr>
              <w:jc w:val="right"/>
              <w:spacing w:after="0"/>
              <w:rPr>
                <w:sz w:val="20"/>
                <w:szCs w:val="20"/>
                <w:color w:val="auto"/>
              </w:rPr>
            </w:pPr>
            <w:r>
              <w:rPr>
                <w:rFonts w:ascii="Arial" w:cs="Arial" w:eastAsia="Arial" w:hAnsi="Arial"/>
                <w:sz w:val="18"/>
                <w:szCs w:val="18"/>
                <w:color w:val="auto"/>
              </w:rPr>
              <w:t>22,953</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800" w:type="dxa"/>
            <w:vAlign w:val="bottom"/>
          </w:tcPr>
          <w:p>
            <w:pPr>
              <w:jc w:val="right"/>
              <w:spacing w:after="0"/>
              <w:rPr>
                <w:sz w:val="20"/>
                <w:szCs w:val="20"/>
                <w:color w:val="auto"/>
              </w:rPr>
            </w:pPr>
            <w:r>
              <w:rPr>
                <w:rFonts w:ascii="Arial" w:cs="Arial" w:eastAsia="Arial" w:hAnsi="Arial"/>
                <w:sz w:val="18"/>
                <w:szCs w:val="18"/>
                <w:color w:val="auto"/>
              </w:rPr>
              <w:t>20,584</w:t>
            </w:r>
          </w:p>
        </w:tc>
        <w:tc>
          <w:tcPr>
            <w:tcW w:w="0" w:type="dxa"/>
            <w:vAlign w:val="bottom"/>
          </w:tcPr>
          <w:p>
            <w:pPr>
              <w:spacing w:after="0"/>
              <w:rPr>
                <w:sz w:val="1"/>
                <w:szCs w:val="1"/>
                <w:color w:val="auto"/>
              </w:rPr>
            </w:pPr>
          </w:p>
        </w:tc>
      </w:tr>
      <w:tr>
        <w:trPr>
          <w:trHeight w:val="230"/>
        </w:trPr>
        <w:tc>
          <w:tcPr>
            <w:tcW w:w="6600" w:type="dxa"/>
            <w:vAlign w:val="bottom"/>
          </w:tcPr>
          <w:p>
            <w:pPr>
              <w:spacing w:after="0"/>
              <w:rPr>
                <w:sz w:val="20"/>
                <w:szCs w:val="20"/>
                <w:color w:val="auto"/>
              </w:rPr>
            </w:pPr>
            <w:r>
              <w:rPr>
                <w:rFonts w:ascii="Arial" w:cs="Arial" w:eastAsia="Arial" w:hAnsi="Arial"/>
                <w:sz w:val="18"/>
                <w:szCs w:val="18"/>
                <w:color w:val="auto"/>
              </w:rPr>
              <w:t>Right-of-use assets, operating leases</w:t>
            </w:r>
          </w:p>
        </w:tc>
        <w:tc>
          <w:tcPr>
            <w:tcW w:w="300" w:type="dxa"/>
            <w:vAlign w:val="bottom"/>
          </w:tcPr>
          <w:p>
            <w:pPr>
              <w:spacing w:after="0"/>
              <w:rPr>
                <w:sz w:val="19"/>
                <w:szCs w:val="19"/>
                <w:color w:val="auto"/>
              </w:rPr>
            </w:pPr>
          </w:p>
        </w:tc>
        <w:tc>
          <w:tcPr>
            <w:tcW w:w="1820" w:type="dxa"/>
            <w:vAlign w:val="bottom"/>
          </w:tcPr>
          <w:p>
            <w:pPr>
              <w:jc w:val="right"/>
              <w:spacing w:after="0"/>
              <w:rPr>
                <w:sz w:val="20"/>
                <w:szCs w:val="20"/>
                <w:color w:val="auto"/>
              </w:rPr>
            </w:pPr>
            <w:r>
              <w:rPr>
                <w:rFonts w:ascii="Arial" w:cs="Arial" w:eastAsia="Arial" w:hAnsi="Arial"/>
                <w:sz w:val="18"/>
                <w:szCs w:val="18"/>
                <w:color w:val="auto"/>
              </w:rPr>
              <w:t>48,189</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800" w:type="dxa"/>
            <w:vAlign w:val="bottom"/>
          </w:tcPr>
          <w:p>
            <w:pPr>
              <w:jc w:val="right"/>
              <w:spacing w:after="0"/>
              <w:rPr>
                <w:sz w:val="20"/>
                <w:szCs w:val="20"/>
                <w:color w:val="auto"/>
              </w:rPr>
            </w:pPr>
            <w:r>
              <w:rPr>
                <w:rFonts w:ascii="Arial" w:cs="Arial" w:eastAsia="Arial" w:hAnsi="Arial"/>
                <w:sz w:val="18"/>
                <w:szCs w:val="18"/>
                <w:color w:val="auto"/>
              </w:rPr>
              <w:t>10,277</w:t>
            </w:r>
          </w:p>
        </w:tc>
        <w:tc>
          <w:tcPr>
            <w:tcW w:w="0" w:type="dxa"/>
            <w:vAlign w:val="bottom"/>
          </w:tcPr>
          <w:p>
            <w:pPr>
              <w:spacing w:after="0"/>
              <w:rPr>
                <w:sz w:val="1"/>
                <w:szCs w:val="1"/>
                <w:color w:val="auto"/>
              </w:rPr>
            </w:pPr>
          </w:p>
        </w:tc>
      </w:tr>
      <w:tr>
        <w:trPr>
          <w:trHeight w:val="229"/>
        </w:trPr>
        <w:tc>
          <w:tcPr>
            <w:tcW w:w="6600" w:type="dxa"/>
            <w:vAlign w:val="bottom"/>
          </w:tcPr>
          <w:p>
            <w:pPr>
              <w:spacing w:after="0"/>
              <w:rPr>
                <w:sz w:val="20"/>
                <w:szCs w:val="20"/>
                <w:color w:val="auto"/>
              </w:rPr>
            </w:pPr>
            <w:r>
              <w:rPr>
                <w:rFonts w:ascii="Arial" w:cs="Arial" w:eastAsia="Arial" w:hAnsi="Arial"/>
                <w:sz w:val="18"/>
                <w:szCs w:val="18"/>
                <w:color w:val="auto"/>
              </w:rPr>
              <w:t>Intangible assets, net</w:t>
            </w:r>
          </w:p>
        </w:tc>
        <w:tc>
          <w:tcPr>
            <w:tcW w:w="300" w:type="dxa"/>
            <w:vAlign w:val="bottom"/>
          </w:tcPr>
          <w:p>
            <w:pPr>
              <w:spacing w:after="0"/>
              <w:rPr>
                <w:sz w:val="19"/>
                <w:szCs w:val="19"/>
                <w:color w:val="auto"/>
              </w:rPr>
            </w:pPr>
          </w:p>
        </w:tc>
        <w:tc>
          <w:tcPr>
            <w:tcW w:w="1820" w:type="dxa"/>
            <w:vAlign w:val="bottom"/>
          </w:tcPr>
          <w:p>
            <w:pPr>
              <w:jc w:val="right"/>
              <w:spacing w:after="0"/>
              <w:rPr>
                <w:sz w:val="20"/>
                <w:szCs w:val="20"/>
                <w:color w:val="auto"/>
              </w:rPr>
            </w:pPr>
            <w:r>
              <w:rPr>
                <w:rFonts w:ascii="Arial" w:cs="Arial" w:eastAsia="Arial" w:hAnsi="Arial"/>
                <w:sz w:val="18"/>
                <w:szCs w:val="18"/>
                <w:color w:val="auto"/>
              </w:rPr>
              <w:t>102,301</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800" w:type="dxa"/>
            <w:vAlign w:val="bottom"/>
          </w:tcPr>
          <w:p>
            <w:pPr>
              <w:jc w:val="right"/>
              <w:spacing w:after="0"/>
              <w:rPr>
                <w:sz w:val="20"/>
                <w:szCs w:val="20"/>
                <w:color w:val="auto"/>
              </w:rPr>
            </w:pPr>
            <w:r>
              <w:rPr>
                <w:rFonts w:ascii="Arial" w:cs="Arial" w:eastAsia="Arial" w:hAnsi="Arial"/>
                <w:sz w:val="18"/>
                <w:szCs w:val="18"/>
                <w:color w:val="auto"/>
              </w:rPr>
              <w:t>88,593</w:t>
            </w:r>
          </w:p>
        </w:tc>
        <w:tc>
          <w:tcPr>
            <w:tcW w:w="0" w:type="dxa"/>
            <w:vAlign w:val="bottom"/>
          </w:tcPr>
          <w:p>
            <w:pPr>
              <w:spacing w:after="0"/>
              <w:rPr>
                <w:sz w:val="1"/>
                <w:szCs w:val="1"/>
                <w:color w:val="auto"/>
              </w:rPr>
            </w:pPr>
          </w:p>
        </w:tc>
      </w:tr>
      <w:tr>
        <w:trPr>
          <w:trHeight w:val="229"/>
        </w:trPr>
        <w:tc>
          <w:tcPr>
            <w:tcW w:w="6600" w:type="dxa"/>
            <w:vAlign w:val="bottom"/>
          </w:tcPr>
          <w:p>
            <w:pPr>
              <w:spacing w:after="0"/>
              <w:rPr>
                <w:sz w:val="20"/>
                <w:szCs w:val="20"/>
                <w:color w:val="auto"/>
              </w:rPr>
            </w:pPr>
            <w:r>
              <w:rPr>
                <w:rFonts w:ascii="Arial" w:cs="Arial" w:eastAsia="Arial" w:hAnsi="Arial"/>
                <w:sz w:val="18"/>
                <w:szCs w:val="18"/>
                <w:color w:val="auto"/>
              </w:rPr>
              <w:t>Goodwill</w:t>
            </w:r>
          </w:p>
        </w:tc>
        <w:tc>
          <w:tcPr>
            <w:tcW w:w="300" w:type="dxa"/>
            <w:vAlign w:val="bottom"/>
          </w:tcPr>
          <w:p>
            <w:pPr>
              <w:spacing w:after="0"/>
              <w:rPr>
                <w:sz w:val="19"/>
                <w:szCs w:val="19"/>
                <w:color w:val="auto"/>
              </w:rPr>
            </w:pPr>
          </w:p>
        </w:tc>
        <w:tc>
          <w:tcPr>
            <w:tcW w:w="1820" w:type="dxa"/>
            <w:vAlign w:val="bottom"/>
          </w:tcPr>
          <w:p>
            <w:pPr>
              <w:jc w:val="right"/>
              <w:spacing w:after="0"/>
              <w:rPr>
                <w:sz w:val="20"/>
                <w:szCs w:val="20"/>
                <w:color w:val="auto"/>
              </w:rPr>
            </w:pPr>
            <w:r>
              <w:rPr>
                <w:rFonts w:ascii="Arial" w:cs="Arial" w:eastAsia="Arial" w:hAnsi="Arial"/>
                <w:sz w:val="18"/>
                <w:szCs w:val="18"/>
                <w:color w:val="auto"/>
              </w:rPr>
              <w:t>745,800</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800" w:type="dxa"/>
            <w:vAlign w:val="bottom"/>
          </w:tcPr>
          <w:p>
            <w:pPr>
              <w:jc w:val="right"/>
              <w:spacing w:after="0"/>
              <w:rPr>
                <w:sz w:val="20"/>
                <w:szCs w:val="20"/>
                <w:color w:val="auto"/>
              </w:rPr>
            </w:pPr>
            <w:r>
              <w:rPr>
                <w:rFonts w:ascii="Arial" w:cs="Arial" w:eastAsia="Arial" w:hAnsi="Arial"/>
                <w:sz w:val="18"/>
                <w:szCs w:val="18"/>
                <w:color w:val="auto"/>
              </w:rPr>
              <w:t>702,984</w:t>
            </w:r>
          </w:p>
        </w:tc>
        <w:tc>
          <w:tcPr>
            <w:tcW w:w="0" w:type="dxa"/>
            <w:vAlign w:val="bottom"/>
          </w:tcPr>
          <w:p>
            <w:pPr>
              <w:spacing w:after="0"/>
              <w:rPr>
                <w:sz w:val="1"/>
                <w:szCs w:val="1"/>
                <w:color w:val="auto"/>
              </w:rPr>
            </w:pPr>
          </w:p>
        </w:tc>
      </w:tr>
      <w:tr>
        <w:trPr>
          <w:trHeight w:val="230"/>
        </w:trPr>
        <w:tc>
          <w:tcPr>
            <w:tcW w:w="6600" w:type="dxa"/>
            <w:vAlign w:val="bottom"/>
          </w:tcPr>
          <w:p>
            <w:pPr>
              <w:spacing w:after="0"/>
              <w:rPr>
                <w:sz w:val="20"/>
                <w:szCs w:val="20"/>
                <w:color w:val="auto"/>
              </w:rPr>
            </w:pPr>
            <w:r>
              <w:rPr>
                <w:rFonts w:ascii="Arial" w:cs="Arial" w:eastAsia="Arial" w:hAnsi="Arial"/>
                <w:sz w:val="18"/>
                <w:szCs w:val="18"/>
                <w:color w:val="auto"/>
              </w:rPr>
              <w:t>Restricted cash</w:t>
            </w:r>
          </w:p>
        </w:tc>
        <w:tc>
          <w:tcPr>
            <w:tcW w:w="300" w:type="dxa"/>
            <w:vAlign w:val="bottom"/>
          </w:tcPr>
          <w:p>
            <w:pPr>
              <w:spacing w:after="0"/>
              <w:rPr>
                <w:sz w:val="19"/>
                <w:szCs w:val="19"/>
                <w:color w:val="auto"/>
              </w:rPr>
            </w:pPr>
          </w:p>
        </w:tc>
        <w:tc>
          <w:tcPr>
            <w:tcW w:w="1820" w:type="dxa"/>
            <w:vAlign w:val="bottom"/>
          </w:tcPr>
          <w:p>
            <w:pPr>
              <w:jc w:val="right"/>
              <w:spacing w:after="0"/>
              <w:rPr>
                <w:sz w:val="20"/>
                <w:szCs w:val="20"/>
                <w:color w:val="auto"/>
              </w:rPr>
            </w:pPr>
            <w:r>
              <w:rPr>
                <w:rFonts w:ascii="Arial" w:cs="Arial" w:eastAsia="Arial" w:hAnsi="Arial"/>
                <w:sz w:val="18"/>
                <w:szCs w:val="18"/>
                <w:color w:val="auto"/>
              </w:rPr>
              <w:t>1,544</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800" w:type="dxa"/>
            <w:vAlign w:val="bottom"/>
          </w:tcPr>
          <w:p>
            <w:pPr>
              <w:jc w:val="right"/>
              <w:spacing w:after="0"/>
              <w:rPr>
                <w:sz w:val="20"/>
                <w:szCs w:val="20"/>
                <w:color w:val="auto"/>
              </w:rPr>
            </w:pPr>
            <w:r>
              <w:rPr>
                <w:rFonts w:ascii="Arial" w:cs="Arial" w:eastAsia="Arial" w:hAnsi="Arial"/>
                <w:sz w:val="18"/>
                <w:szCs w:val="18"/>
                <w:color w:val="auto"/>
              </w:rPr>
              <w:t>876</w:t>
            </w:r>
          </w:p>
        </w:tc>
        <w:tc>
          <w:tcPr>
            <w:tcW w:w="0" w:type="dxa"/>
            <w:vAlign w:val="bottom"/>
          </w:tcPr>
          <w:p>
            <w:pPr>
              <w:spacing w:after="0"/>
              <w:rPr>
                <w:sz w:val="1"/>
                <w:szCs w:val="1"/>
                <w:color w:val="auto"/>
              </w:rPr>
            </w:pPr>
          </w:p>
        </w:tc>
      </w:tr>
      <w:tr>
        <w:trPr>
          <w:trHeight w:val="235"/>
        </w:trPr>
        <w:tc>
          <w:tcPr>
            <w:tcW w:w="6600" w:type="dxa"/>
            <w:vAlign w:val="bottom"/>
          </w:tcPr>
          <w:p>
            <w:pPr>
              <w:spacing w:after="0"/>
              <w:rPr>
                <w:sz w:val="20"/>
                <w:szCs w:val="20"/>
                <w:color w:val="auto"/>
              </w:rPr>
            </w:pPr>
            <w:r>
              <w:rPr>
                <w:rFonts w:ascii="Arial" w:cs="Arial" w:eastAsia="Arial" w:hAnsi="Arial"/>
                <w:sz w:val="18"/>
                <w:szCs w:val="18"/>
                <w:color w:val="auto"/>
              </w:rPr>
              <w:t>Other assets</w:t>
            </w:r>
          </w:p>
        </w:tc>
        <w:tc>
          <w:tcPr>
            <w:tcW w:w="300" w:type="dxa"/>
            <w:vAlign w:val="bottom"/>
            <w:tcBorders>
              <w:bottom w:val="single" w:sz="8" w:color="auto"/>
            </w:tcBorders>
          </w:tcPr>
          <w:p>
            <w:pPr>
              <w:spacing w:after="0"/>
              <w:rPr>
                <w:sz w:val="20"/>
                <w:szCs w:val="20"/>
                <w:color w:val="auto"/>
              </w:rPr>
            </w:pPr>
          </w:p>
        </w:tc>
        <w:tc>
          <w:tcPr>
            <w:tcW w:w="1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6,981</w:t>
            </w:r>
          </w:p>
        </w:tc>
        <w:tc>
          <w:tcPr>
            <w:tcW w:w="10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5,971</w:t>
            </w:r>
          </w:p>
        </w:tc>
        <w:tc>
          <w:tcPr>
            <w:tcW w:w="0" w:type="dxa"/>
            <w:vAlign w:val="bottom"/>
          </w:tcPr>
          <w:p>
            <w:pPr>
              <w:spacing w:after="0"/>
              <w:rPr>
                <w:sz w:val="1"/>
                <w:szCs w:val="1"/>
                <w:color w:val="auto"/>
              </w:rPr>
            </w:pPr>
          </w:p>
        </w:tc>
      </w:tr>
      <w:tr>
        <w:trPr>
          <w:trHeight w:val="223"/>
        </w:trPr>
        <w:tc>
          <w:tcPr>
            <w:tcW w:w="6600" w:type="dxa"/>
            <w:vAlign w:val="bottom"/>
          </w:tcPr>
          <w:p>
            <w:pPr>
              <w:ind w:left="320"/>
              <w:spacing w:after="0"/>
              <w:rPr>
                <w:sz w:val="20"/>
                <w:szCs w:val="20"/>
                <w:color w:val="auto"/>
              </w:rPr>
            </w:pPr>
            <w:r>
              <w:rPr>
                <w:rFonts w:ascii="Arial" w:cs="Arial" w:eastAsia="Arial" w:hAnsi="Arial"/>
                <w:sz w:val="18"/>
                <w:szCs w:val="18"/>
                <w:color w:val="auto"/>
              </w:rPr>
              <w:t>Total assets</w:t>
            </w: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1,300,035</w:t>
            </w:r>
          </w:p>
        </w:tc>
        <w:tc>
          <w:tcPr>
            <w:tcW w:w="100" w:type="dxa"/>
            <w:vAlign w:val="bottom"/>
          </w:tcPr>
          <w:p>
            <w:pPr>
              <w:spacing w:after="0"/>
              <w:rPr>
                <w:sz w:val="19"/>
                <w:szCs w:val="19"/>
                <w:color w:val="auto"/>
              </w:rPr>
            </w:pP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1,114,906</w:t>
            </w:r>
          </w:p>
        </w:tc>
        <w:tc>
          <w:tcPr>
            <w:tcW w:w="0" w:type="dxa"/>
            <w:vAlign w:val="bottom"/>
          </w:tcPr>
          <w:p>
            <w:pPr>
              <w:spacing w:after="0"/>
              <w:rPr>
                <w:sz w:val="1"/>
                <w:szCs w:val="1"/>
                <w:color w:val="auto"/>
              </w:rPr>
            </w:pPr>
          </w:p>
        </w:tc>
      </w:tr>
      <w:tr>
        <w:trPr>
          <w:trHeight w:val="21"/>
        </w:trPr>
        <w:tc>
          <w:tcPr>
            <w:tcW w:w="6600" w:type="dxa"/>
            <w:vAlign w:val="bottom"/>
            <w:vMerge w:val="restart"/>
          </w:tcPr>
          <w:p>
            <w:pPr>
              <w:spacing w:after="0"/>
              <w:rPr>
                <w:sz w:val="20"/>
                <w:szCs w:val="20"/>
                <w:color w:val="auto"/>
              </w:rPr>
            </w:pPr>
            <w:r>
              <w:rPr>
                <w:rFonts w:ascii="Arial" w:cs="Arial" w:eastAsia="Arial" w:hAnsi="Arial"/>
                <w:sz w:val="18"/>
                <w:szCs w:val="18"/>
                <w:color w:val="auto"/>
              </w:rPr>
              <w:t>Liabilities and Stockholders’ Equity</w:t>
            </w:r>
          </w:p>
        </w:tc>
        <w:tc>
          <w:tcPr>
            <w:tcW w:w="300" w:type="dxa"/>
            <w:vAlign w:val="bottom"/>
            <w:tcBorders>
              <w:bottom w:val="single" w:sz="8" w:color="auto"/>
            </w:tcBorders>
          </w:tcPr>
          <w:p>
            <w:pPr>
              <w:spacing w:after="0" w:line="20" w:lineRule="exact"/>
              <w:rPr>
                <w:sz w:val="1"/>
                <w:szCs w:val="1"/>
                <w:color w:val="auto"/>
              </w:rPr>
            </w:pPr>
          </w:p>
        </w:tc>
        <w:tc>
          <w:tcPr>
            <w:tcW w:w="1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1"/>
        </w:trPr>
        <w:tc>
          <w:tcPr>
            <w:tcW w:w="6600" w:type="dxa"/>
            <w:vAlign w:val="bottom"/>
            <w:vMerge w:val="continue"/>
          </w:tcPr>
          <w:p>
            <w:pPr>
              <w:spacing w:after="0"/>
              <w:rPr>
                <w:sz w:val="16"/>
                <w:szCs w:val="16"/>
                <w:color w:val="auto"/>
              </w:rPr>
            </w:pPr>
          </w:p>
        </w:tc>
        <w:tc>
          <w:tcPr>
            <w:tcW w:w="300" w:type="dxa"/>
            <w:vAlign w:val="bottom"/>
          </w:tcPr>
          <w:p>
            <w:pPr>
              <w:spacing w:after="0"/>
              <w:rPr>
                <w:sz w:val="16"/>
                <w:szCs w:val="16"/>
                <w:color w:val="auto"/>
              </w:rPr>
            </w:pPr>
          </w:p>
        </w:tc>
        <w:tc>
          <w:tcPr>
            <w:tcW w:w="1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8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6600" w:type="dxa"/>
            <w:vAlign w:val="bottom"/>
          </w:tcPr>
          <w:p>
            <w:pPr>
              <w:spacing w:after="0"/>
              <w:rPr>
                <w:sz w:val="20"/>
                <w:szCs w:val="20"/>
                <w:color w:val="auto"/>
              </w:rPr>
            </w:pPr>
            <w:r>
              <w:rPr>
                <w:rFonts w:ascii="Arial" w:cs="Arial" w:eastAsia="Arial" w:hAnsi="Arial"/>
                <w:sz w:val="18"/>
                <w:szCs w:val="18"/>
                <w:color w:val="auto"/>
              </w:rPr>
              <w:t>Current liabilities:</w:t>
            </w:r>
          </w:p>
        </w:tc>
        <w:tc>
          <w:tcPr>
            <w:tcW w:w="300" w:type="dxa"/>
            <w:vAlign w:val="bottom"/>
          </w:tcPr>
          <w:p>
            <w:pPr>
              <w:spacing w:after="0"/>
              <w:rPr>
                <w:sz w:val="19"/>
                <w:szCs w:val="19"/>
                <w:color w:val="auto"/>
              </w:rPr>
            </w:pPr>
          </w:p>
        </w:tc>
        <w:tc>
          <w:tcPr>
            <w:tcW w:w="1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8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600" w:type="dxa"/>
            <w:vAlign w:val="bottom"/>
          </w:tcPr>
          <w:p>
            <w:pPr>
              <w:ind w:left="220"/>
              <w:spacing w:after="0"/>
              <w:rPr>
                <w:sz w:val="20"/>
                <w:szCs w:val="20"/>
                <w:color w:val="auto"/>
              </w:rPr>
            </w:pPr>
            <w:r>
              <w:rPr>
                <w:rFonts w:ascii="Arial" w:cs="Arial" w:eastAsia="Arial" w:hAnsi="Arial"/>
                <w:sz w:val="18"/>
                <w:szCs w:val="18"/>
                <w:color w:val="auto"/>
              </w:rPr>
              <w:t>Accounts payable</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820" w:type="dxa"/>
            <w:vAlign w:val="bottom"/>
          </w:tcPr>
          <w:p>
            <w:pPr>
              <w:jc w:val="right"/>
              <w:spacing w:after="0"/>
              <w:rPr>
                <w:sz w:val="20"/>
                <w:szCs w:val="20"/>
                <w:color w:val="auto"/>
              </w:rPr>
            </w:pPr>
            <w:r>
              <w:rPr>
                <w:rFonts w:ascii="Arial" w:cs="Arial" w:eastAsia="Arial" w:hAnsi="Arial"/>
                <w:sz w:val="18"/>
                <w:szCs w:val="18"/>
                <w:color w:val="auto"/>
              </w:rPr>
              <w:t>8,634</w:t>
            </w:r>
          </w:p>
        </w:tc>
        <w:tc>
          <w:tcPr>
            <w:tcW w:w="100" w:type="dxa"/>
            <w:vAlign w:val="bottom"/>
          </w:tcPr>
          <w:p>
            <w:pPr>
              <w:spacing w:after="0"/>
              <w:rPr>
                <w:sz w:val="19"/>
                <w:szCs w:val="19"/>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800" w:type="dxa"/>
            <w:vAlign w:val="bottom"/>
          </w:tcPr>
          <w:p>
            <w:pPr>
              <w:jc w:val="right"/>
              <w:spacing w:after="0"/>
              <w:rPr>
                <w:sz w:val="20"/>
                <w:szCs w:val="20"/>
                <w:color w:val="auto"/>
              </w:rPr>
            </w:pPr>
            <w:r>
              <w:rPr>
                <w:rFonts w:ascii="Arial" w:cs="Arial" w:eastAsia="Arial" w:hAnsi="Arial"/>
                <w:sz w:val="18"/>
                <w:szCs w:val="18"/>
                <w:color w:val="auto"/>
              </w:rPr>
              <w:t>12,943</w:t>
            </w:r>
          </w:p>
        </w:tc>
        <w:tc>
          <w:tcPr>
            <w:tcW w:w="0" w:type="dxa"/>
            <w:vAlign w:val="bottom"/>
          </w:tcPr>
          <w:p>
            <w:pPr>
              <w:spacing w:after="0"/>
              <w:rPr>
                <w:sz w:val="1"/>
                <w:szCs w:val="1"/>
                <w:color w:val="auto"/>
              </w:rPr>
            </w:pPr>
          </w:p>
        </w:tc>
      </w:tr>
      <w:tr>
        <w:trPr>
          <w:trHeight w:val="229"/>
        </w:trPr>
        <w:tc>
          <w:tcPr>
            <w:tcW w:w="6600" w:type="dxa"/>
            <w:vAlign w:val="bottom"/>
          </w:tcPr>
          <w:p>
            <w:pPr>
              <w:ind w:left="220"/>
              <w:spacing w:after="0"/>
              <w:rPr>
                <w:sz w:val="20"/>
                <w:szCs w:val="20"/>
                <w:color w:val="auto"/>
              </w:rPr>
            </w:pPr>
            <w:r>
              <w:rPr>
                <w:rFonts w:ascii="Arial" w:cs="Arial" w:eastAsia="Arial" w:hAnsi="Arial"/>
                <w:sz w:val="18"/>
                <w:szCs w:val="18"/>
                <w:color w:val="auto"/>
              </w:rPr>
              <w:t>Accrued liabilities</w:t>
            </w:r>
          </w:p>
        </w:tc>
        <w:tc>
          <w:tcPr>
            <w:tcW w:w="300" w:type="dxa"/>
            <w:vAlign w:val="bottom"/>
          </w:tcPr>
          <w:p>
            <w:pPr>
              <w:spacing w:after="0"/>
              <w:rPr>
                <w:sz w:val="19"/>
                <w:szCs w:val="19"/>
                <w:color w:val="auto"/>
              </w:rPr>
            </w:pPr>
          </w:p>
        </w:tc>
        <w:tc>
          <w:tcPr>
            <w:tcW w:w="1820" w:type="dxa"/>
            <w:vAlign w:val="bottom"/>
          </w:tcPr>
          <w:p>
            <w:pPr>
              <w:jc w:val="right"/>
              <w:spacing w:after="0"/>
              <w:rPr>
                <w:sz w:val="20"/>
                <w:szCs w:val="20"/>
                <w:color w:val="auto"/>
              </w:rPr>
            </w:pPr>
            <w:r>
              <w:rPr>
                <w:rFonts w:ascii="Arial" w:cs="Arial" w:eastAsia="Arial" w:hAnsi="Arial"/>
                <w:sz w:val="18"/>
                <w:szCs w:val="18"/>
                <w:color w:val="auto"/>
              </w:rPr>
              <w:t>43,826</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800" w:type="dxa"/>
            <w:vAlign w:val="bottom"/>
          </w:tcPr>
          <w:p>
            <w:pPr>
              <w:jc w:val="right"/>
              <w:spacing w:after="0"/>
              <w:rPr>
                <w:sz w:val="20"/>
                <w:szCs w:val="20"/>
                <w:color w:val="auto"/>
              </w:rPr>
            </w:pPr>
            <w:r>
              <w:rPr>
                <w:rFonts w:ascii="Arial" w:cs="Arial" w:eastAsia="Arial" w:hAnsi="Arial"/>
                <w:sz w:val="18"/>
                <w:szCs w:val="18"/>
                <w:color w:val="auto"/>
              </w:rPr>
              <w:t>38,427</w:t>
            </w:r>
          </w:p>
        </w:tc>
        <w:tc>
          <w:tcPr>
            <w:tcW w:w="0" w:type="dxa"/>
            <w:vAlign w:val="bottom"/>
          </w:tcPr>
          <w:p>
            <w:pPr>
              <w:spacing w:after="0"/>
              <w:rPr>
                <w:sz w:val="1"/>
                <w:szCs w:val="1"/>
                <w:color w:val="auto"/>
              </w:rPr>
            </w:pPr>
          </w:p>
        </w:tc>
      </w:tr>
      <w:tr>
        <w:trPr>
          <w:trHeight w:val="230"/>
        </w:trPr>
        <w:tc>
          <w:tcPr>
            <w:tcW w:w="6600" w:type="dxa"/>
            <w:vAlign w:val="bottom"/>
          </w:tcPr>
          <w:p>
            <w:pPr>
              <w:ind w:left="220"/>
              <w:spacing w:after="0"/>
              <w:rPr>
                <w:sz w:val="20"/>
                <w:szCs w:val="20"/>
                <w:color w:val="auto"/>
              </w:rPr>
            </w:pPr>
            <w:r>
              <w:rPr>
                <w:rFonts w:ascii="Arial" w:cs="Arial" w:eastAsia="Arial" w:hAnsi="Arial"/>
                <w:sz w:val="18"/>
                <w:szCs w:val="18"/>
                <w:color w:val="auto"/>
              </w:rPr>
              <w:t>Current portion of deferred revenue</w:t>
            </w:r>
          </w:p>
        </w:tc>
        <w:tc>
          <w:tcPr>
            <w:tcW w:w="300" w:type="dxa"/>
            <w:vAlign w:val="bottom"/>
          </w:tcPr>
          <w:p>
            <w:pPr>
              <w:spacing w:after="0"/>
              <w:rPr>
                <w:sz w:val="19"/>
                <w:szCs w:val="19"/>
                <w:color w:val="auto"/>
              </w:rPr>
            </w:pPr>
          </w:p>
        </w:tc>
        <w:tc>
          <w:tcPr>
            <w:tcW w:w="1820" w:type="dxa"/>
            <w:vAlign w:val="bottom"/>
          </w:tcPr>
          <w:p>
            <w:pPr>
              <w:jc w:val="right"/>
              <w:spacing w:after="0"/>
              <w:rPr>
                <w:sz w:val="20"/>
                <w:szCs w:val="20"/>
                <w:color w:val="auto"/>
              </w:rPr>
            </w:pPr>
            <w:r>
              <w:rPr>
                <w:rFonts w:ascii="Arial" w:cs="Arial" w:eastAsia="Arial" w:hAnsi="Arial"/>
                <w:sz w:val="18"/>
                <w:szCs w:val="18"/>
                <w:color w:val="auto"/>
              </w:rPr>
              <w:t>1,673</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800" w:type="dxa"/>
            <w:vAlign w:val="bottom"/>
          </w:tcPr>
          <w:p>
            <w:pPr>
              <w:jc w:val="right"/>
              <w:spacing w:after="0"/>
              <w:rPr>
                <w:sz w:val="20"/>
                <w:szCs w:val="20"/>
                <w:color w:val="auto"/>
              </w:rPr>
            </w:pPr>
            <w:r>
              <w:rPr>
                <w:rFonts w:ascii="Arial" w:cs="Arial" w:eastAsia="Arial" w:hAnsi="Arial"/>
                <w:sz w:val="18"/>
                <w:szCs w:val="18"/>
                <w:color w:val="auto"/>
              </w:rPr>
              <w:t>2,008</w:t>
            </w:r>
          </w:p>
        </w:tc>
        <w:tc>
          <w:tcPr>
            <w:tcW w:w="0" w:type="dxa"/>
            <w:vAlign w:val="bottom"/>
          </w:tcPr>
          <w:p>
            <w:pPr>
              <w:spacing w:after="0"/>
              <w:rPr>
                <w:sz w:val="1"/>
                <w:szCs w:val="1"/>
                <w:color w:val="auto"/>
              </w:rPr>
            </w:pPr>
          </w:p>
        </w:tc>
      </w:tr>
      <w:tr>
        <w:trPr>
          <w:trHeight w:val="230"/>
        </w:trPr>
        <w:tc>
          <w:tcPr>
            <w:tcW w:w="6600" w:type="dxa"/>
            <w:vAlign w:val="bottom"/>
          </w:tcPr>
          <w:p>
            <w:pPr>
              <w:ind w:left="220"/>
              <w:spacing w:after="0"/>
              <w:rPr>
                <w:sz w:val="20"/>
                <w:szCs w:val="20"/>
                <w:color w:val="auto"/>
              </w:rPr>
            </w:pPr>
            <w:r>
              <w:rPr>
                <w:rFonts w:ascii="Arial" w:cs="Arial" w:eastAsia="Arial" w:hAnsi="Arial"/>
                <w:sz w:val="18"/>
                <w:szCs w:val="18"/>
                <w:color w:val="auto"/>
              </w:rPr>
              <w:t>Current portion of acquisition-related contingent consideration</w:t>
            </w:r>
          </w:p>
        </w:tc>
        <w:tc>
          <w:tcPr>
            <w:tcW w:w="300" w:type="dxa"/>
            <w:vAlign w:val="bottom"/>
          </w:tcPr>
          <w:p>
            <w:pPr>
              <w:spacing w:after="0"/>
              <w:rPr>
                <w:sz w:val="19"/>
                <w:szCs w:val="19"/>
                <w:color w:val="auto"/>
              </w:rPr>
            </w:pPr>
          </w:p>
        </w:tc>
        <w:tc>
          <w:tcPr>
            <w:tcW w:w="1820" w:type="dxa"/>
            <w:vAlign w:val="bottom"/>
          </w:tcPr>
          <w:p>
            <w:pPr>
              <w:jc w:val="right"/>
              <w:spacing w:after="0"/>
              <w:rPr>
                <w:sz w:val="20"/>
                <w:szCs w:val="20"/>
                <w:color w:val="auto"/>
              </w:rPr>
            </w:pPr>
            <w:r>
              <w:rPr>
                <w:rFonts w:ascii="Arial" w:cs="Arial" w:eastAsia="Arial" w:hAnsi="Arial"/>
                <w:sz w:val="18"/>
                <w:szCs w:val="18"/>
                <w:color w:val="auto"/>
              </w:rPr>
              <w:t>16,981</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800" w:type="dxa"/>
            <w:vAlign w:val="bottom"/>
          </w:tcPr>
          <w:p>
            <w:pPr>
              <w:jc w:val="right"/>
              <w:spacing w:after="0"/>
              <w:rPr>
                <w:sz w:val="20"/>
                <w:szCs w:val="20"/>
                <w:color w:val="auto"/>
              </w:rPr>
            </w:pPr>
            <w:r>
              <w:rPr>
                <w:rFonts w:ascii="Arial" w:cs="Arial" w:eastAsia="Arial" w:hAnsi="Arial"/>
                <w:sz w:val="18"/>
                <w:szCs w:val="18"/>
                <w:color w:val="auto"/>
              </w:rPr>
              <w:t>2,657</w:t>
            </w:r>
          </w:p>
        </w:tc>
        <w:tc>
          <w:tcPr>
            <w:tcW w:w="0" w:type="dxa"/>
            <w:vAlign w:val="bottom"/>
          </w:tcPr>
          <w:p>
            <w:pPr>
              <w:spacing w:after="0"/>
              <w:rPr>
                <w:sz w:val="1"/>
                <w:szCs w:val="1"/>
                <w:color w:val="auto"/>
              </w:rPr>
            </w:pPr>
          </w:p>
        </w:tc>
      </w:tr>
      <w:tr>
        <w:trPr>
          <w:trHeight w:val="230"/>
        </w:trPr>
        <w:tc>
          <w:tcPr>
            <w:tcW w:w="6600" w:type="dxa"/>
            <w:vAlign w:val="bottom"/>
          </w:tcPr>
          <w:p>
            <w:pPr>
              <w:ind w:left="220"/>
              <w:spacing w:after="0"/>
              <w:rPr>
                <w:sz w:val="20"/>
                <w:szCs w:val="20"/>
                <w:color w:val="auto"/>
              </w:rPr>
            </w:pPr>
            <w:r>
              <w:rPr>
                <w:rFonts w:ascii="Arial" w:cs="Arial" w:eastAsia="Arial" w:hAnsi="Arial"/>
                <w:sz w:val="18"/>
                <w:szCs w:val="18"/>
                <w:color w:val="auto"/>
              </w:rPr>
              <w:t>Current portion of operating lease liability</w:t>
            </w:r>
          </w:p>
        </w:tc>
        <w:tc>
          <w:tcPr>
            <w:tcW w:w="300" w:type="dxa"/>
            <w:vAlign w:val="bottom"/>
          </w:tcPr>
          <w:p>
            <w:pPr>
              <w:spacing w:after="0"/>
              <w:rPr>
                <w:sz w:val="19"/>
                <w:szCs w:val="19"/>
                <w:color w:val="auto"/>
              </w:rPr>
            </w:pPr>
          </w:p>
        </w:tc>
        <w:tc>
          <w:tcPr>
            <w:tcW w:w="1820" w:type="dxa"/>
            <w:vAlign w:val="bottom"/>
          </w:tcPr>
          <w:p>
            <w:pPr>
              <w:jc w:val="right"/>
              <w:spacing w:after="0"/>
              <w:rPr>
                <w:sz w:val="20"/>
                <w:szCs w:val="20"/>
                <w:color w:val="auto"/>
              </w:rPr>
            </w:pPr>
            <w:r>
              <w:rPr>
                <w:rFonts w:ascii="Arial" w:cs="Arial" w:eastAsia="Arial" w:hAnsi="Arial"/>
                <w:sz w:val="18"/>
                <w:szCs w:val="18"/>
                <w:color w:val="auto"/>
              </w:rPr>
              <w:t>7,500</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800" w:type="dxa"/>
            <w:vAlign w:val="bottom"/>
          </w:tcPr>
          <w:p>
            <w:pPr>
              <w:jc w:val="right"/>
              <w:spacing w:after="0"/>
              <w:rPr>
                <w:sz w:val="20"/>
                <w:szCs w:val="20"/>
                <w:color w:val="auto"/>
              </w:rPr>
            </w:pPr>
            <w:r>
              <w:rPr>
                <w:rFonts w:ascii="Arial" w:cs="Arial" w:eastAsia="Arial" w:hAnsi="Arial"/>
                <w:sz w:val="18"/>
                <w:szCs w:val="18"/>
                <w:color w:val="auto"/>
              </w:rPr>
              <w:t>5,105</w:t>
            </w:r>
          </w:p>
        </w:tc>
        <w:tc>
          <w:tcPr>
            <w:tcW w:w="0" w:type="dxa"/>
            <w:vAlign w:val="bottom"/>
          </w:tcPr>
          <w:p>
            <w:pPr>
              <w:spacing w:after="0"/>
              <w:rPr>
                <w:sz w:val="1"/>
                <w:szCs w:val="1"/>
                <w:color w:val="auto"/>
              </w:rPr>
            </w:pPr>
          </w:p>
        </w:tc>
      </w:tr>
      <w:tr>
        <w:trPr>
          <w:trHeight w:val="235"/>
        </w:trPr>
        <w:tc>
          <w:tcPr>
            <w:tcW w:w="6600" w:type="dxa"/>
            <w:vAlign w:val="bottom"/>
          </w:tcPr>
          <w:p>
            <w:pPr>
              <w:ind w:left="220"/>
              <w:spacing w:after="0"/>
              <w:rPr>
                <w:sz w:val="20"/>
                <w:szCs w:val="20"/>
                <w:color w:val="auto"/>
              </w:rPr>
            </w:pPr>
            <w:r>
              <w:rPr>
                <w:rFonts w:ascii="Arial" w:cs="Arial" w:eastAsia="Arial" w:hAnsi="Arial"/>
                <w:sz w:val="18"/>
                <w:szCs w:val="18"/>
                <w:color w:val="auto"/>
              </w:rPr>
              <w:t>Current portion of other liabilities</w:t>
            </w:r>
          </w:p>
        </w:tc>
        <w:tc>
          <w:tcPr>
            <w:tcW w:w="300" w:type="dxa"/>
            <w:vAlign w:val="bottom"/>
            <w:tcBorders>
              <w:bottom w:val="single" w:sz="8" w:color="auto"/>
            </w:tcBorders>
          </w:tcPr>
          <w:p>
            <w:pPr>
              <w:spacing w:after="0"/>
              <w:rPr>
                <w:sz w:val="20"/>
                <w:szCs w:val="20"/>
                <w:color w:val="auto"/>
              </w:rPr>
            </w:pPr>
          </w:p>
        </w:tc>
        <w:tc>
          <w:tcPr>
            <w:tcW w:w="1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w:t>
            </w:r>
          </w:p>
        </w:tc>
        <w:tc>
          <w:tcPr>
            <w:tcW w:w="10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101</w:t>
            </w:r>
          </w:p>
        </w:tc>
        <w:tc>
          <w:tcPr>
            <w:tcW w:w="0" w:type="dxa"/>
            <w:vAlign w:val="bottom"/>
          </w:tcPr>
          <w:p>
            <w:pPr>
              <w:spacing w:after="0"/>
              <w:rPr>
                <w:sz w:val="1"/>
                <w:szCs w:val="1"/>
                <w:color w:val="auto"/>
              </w:rPr>
            </w:pPr>
          </w:p>
        </w:tc>
      </w:tr>
      <w:tr>
        <w:trPr>
          <w:trHeight w:val="218"/>
        </w:trPr>
        <w:tc>
          <w:tcPr>
            <w:tcW w:w="6600" w:type="dxa"/>
            <w:vAlign w:val="bottom"/>
          </w:tcPr>
          <w:p>
            <w:pPr>
              <w:ind w:left="320"/>
              <w:spacing w:after="0"/>
              <w:rPr>
                <w:sz w:val="20"/>
                <w:szCs w:val="20"/>
                <w:color w:val="auto"/>
              </w:rPr>
            </w:pPr>
            <w:r>
              <w:rPr>
                <w:rFonts w:ascii="Arial" w:cs="Arial" w:eastAsia="Arial" w:hAnsi="Arial"/>
                <w:sz w:val="18"/>
                <w:szCs w:val="18"/>
                <w:color w:val="auto"/>
              </w:rPr>
              <w:t>Total current liabilities</w:t>
            </w:r>
          </w:p>
        </w:tc>
        <w:tc>
          <w:tcPr>
            <w:tcW w:w="300" w:type="dxa"/>
            <w:vAlign w:val="bottom"/>
          </w:tcPr>
          <w:p>
            <w:pPr>
              <w:spacing w:after="0"/>
              <w:rPr>
                <w:sz w:val="18"/>
                <w:szCs w:val="18"/>
                <w:color w:val="auto"/>
              </w:rPr>
            </w:pPr>
          </w:p>
        </w:tc>
        <w:tc>
          <w:tcPr>
            <w:tcW w:w="1820" w:type="dxa"/>
            <w:vAlign w:val="bottom"/>
          </w:tcPr>
          <w:p>
            <w:pPr>
              <w:jc w:val="right"/>
              <w:spacing w:after="0"/>
              <w:rPr>
                <w:sz w:val="20"/>
                <w:szCs w:val="20"/>
                <w:color w:val="auto"/>
              </w:rPr>
            </w:pPr>
            <w:r>
              <w:rPr>
                <w:rFonts w:ascii="Arial" w:cs="Arial" w:eastAsia="Arial" w:hAnsi="Arial"/>
                <w:sz w:val="18"/>
                <w:szCs w:val="18"/>
                <w:color w:val="auto"/>
              </w:rPr>
              <w:t>78,633</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800" w:type="dxa"/>
            <w:vAlign w:val="bottom"/>
          </w:tcPr>
          <w:p>
            <w:pPr>
              <w:jc w:val="right"/>
              <w:spacing w:after="0"/>
              <w:rPr>
                <w:sz w:val="20"/>
                <w:szCs w:val="20"/>
                <w:color w:val="auto"/>
              </w:rPr>
            </w:pPr>
            <w:r>
              <w:rPr>
                <w:rFonts w:ascii="Arial" w:cs="Arial" w:eastAsia="Arial" w:hAnsi="Arial"/>
                <w:sz w:val="18"/>
                <w:szCs w:val="18"/>
                <w:color w:val="auto"/>
              </w:rPr>
              <w:t>61,241</w:t>
            </w:r>
          </w:p>
        </w:tc>
        <w:tc>
          <w:tcPr>
            <w:tcW w:w="0" w:type="dxa"/>
            <w:vAlign w:val="bottom"/>
          </w:tcPr>
          <w:p>
            <w:pPr>
              <w:spacing w:after="0"/>
              <w:rPr>
                <w:sz w:val="1"/>
                <w:szCs w:val="1"/>
                <w:color w:val="auto"/>
              </w:rPr>
            </w:pPr>
          </w:p>
        </w:tc>
      </w:tr>
      <w:tr>
        <w:trPr>
          <w:trHeight w:val="230"/>
        </w:trPr>
        <w:tc>
          <w:tcPr>
            <w:tcW w:w="6600" w:type="dxa"/>
            <w:vAlign w:val="bottom"/>
          </w:tcPr>
          <w:p>
            <w:pPr>
              <w:spacing w:after="0"/>
              <w:rPr>
                <w:sz w:val="20"/>
                <w:szCs w:val="20"/>
                <w:color w:val="auto"/>
              </w:rPr>
            </w:pPr>
            <w:r>
              <w:rPr>
                <w:rFonts w:ascii="Arial" w:cs="Arial" w:eastAsia="Arial" w:hAnsi="Arial"/>
                <w:sz w:val="18"/>
                <w:szCs w:val="18"/>
                <w:color w:val="auto"/>
              </w:rPr>
              <w:t>Deferred tax liability</w:t>
            </w:r>
          </w:p>
        </w:tc>
        <w:tc>
          <w:tcPr>
            <w:tcW w:w="300" w:type="dxa"/>
            <w:vAlign w:val="bottom"/>
          </w:tcPr>
          <w:p>
            <w:pPr>
              <w:spacing w:after="0"/>
              <w:rPr>
                <w:sz w:val="19"/>
                <w:szCs w:val="19"/>
                <w:color w:val="auto"/>
              </w:rPr>
            </w:pPr>
          </w:p>
        </w:tc>
        <w:tc>
          <w:tcPr>
            <w:tcW w:w="1820" w:type="dxa"/>
            <w:vAlign w:val="bottom"/>
          </w:tcPr>
          <w:p>
            <w:pPr>
              <w:jc w:val="right"/>
              <w:spacing w:after="0"/>
              <w:rPr>
                <w:sz w:val="20"/>
                <w:szCs w:val="20"/>
                <w:color w:val="auto"/>
              </w:rPr>
            </w:pPr>
            <w:r>
              <w:rPr>
                <w:rFonts w:ascii="Arial" w:cs="Arial" w:eastAsia="Arial" w:hAnsi="Arial"/>
                <w:sz w:val="18"/>
                <w:szCs w:val="18"/>
                <w:color w:val="auto"/>
              </w:rPr>
              <w:t>1,227</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800" w:type="dxa"/>
            <w:vAlign w:val="bottom"/>
          </w:tcPr>
          <w:p>
            <w:pPr>
              <w:jc w:val="right"/>
              <w:spacing w:after="0"/>
              <w:rPr>
                <w:sz w:val="20"/>
                <w:szCs w:val="20"/>
                <w:color w:val="auto"/>
              </w:rPr>
            </w:pPr>
            <w:r>
              <w:rPr>
                <w:rFonts w:ascii="Arial" w:cs="Arial" w:eastAsia="Arial" w:hAnsi="Arial"/>
                <w:sz w:val="18"/>
                <w:szCs w:val="18"/>
                <w:color w:val="auto"/>
              </w:rPr>
              <w:t>734</w:t>
            </w:r>
          </w:p>
        </w:tc>
        <w:tc>
          <w:tcPr>
            <w:tcW w:w="0" w:type="dxa"/>
            <w:vAlign w:val="bottom"/>
          </w:tcPr>
          <w:p>
            <w:pPr>
              <w:spacing w:after="0"/>
              <w:rPr>
                <w:sz w:val="1"/>
                <w:szCs w:val="1"/>
                <w:color w:val="auto"/>
              </w:rPr>
            </w:pPr>
          </w:p>
        </w:tc>
      </w:tr>
      <w:tr>
        <w:trPr>
          <w:trHeight w:val="230"/>
        </w:trPr>
        <w:tc>
          <w:tcPr>
            <w:tcW w:w="6600" w:type="dxa"/>
            <w:vAlign w:val="bottom"/>
          </w:tcPr>
          <w:p>
            <w:pPr>
              <w:spacing w:after="0"/>
              <w:rPr>
                <w:sz w:val="20"/>
                <w:szCs w:val="20"/>
                <w:color w:val="auto"/>
              </w:rPr>
            </w:pPr>
            <w:r>
              <w:rPr>
                <w:rFonts w:ascii="Arial" w:cs="Arial" w:eastAsia="Arial" w:hAnsi="Arial"/>
                <w:sz w:val="18"/>
                <w:szCs w:val="18"/>
                <w:color w:val="auto"/>
              </w:rPr>
              <w:t>Acquisition-related contingent consideration, net of current portion</w:t>
            </w:r>
          </w:p>
        </w:tc>
        <w:tc>
          <w:tcPr>
            <w:tcW w:w="300" w:type="dxa"/>
            <w:vAlign w:val="bottom"/>
          </w:tcPr>
          <w:p>
            <w:pPr>
              <w:spacing w:after="0"/>
              <w:rPr>
                <w:sz w:val="19"/>
                <w:szCs w:val="19"/>
                <w:color w:val="auto"/>
              </w:rPr>
            </w:pPr>
          </w:p>
        </w:tc>
        <w:tc>
          <w:tcPr>
            <w:tcW w:w="1820" w:type="dxa"/>
            <w:vAlign w:val="bottom"/>
          </w:tcPr>
          <w:p>
            <w:pPr>
              <w:jc w:val="right"/>
              <w:spacing w:after="0"/>
              <w:rPr>
                <w:sz w:val="20"/>
                <w:szCs w:val="20"/>
                <w:color w:val="auto"/>
              </w:rPr>
            </w:pPr>
            <w:r>
              <w:rPr>
                <w:rFonts w:ascii="Arial" w:cs="Arial" w:eastAsia="Arial" w:hAnsi="Arial"/>
                <w:sz w:val="18"/>
                <w:szCs w:val="18"/>
                <w:color w:val="auto"/>
              </w:rPr>
              <w:t>561</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800" w:type="dxa"/>
            <w:vAlign w:val="bottom"/>
          </w:tcPr>
          <w:p>
            <w:pPr>
              <w:jc w:val="right"/>
              <w:spacing w:after="0"/>
              <w:rPr>
                <w:sz w:val="20"/>
                <w:szCs w:val="20"/>
                <w:color w:val="auto"/>
              </w:rPr>
            </w:pPr>
            <w:r>
              <w:rPr>
                <w:rFonts w:ascii="Arial" w:cs="Arial" w:eastAsia="Arial" w:hAnsi="Arial"/>
                <w:sz w:val="18"/>
                <w:szCs w:val="18"/>
                <w:color w:val="auto"/>
              </w:rPr>
              <w:t>518</w:t>
            </w:r>
          </w:p>
        </w:tc>
        <w:tc>
          <w:tcPr>
            <w:tcW w:w="0" w:type="dxa"/>
            <w:vAlign w:val="bottom"/>
          </w:tcPr>
          <w:p>
            <w:pPr>
              <w:spacing w:after="0"/>
              <w:rPr>
                <w:sz w:val="1"/>
                <w:szCs w:val="1"/>
                <w:color w:val="auto"/>
              </w:rPr>
            </w:pPr>
          </w:p>
        </w:tc>
      </w:tr>
      <w:tr>
        <w:trPr>
          <w:trHeight w:val="230"/>
        </w:trPr>
        <w:tc>
          <w:tcPr>
            <w:tcW w:w="6600" w:type="dxa"/>
            <w:vAlign w:val="bottom"/>
          </w:tcPr>
          <w:p>
            <w:pPr>
              <w:spacing w:after="0"/>
              <w:rPr>
                <w:sz w:val="20"/>
                <w:szCs w:val="20"/>
                <w:color w:val="auto"/>
              </w:rPr>
            </w:pPr>
            <w:r>
              <w:rPr>
                <w:rFonts w:ascii="Arial" w:cs="Arial" w:eastAsia="Arial" w:hAnsi="Arial"/>
                <w:sz w:val="18"/>
                <w:szCs w:val="18"/>
                <w:color w:val="auto"/>
              </w:rPr>
              <w:t>Operating lease liability, net of current portion</w:t>
            </w:r>
          </w:p>
        </w:tc>
        <w:tc>
          <w:tcPr>
            <w:tcW w:w="300" w:type="dxa"/>
            <w:vAlign w:val="bottom"/>
          </w:tcPr>
          <w:p>
            <w:pPr>
              <w:spacing w:after="0"/>
              <w:rPr>
                <w:sz w:val="19"/>
                <w:szCs w:val="19"/>
                <w:color w:val="auto"/>
              </w:rPr>
            </w:pPr>
          </w:p>
        </w:tc>
        <w:tc>
          <w:tcPr>
            <w:tcW w:w="1820" w:type="dxa"/>
            <w:vAlign w:val="bottom"/>
          </w:tcPr>
          <w:p>
            <w:pPr>
              <w:jc w:val="right"/>
              <w:spacing w:after="0"/>
              <w:rPr>
                <w:sz w:val="20"/>
                <w:szCs w:val="20"/>
                <w:color w:val="auto"/>
              </w:rPr>
            </w:pPr>
            <w:r>
              <w:rPr>
                <w:rFonts w:ascii="Arial" w:cs="Arial" w:eastAsia="Arial" w:hAnsi="Arial"/>
                <w:sz w:val="18"/>
                <w:szCs w:val="18"/>
                <w:color w:val="auto"/>
              </w:rPr>
              <w:t>43,237</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800" w:type="dxa"/>
            <w:vAlign w:val="bottom"/>
          </w:tcPr>
          <w:p>
            <w:pPr>
              <w:jc w:val="right"/>
              <w:spacing w:after="0"/>
              <w:rPr>
                <w:sz w:val="20"/>
                <w:szCs w:val="20"/>
                <w:color w:val="auto"/>
              </w:rPr>
            </w:pPr>
            <w:r>
              <w:rPr>
                <w:rFonts w:ascii="Arial" w:cs="Arial" w:eastAsia="Arial" w:hAnsi="Arial"/>
                <w:sz w:val="18"/>
                <w:szCs w:val="18"/>
                <w:color w:val="auto"/>
              </w:rPr>
              <w:t>7,525</w:t>
            </w:r>
          </w:p>
        </w:tc>
        <w:tc>
          <w:tcPr>
            <w:tcW w:w="0" w:type="dxa"/>
            <w:vAlign w:val="bottom"/>
          </w:tcPr>
          <w:p>
            <w:pPr>
              <w:spacing w:after="0"/>
              <w:rPr>
                <w:sz w:val="1"/>
                <w:szCs w:val="1"/>
                <w:color w:val="auto"/>
              </w:rPr>
            </w:pPr>
          </w:p>
        </w:tc>
      </w:tr>
      <w:tr>
        <w:trPr>
          <w:trHeight w:val="235"/>
        </w:trPr>
        <w:tc>
          <w:tcPr>
            <w:tcW w:w="6600" w:type="dxa"/>
            <w:vAlign w:val="bottom"/>
          </w:tcPr>
          <w:p>
            <w:pPr>
              <w:spacing w:after="0"/>
              <w:rPr>
                <w:sz w:val="20"/>
                <w:szCs w:val="20"/>
                <w:color w:val="auto"/>
              </w:rPr>
            </w:pPr>
            <w:r>
              <w:rPr>
                <w:rFonts w:ascii="Arial" w:cs="Arial" w:eastAsia="Arial" w:hAnsi="Arial"/>
                <w:sz w:val="18"/>
                <w:szCs w:val="18"/>
                <w:color w:val="auto"/>
              </w:rPr>
              <w:t>Other liabilities</w:t>
            </w:r>
          </w:p>
        </w:tc>
        <w:tc>
          <w:tcPr>
            <w:tcW w:w="300" w:type="dxa"/>
            <w:vAlign w:val="bottom"/>
            <w:tcBorders>
              <w:bottom w:val="single" w:sz="8" w:color="auto"/>
            </w:tcBorders>
          </w:tcPr>
          <w:p>
            <w:pPr>
              <w:spacing w:after="0"/>
              <w:rPr>
                <w:sz w:val="20"/>
                <w:szCs w:val="20"/>
                <w:color w:val="auto"/>
              </w:rPr>
            </w:pPr>
          </w:p>
        </w:tc>
        <w:tc>
          <w:tcPr>
            <w:tcW w:w="1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411</w:t>
            </w:r>
          </w:p>
        </w:tc>
        <w:tc>
          <w:tcPr>
            <w:tcW w:w="10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786</w:t>
            </w:r>
          </w:p>
        </w:tc>
        <w:tc>
          <w:tcPr>
            <w:tcW w:w="0" w:type="dxa"/>
            <w:vAlign w:val="bottom"/>
          </w:tcPr>
          <w:p>
            <w:pPr>
              <w:spacing w:after="0"/>
              <w:rPr>
                <w:sz w:val="1"/>
                <w:szCs w:val="1"/>
                <w:color w:val="auto"/>
              </w:rPr>
            </w:pPr>
          </w:p>
        </w:tc>
      </w:tr>
      <w:tr>
        <w:trPr>
          <w:trHeight w:val="218"/>
        </w:trPr>
        <w:tc>
          <w:tcPr>
            <w:tcW w:w="6600" w:type="dxa"/>
            <w:vAlign w:val="bottom"/>
          </w:tcPr>
          <w:p>
            <w:pPr>
              <w:ind w:left="320"/>
              <w:spacing w:after="0"/>
              <w:rPr>
                <w:sz w:val="20"/>
                <w:szCs w:val="20"/>
                <w:color w:val="auto"/>
              </w:rPr>
            </w:pPr>
            <w:r>
              <w:rPr>
                <w:rFonts w:ascii="Arial" w:cs="Arial" w:eastAsia="Arial" w:hAnsi="Arial"/>
                <w:sz w:val="18"/>
                <w:szCs w:val="18"/>
                <w:color w:val="auto"/>
              </w:rPr>
              <w:t>Total liabilities</w:t>
            </w:r>
          </w:p>
        </w:tc>
        <w:tc>
          <w:tcPr>
            <w:tcW w:w="300" w:type="dxa"/>
            <w:vAlign w:val="bottom"/>
          </w:tcPr>
          <w:p>
            <w:pPr>
              <w:spacing w:after="0"/>
              <w:rPr>
                <w:sz w:val="18"/>
                <w:szCs w:val="18"/>
                <w:color w:val="auto"/>
              </w:rPr>
            </w:pPr>
          </w:p>
        </w:tc>
        <w:tc>
          <w:tcPr>
            <w:tcW w:w="1820" w:type="dxa"/>
            <w:vAlign w:val="bottom"/>
          </w:tcPr>
          <w:p>
            <w:pPr>
              <w:jc w:val="right"/>
              <w:spacing w:after="0"/>
              <w:rPr>
                <w:sz w:val="20"/>
                <w:szCs w:val="20"/>
                <w:color w:val="auto"/>
              </w:rPr>
            </w:pPr>
            <w:r>
              <w:rPr>
                <w:rFonts w:ascii="Arial" w:cs="Arial" w:eastAsia="Arial" w:hAnsi="Arial"/>
                <w:sz w:val="18"/>
                <w:szCs w:val="18"/>
                <w:color w:val="auto"/>
              </w:rPr>
              <w:t>124,069</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800" w:type="dxa"/>
            <w:vAlign w:val="bottom"/>
          </w:tcPr>
          <w:p>
            <w:pPr>
              <w:jc w:val="right"/>
              <w:spacing w:after="0"/>
              <w:rPr>
                <w:sz w:val="20"/>
                <w:szCs w:val="20"/>
                <w:color w:val="auto"/>
              </w:rPr>
            </w:pPr>
            <w:r>
              <w:rPr>
                <w:rFonts w:ascii="Arial" w:cs="Arial" w:eastAsia="Arial" w:hAnsi="Arial"/>
                <w:sz w:val="18"/>
                <w:szCs w:val="18"/>
                <w:color w:val="auto"/>
              </w:rPr>
              <w:t>70,804</w:t>
            </w:r>
          </w:p>
        </w:tc>
        <w:tc>
          <w:tcPr>
            <w:tcW w:w="0" w:type="dxa"/>
            <w:vAlign w:val="bottom"/>
          </w:tcPr>
          <w:p>
            <w:pPr>
              <w:spacing w:after="0"/>
              <w:rPr>
                <w:sz w:val="1"/>
                <w:szCs w:val="1"/>
                <w:color w:val="auto"/>
              </w:rPr>
            </w:pPr>
          </w:p>
        </w:tc>
      </w:tr>
      <w:tr>
        <w:trPr>
          <w:trHeight w:val="235"/>
        </w:trPr>
        <w:tc>
          <w:tcPr>
            <w:tcW w:w="6600" w:type="dxa"/>
            <w:vAlign w:val="bottom"/>
          </w:tcPr>
          <w:p>
            <w:pPr>
              <w:spacing w:after="0"/>
              <w:rPr>
                <w:sz w:val="20"/>
                <w:szCs w:val="20"/>
                <w:color w:val="auto"/>
              </w:rPr>
            </w:pPr>
            <w:r>
              <w:rPr>
                <w:rFonts w:ascii="Arial" w:cs="Arial" w:eastAsia="Arial" w:hAnsi="Arial"/>
                <w:sz w:val="18"/>
                <w:szCs w:val="18"/>
                <w:color w:val="auto"/>
              </w:rPr>
              <w:t>Total stockholders' equity</w:t>
            </w:r>
          </w:p>
        </w:tc>
        <w:tc>
          <w:tcPr>
            <w:tcW w:w="300" w:type="dxa"/>
            <w:vAlign w:val="bottom"/>
            <w:tcBorders>
              <w:bottom w:val="single" w:sz="8" w:color="auto"/>
            </w:tcBorders>
          </w:tcPr>
          <w:p>
            <w:pPr>
              <w:spacing w:after="0"/>
              <w:rPr>
                <w:sz w:val="20"/>
                <w:szCs w:val="20"/>
                <w:color w:val="auto"/>
              </w:rPr>
            </w:pPr>
          </w:p>
        </w:tc>
        <w:tc>
          <w:tcPr>
            <w:tcW w:w="1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1,175,966</w:t>
            </w:r>
          </w:p>
        </w:tc>
        <w:tc>
          <w:tcPr>
            <w:tcW w:w="10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1,044,102</w:t>
            </w:r>
          </w:p>
        </w:tc>
        <w:tc>
          <w:tcPr>
            <w:tcW w:w="0" w:type="dxa"/>
            <w:vAlign w:val="bottom"/>
          </w:tcPr>
          <w:p>
            <w:pPr>
              <w:spacing w:after="0"/>
              <w:rPr>
                <w:sz w:val="1"/>
                <w:szCs w:val="1"/>
                <w:color w:val="auto"/>
              </w:rPr>
            </w:pPr>
          </w:p>
        </w:tc>
      </w:tr>
      <w:tr>
        <w:trPr>
          <w:trHeight w:val="223"/>
        </w:trPr>
        <w:tc>
          <w:tcPr>
            <w:tcW w:w="6600" w:type="dxa"/>
            <w:vAlign w:val="bottom"/>
          </w:tcPr>
          <w:p>
            <w:pPr>
              <w:spacing w:after="0"/>
              <w:rPr>
                <w:sz w:val="20"/>
                <w:szCs w:val="20"/>
                <w:color w:val="auto"/>
              </w:rPr>
            </w:pPr>
            <w:r>
              <w:rPr>
                <w:rFonts w:ascii="Arial" w:cs="Arial" w:eastAsia="Arial" w:hAnsi="Arial"/>
                <w:sz w:val="18"/>
                <w:szCs w:val="18"/>
                <w:color w:val="auto"/>
              </w:rPr>
              <w:t>Total liabilities and stockholders’ equity</w:t>
            </w: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1,300,035</w:t>
            </w:r>
          </w:p>
        </w:tc>
        <w:tc>
          <w:tcPr>
            <w:tcW w:w="100" w:type="dxa"/>
            <w:vAlign w:val="bottom"/>
          </w:tcPr>
          <w:p>
            <w:pPr>
              <w:spacing w:after="0"/>
              <w:rPr>
                <w:sz w:val="19"/>
                <w:szCs w:val="19"/>
                <w:color w:val="auto"/>
              </w:rPr>
            </w:pP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1,114,906</w:t>
            </w:r>
          </w:p>
        </w:tc>
        <w:tc>
          <w:tcPr>
            <w:tcW w:w="0" w:type="dxa"/>
            <w:vAlign w:val="bottom"/>
          </w:tcPr>
          <w:p>
            <w:pPr>
              <w:spacing w:after="0"/>
              <w:rPr>
                <w:sz w:val="1"/>
                <w:szCs w:val="1"/>
                <w:color w:val="auto"/>
              </w:rPr>
            </w:pPr>
          </w:p>
        </w:tc>
      </w:tr>
      <w:tr>
        <w:trPr>
          <w:trHeight w:val="20"/>
        </w:trPr>
        <w:tc>
          <w:tcPr>
            <w:tcW w:w="66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38" w:lineRule="exact"/>
        <w:rPr>
          <w:sz w:val="20"/>
          <w:szCs w:val="20"/>
          <w:color w:val="auto"/>
        </w:rPr>
      </w:pPr>
    </w:p>
    <w:p>
      <w:pPr>
        <w:ind w:right="60" w:firstLine="1"/>
        <w:spacing w:after="0"/>
        <w:tabs>
          <w:tab w:leader="none" w:pos="20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condensed consolidated balance sheet at December 31, 2023 has been derived from the audited financial statements at that date included in the Company's Form 10-K filed with the Securities and Exchange Commission dated February 29, 2024.</w:t>
      </w:r>
    </w:p>
    <w:p>
      <w:pPr>
        <w:sectPr>
          <w:pgSz w:w="11900" w:h="16838" w:orient="portrait"/>
          <w:cols w:equalWidth="0" w:num="1">
            <w:col w:w="10940"/>
          </w:cols>
          <w:pgMar w:left="480" w:top="1025" w:right="479" w:bottom="1440" w:gutter="0" w:footer="0" w:header="0"/>
        </w:sectPr>
      </w:pPr>
    </w:p>
    <w:bookmarkStart w:id="12" w:name="page13"/>
    <w:bookmarkEnd w:id="12"/>
    <w:p>
      <w:pPr>
        <w:jc w:val="center"/>
        <w:ind w:right="20"/>
        <w:spacing w:after="0"/>
        <w:rPr>
          <w:sz w:val="20"/>
          <w:szCs w:val="20"/>
          <w:color w:val="auto"/>
        </w:rPr>
      </w:pPr>
      <w:r>
        <w:rPr>
          <w:rFonts w:ascii="Arial" w:cs="Arial" w:eastAsia="Arial" w:hAnsi="Arial"/>
          <w:sz w:val="18"/>
          <w:szCs w:val="18"/>
          <w:color w:val="auto"/>
        </w:rPr>
        <w:t>VERACYTE, INC.</w:t>
      </w:r>
    </w:p>
    <w:p>
      <w:pPr>
        <w:spacing w:after="0" w:line="32"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CONDENSED CONSOLIDATED STATEMENTS OF CASH FLOWS</w:t>
      </w:r>
    </w:p>
    <w:p>
      <w:pPr>
        <w:spacing w:after="0" w:line="23"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(Unaudited)</w:t>
      </w:r>
    </w:p>
    <w:p>
      <w:pPr>
        <w:spacing w:after="0" w:line="23"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(In thousands)</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235"/>
        </w:trPr>
        <w:tc>
          <w:tcPr>
            <w:tcW w:w="79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3040" w:type="dxa"/>
            <w:vAlign w:val="bottom"/>
            <w:tcBorders>
              <w:bottom w:val="single" w:sz="8" w:color="auto"/>
            </w:tcBorders>
            <w:gridSpan w:val="4"/>
          </w:tcPr>
          <w:p>
            <w:pPr>
              <w:jc w:val="right"/>
              <w:ind w:right="50"/>
              <w:spacing w:after="0"/>
              <w:rPr>
                <w:sz w:val="20"/>
                <w:szCs w:val="20"/>
                <w:color w:val="auto"/>
              </w:rPr>
            </w:pPr>
            <w:r>
              <w:rPr>
                <w:rFonts w:ascii="Arial" w:cs="Arial" w:eastAsia="Arial" w:hAnsi="Arial"/>
                <w:sz w:val="18"/>
                <w:szCs w:val="18"/>
                <w:color w:val="auto"/>
                <w:w w:val="98"/>
              </w:rPr>
              <w:t>Twelve Months Ended December 31</w:t>
            </w:r>
          </w:p>
        </w:tc>
        <w:tc>
          <w:tcPr>
            <w:tcW w:w="0" w:type="dxa"/>
            <w:vAlign w:val="bottom"/>
          </w:tcPr>
          <w:p>
            <w:pPr>
              <w:spacing w:after="0"/>
              <w:rPr>
                <w:sz w:val="1"/>
                <w:szCs w:val="1"/>
                <w:color w:val="auto"/>
              </w:rPr>
            </w:pPr>
          </w:p>
        </w:tc>
      </w:tr>
      <w:tr>
        <w:trPr>
          <w:trHeight w:val="223"/>
        </w:trPr>
        <w:tc>
          <w:tcPr>
            <w:tcW w:w="7920" w:type="dxa"/>
            <w:vAlign w:val="bottom"/>
            <w:vMerge w:val="restart"/>
          </w:tcPr>
          <w:p>
            <w:pPr>
              <w:spacing w:after="0"/>
              <w:rPr>
                <w:sz w:val="20"/>
                <w:szCs w:val="20"/>
                <w:color w:val="auto"/>
              </w:rPr>
            </w:pPr>
            <w:r>
              <w:rPr>
                <w:rFonts w:ascii="Arial" w:cs="Arial" w:eastAsia="Arial" w:hAnsi="Arial"/>
                <w:sz w:val="18"/>
                <w:szCs w:val="18"/>
                <w:b w:val="1"/>
                <w:bCs w:val="1"/>
                <w:color w:val="auto"/>
              </w:rPr>
              <w:t>Operating activities</w:t>
            </w:r>
          </w:p>
        </w:tc>
        <w:tc>
          <w:tcPr>
            <w:tcW w:w="14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color w:val="auto"/>
              </w:rPr>
              <w:t>2024</w:t>
            </w:r>
          </w:p>
        </w:tc>
        <w:tc>
          <w:tcPr>
            <w:tcW w:w="10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color w:val="auto"/>
              </w:rPr>
              <w:t>2023</w:t>
            </w:r>
          </w:p>
        </w:tc>
        <w:tc>
          <w:tcPr>
            <w:tcW w:w="0" w:type="dxa"/>
            <w:vAlign w:val="bottom"/>
          </w:tcPr>
          <w:p>
            <w:pPr>
              <w:spacing w:after="0"/>
              <w:rPr>
                <w:sz w:val="1"/>
                <w:szCs w:val="1"/>
                <w:color w:val="auto"/>
              </w:rPr>
            </w:pPr>
          </w:p>
        </w:tc>
      </w:tr>
      <w:tr>
        <w:trPr>
          <w:trHeight w:val="204"/>
        </w:trPr>
        <w:tc>
          <w:tcPr>
            <w:tcW w:w="7920" w:type="dxa"/>
            <w:vAlign w:val="bottom"/>
            <w:vMerge w:val="continue"/>
          </w:tcPr>
          <w:p>
            <w:pPr>
              <w:spacing w:after="0"/>
              <w:rPr>
                <w:sz w:val="17"/>
                <w:szCs w:val="17"/>
                <w:color w:val="auto"/>
              </w:rPr>
            </w:pPr>
          </w:p>
        </w:tc>
        <w:tc>
          <w:tcPr>
            <w:tcW w:w="14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7920" w:type="dxa"/>
            <w:vAlign w:val="bottom"/>
          </w:tcPr>
          <w:p>
            <w:pPr>
              <w:spacing w:after="0"/>
              <w:rPr>
                <w:sz w:val="20"/>
                <w:szCs w:val="20"/>
                <w:color w:val="auto"/>
              </w:rPr>
            </w:pPr>
            <w:r>
              <w:rPr>
                <w:rFonts w:ascii="Arial" w:cs="Arial" w:eastAsia="Arial" w:hAnsi="Arial"/>
                <w:sz w:val="18"/>
                <w:szCs w:val="18"/>
                <w:color w:val="auto"/>
              </w:rPr>
              <w:t>Net income (loss)</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tcPr>
          <w:p>
            <w:pPr>
              <w:jc w:val="right"/>
              <w:spacing w:after="0"/>
              <w:rPr>
                <w:sz w:val="20"/>
                <w:szCs w:val="20"/>
                <w:color w:val="auto"/>
              </w:rPr>
            </w:pPr>
            <w:r>
              <w:rPr>
                <w:rFonts w:ascii="Arial" w:cs="Arial" w:eastAsia="Arial" w:hAnsi="Arial"/>
                <w:sz w:val="18"/>
                <w:szCs w:val="18"/>
                <w:color w:val="auto"/>
              </w:rPr>
              <w:t>24,138</w:t>
            </w:r>
          </w:p>
        </w:tc>
        <w:tc>
          <w:tcPr>
            <w:tcW w:w="100" w:type="dxa"/>
            <w:vAlign w:val="bottom"/>
          </w:tcPr>
          <w:p>
            <w:pPr>
              <w:spacing w:after="0"/>
              <w:rPr>
                <w:sz w:val="19"/>
                <w:szCs w:val="19"/>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(74,404)</w:t>
            </w:r>
          </w:p>
        </w:tc>
        <w:tc>
          <w:tcPr>
            <w:tcW w:w="0" w:type="dxa"/>
            <w:vAlign w:val="bottom"/>
          </w:tcPr>
          <w:p>
            <w:pPr>
              <w:spacing w:after="0"/>
              <w:rPr>
                <w:sz w:val="1"/>
                <w:szCs w:val="1"/>
                <w:color w:val="auto"/>
              </w:rPr>
            </w:pPr>
          </w:p>
        </w:tc>
      </w:tr>
      <w:tr>
        <w:trPr>
          <w:trHeight w:val="230"/>
        </w:trPr>
        <w:tc>
          <w:tcPr>
            <w:tcW w:w="7920" w:type="dxa"/>
            <w:vAlign w:val="bottom"/>
          </w:tcPr>
          <w:p>
            <w:pPr>
              <w:spacing w:after="0"/>
              <w:rPr>
                <w:sz w:val="20"/>
                <w:szCs w:val="20"/>
                <w:color w:val="auto"/>
              </w:rPr>
            </w:pPr>
            <w:r>
              <w:rPr>
                <w:rFonts w:ascii="Arial" w:cs="Arial" w:eastAsia="Arial" w:hAnsi="Arial"/>
                <w:sz w:val="18"/>
                <w:szCs w:val="18"/>
                <w:color w:val="auto"/>
              </w:rPr>
              <w:t>Adjustments to reconcile net income (loss) to net cash provided by operating activities:</w:t>
            </w:r>
          </w:p>
        </w:tc>
        <w:tc>
          <w:tcPr>
            <w:tcW w:w="14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920" w:type="dxa"/>
            <w:vAlign w:val="bottom"/>
          </w:tcPr>
          <w:p>
            <w:pPr>
              <w:ind w:left="160"/>
              <w:spacing w:after="0"/>
              <w:rPr>
                <w:sz w:val="20"/>
                <w:szCs w:val="20"/>
                <w:color w:val="auto"/>
              </w:rPr>
            </w:pPr>
            <w:r>
              <w:rPr>
                <w:rFonts w:ascii="Arial" w:cs="Arial" w:eastAsia="Arial" w:hAnsi="Arial"/>
                <w:sz w:val="18"/>
                <w:szCs w:val="18"/>
                <w:color w:val="auto"/>
              </w:rPr>
              <w:t>Depreciation and amortization</w:t>
            </w:r>
          </w:p>
        </w:tc>
        <w:tc>
          <w:tcPr>
            <w:tcW w:w="14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23,459</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27,188</w:t>
            </w:r>
          </w:p>
        </w:tc>
        <w:tc>
          <w:tcPr>
            <w:tcW w:w="0" w:type="dxa"/>
            <w:vAlign w:val="bottom"/>
          </w:tcPr>
          <w:p>
            <w:pPr>
              <w:spacing w:after="0"/>
              <w:rPr>
                <w:sz w:val="1"/>
                <w:szCs w:val="1"/>
                <w:color w:val="auto"/>
              </w:rPr>
            </w:pPr>
          </w:p>
        </w:tc>
      </w:tr>
      <w:tr>
        <w:trPr>
          <w:trHeight w:val="230"/>
        </w:trPr>
        <w:tc>
          <w:tcPr>
            <w:tcW w:w="7920" w:type="dxa"/>
            <w:vAlign w:val="bottom"/>
          </w:tcPr>
          <w:p>
            <w:pPr>
              <w:ind w:left="160"/>
              <w:spacing w:after="0"/>
              <w:rPr>
                <w:sz w:val="20"/>
                <w:szCs w:val="20"/>
                <w:color w:val="auto"/>
              </w:rPr>
            </w:pPr>
            <w:r>
              <w:rPr>
                <w:rFonts w:ascii="Arial" w:cs="Arial" w:eastAsia="Arial" w:hAnsi="Arial"/>
                <w:sz w:val="18"/>
                <w:szCs w:val="18"/>
                <w:color w:val="auto"/>
              </w:rPr>
              <w:t>Loss on disposal of property, plant and equipment</w:t>
            </w:r>
          </w:p>
        </w:tc>
        <w:tc>
          <w:tcPr>
            <w:tcW w:w="14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202</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271</w:t>
            </w:r>
          </w:p>
        </w:tc>
        <w:tc>
          <w:tcPr>
            <w:tcW w:w="0" w:type="dxa"/>
            <w:vAlign w:val="bottom"/>
          </w:tcPr>
          <w:p>
            <w:pPr>
              <w:spacing w:after="0"/>
              <w:rPr>
                <w:sz w:val="1"/>
                <w:szCs w:val="1"/>
                <w:color w:val="auto"/>
              </w:rPr>
            </w:pPr>
          </w:p>
        </w:tc>
      </w:tr>
      <w:tr>
        <w:trPr>
          <w:trHeight w:val="229"/>
        </w:trPr>
        <w:tc>
          <w:tcPr>
            <w:tcW w:w="7920" w:type="dxa"/>
            <w:vAlign w:val="bottom"/>
          </w:tcPr>
          <w:p>
            <w:pPr>
              <w:ind w:left="160"/>
              <w:spacing w:after="0"/>
              <w:rPr>
                <w:sz w:val="20"/>
                <w:szCs w:val="20"/>
                <w:color w:val="auto"/>
              </w:rPr>
            </w:pPr>
            <w:r>
              <w:rPr>
                <w:rFonts w:ascii="Arial" w:cs="Arial" w:eastAsia="Arial" w:hAnsi="Arial"/>
                <w:sz w:val="18"/>
                <w:szCs w:val="18"/>
                <w:color w:val="auto"/>
              </w:rPr>
              <w:t>Stock-based compensation</w:t>
            </w:r>
          </w:p>
        </w:tc>
        <w:tc>
          <w:tcPr>
            <w:tcW w:w="14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36,249</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33,141</w:t>
            </w:r>
          </w:p>
        </w:tc>
        <w:tc>
          <w:tcPr>
            <w:tcW w:w="0" w:type="dxa"/>
            <w:vAlign w:val="bottom"/>
          </w:tcPr>
          <w:p>
            <w:pPr>
              <w:spacing w:after="0"/>
              <w:rPr>
                <w:sz w:val="1"/>
                <w:szCs w:val="1"/>
                <w:color w:val="auto"/>
              </w:rPr>
            </w:pPr>
          </w:p>
        </w:tc>
      </w:tr>
      <w:tr>
        <w:trPr>
          <w:trHeight w:val="229"/>
        </w:trPr>
        <w:tc>
          <w:tcPr>
            <w:tcW w:w="7920" w:type="dxa"/>
            <w:vAlign w:val="bottom"/>
          </w:tcPr>
          <w:p>
            <w:pPr>
              <w:ind w:left="160"/>
              <w:spacing w:after="0"/>
              <w:rPr>
                <w:sz w:val="20"/>
                <w:szCs w:val="20"/>
                <w:color w:val="auto"/>
              </w:rPr>
            </w:pPr>
            <w:r>
              <w:rPr>
                <w:rFonts w:ascii="Arial" w:cs="Arial" w:eastAsia="Arial" w:hAnsi="Arial"/>
                <w:sz w:val="18"/>
                <w:szCs w:val="18"/>
                <w:color w:val="auto"/>
              </w:rPr>
              <w:t>Deferred income taxes</w:t>
            </w:r>
          </w:p>
        </w:tc>
        <w:tc>
          <w:tcPr>
            <w:tcW w:w="14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(233)</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(3,839)</w:t>
            </w:r>
          </w:p>
        </w:tc>
        <w:tc>
          <w:tcPr>
            <w:tcW w:w="0" w:type="dxa"/>
            <w:vAlign w:val="bottom"/>
          </w:tcPr>
          <w:p>
            <w:pPr>
              <w:spacing w:after="0"/>
              <w:rPr>
                <w:sz w:val="1"/>
                <w:szCs w:val="1"/>
                <w:color w:val="auto"/>
              </w:rPr>
            </w:pPr>
          </w:p>
        </w:tc>
      </w:tr>
      <w:tr>
        <w:trPr>
          <w:trHeight w:val="230"/>
        </w:trPr>
        <w:tc>
          <w:tcPr>
            <w:tcW w:w="7920" w:type="dxa"/>
            <w:vAlign w:val="bottom"/>
          </w:tcPr>
          <w:p>
            <w:pPr>
              <w:ind w:left="160"/>
              <w:spacing w:after="0"/>
              <w:rPr>
                <w:sz w:val="20"/>
                <w:szCs w:val="20"/>
                <w:color w:val="auto"/>
              </w:rPr>
            </w:pPr>
            <w:r>
              <w:rPr>
                <w:rFonts w:ascii="Arial" w:cs="Arial" w:eastAsia="Arial" w:hAnsi="Arial"/>
                <w:sz w:val="18"/>
                <w:szCs w:val="18"/>
                <w:color w:val="auto"/>
              </w:rPr>
              <w:t>Noncash lease expense</w:t>
            </w:r>
          </w:p>
        </w:tc>
        <w:tc>
          <w:tcPr>
            <w:tcW w:w="14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4,955</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4,158</w:t>
            </w:r>
          </w:p>
        </w:tc>
        <w:tc>
          <w:tcPr>
            <w:tcW w:w="0" w:type="dxa"/>
            <w:vAlign w:val="bottom"/>
          </w:tcPr>
          <w:p>
            <w:pPr>
              <w:spacing w:after="0"/>
              <w:rPr>
                <w:sz w:val="1"/>
                <w:szCs w:val="1"/>
                <w:color w:val="auto"/>
              </w:rPr>
            </w:pPr>
          </w:p>
        </w:tc>
      </w:tr>
      <w:tr>
        <w:trPr>
          <w:trHeight w:val="229"/>
        </w:trPr>
        <w:tc>
          <w:tcPr>
            <w:tcW w:w="7920" w:type="dxa"/>
            <w:vAlign w:val="bottom"/>
          </w:tcPr>
          <w:p>
            <w:pPr>
              <w:ind w:left="160"/>
              <w:spacing w:after="0"/>
              <w:rPr>
                <w:sz w:val="20"/>
                <w:szCs w:val="20"/>
                <w:color w:val="auto"/>
              </w:rPr>
            </w:pPr>
            <w:r>
              <w:rPr>
                <w:rFonts w:ascii="Arial" w:cs="Arial" w:eastAsia="Arial" w:hAnsi="Arial"/>
                <w:sz w:val="18"/>
                <w:szCs w:val="18"/>
                <w:color w:val="auto"/>
              </w:rPr>
              <w:t>Revaluation of acquisition-related contingent consideration</w:t>
            </w:r>
          </w:p>
        </w:tc>
        <w:tc>
          <w:tcPr>
            <w:tcW w:w="14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2,167</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(5,383)</w:t>
            </w:r>
          </w:p>
        </w:tc>
        <w:tc>
          <w:tcPr>
            <w:tcW w:w="0" w:type="dxa"/>
            <w:vAlign w:val="bottom"/>
          </w:tcPr>
          <w:p>
            <w:pPr>
              <w:spacing w:after="0"/>
              <w:rPr>
                <w:sz w:val="1"/>
                <w:szCs w:val="1"/>
                <w:color w:val="auto"/>
              </w:rPr>
            </w:pPr>
          </w:p>
        </w:tc>
      </w:tr>
      <w:tr>
        <w:trPr>
          <w:trHeight w:val="229"/>
        </w:trPr>
        <w:tc>
          <w:tcPr>
            <w:tcW w:w="7920" w:type="dxa"/>
            <w:vAlign w:val="bottom"/>
          </w:tcPr>
          <w:p>
            <w:pPr>
              <w:ind w:left="160"/>
              <w:spacing w:after="0"/>
              <w:rPr>
                <w:sz w:val="20"/>
                <w:szCs w:val="20"/>
                <w:color w:val="auto"/>
              </w:rPr>
            </w:pPr>
            <w:r>
              <w:rPr>
                <w:rFonts w:ascii="Arial" w:cs="Arial" w:eastAsia="Arial" w:hAnsi="Arial"/>
                <w:sz w:val="18"/>
                <w:szCs w:val="18"/>
                <w:color w:val="auto"/>
              </w:rPr>
              <w:t>Impairment loss</w:t>
            </w:r>
          </w:p>
        </w:tc>
        <w:tc>
          <w:tcPr>
            <w:tcW w:w="14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3,368</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68,349</w:t>
            </w:r>
          </w:p>
        </w:tc>
        <w:tc>
          <w:tcPr>
            <w:tcW w:w="0" w:type="dxa"/>
            <w:vAlign w:val="bottom"/>
          </w:tcPr>
          <w:p>
            <w:pPr>
              <w:spacing w:after="0"/>
              <w:rPr>
                <w:sz w:val="1"/>
                <w:szCs w:val="1"/>
                <w:color w:val="auto"/>
              </w:rPr>
            </w:pPr>
          </w:p>
        </w:tc>
      </w:tr>
      <w:tr>
        <w:trPr>
          <w:trHeight w:val="230"/>
        </w:trPr>
        <w:tc>
          <w:tcPr>
            <w:tcW w:w="7920" w:type="dxa"/>
            <w:vAlign w:val="bottom"/>
          </w:tcPr>
          <w:p>
            <w:pPr>
              <w:ind w:left="160"/>
              <w:spacing w:after="0"/>
              <w:rPr>
                <w:sz w:val="20"/>
                <w:szCs w:val="20"/>
                <w:color w:val="auto"/>
              </w:rPr>
            </w:pPr>
            <w:r>
              <w:rPr>
                <w:rFonts w:ascii="Arial" w:cs="Arial" w:eastAsia="Arial" w:hAnsi="Arial"/>
                <w:sz w:val="18"/>
                <w:szCs w:val="18"/>
                <w:color w:val="auto"/>
              </w:rPr>
              <w:t>Effect of foreign currency on operations</w:t>
            </w:r>
          </w:p>
        </w:tc>
        <w:tc>
          <w:tcPr>
            <w:tcW w:w="14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2,110</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(1,096)</w:t>
            </w:r>
          </w:p>
        </w:tc>
        <w:tc>
          <w:tcPr>
            <w:tcW w:w="0" w:type="dxa"/>
            <w:vAlign w:val="bottom"/>
          </w:tcPr>
          <w:p>
            <w:pPr>
              <w:spacing w:after="0"/>
              <w:rPr>
                <w:sz w:val="1"/>
                <w:szCs w:val="1"/>
                <w:color w:val="auto"/>
              </w:rPr>
            </w:pPr>
          </w:p>
        </w:tc>
      </w:tr>
      <w:tr>
        <w:trPr>
          <w:trHeight w:val="229"/>
        </w:trPr>
        <w:tc>
          <w:tcPr>
            <w:tcW w:w="7920" w:type="dxa"/>
            <w:vAlign w:val="bottom"/>
          </w:tcPr>
          <w:p>
            <w:pPr>
              <w:spacing w:after="0"/>
              <w:rPr>
                <w:sz w:val="20"/>
                <w:szCs w:val="20"/>
                <w:color w:val="auto"/>
              </w:rPr>
            </w:pPr>
            <w:r>
              <w:rPr>
                <w:rFonts w:ascii="Arial" w:cs="Arial" w:eastAsia="Arial" w:hAnsi="Arial"/>
                <w:sz w:val="18"/>
                <w:szCs w:val="18"/>
                <w:color w:val="auto"/>
              </w:rPr>
              <w:t>Changes in operating assets and liabilities:</w:t>
            </w:r>
          </w:p>
        </w:tc>
        <w:tc>
          <w:tcPr>
            <w:tcW w:w="14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920" w:type="dxa"/>
            <w:vAlign w:val="bottom"/>
          </w:tcPr>
          <w:p>
            <w:pPr>
              <w:ind w:left="160"/>
              <w:spacing w:after="0"/>
              <w:rPr>
                <w:sz w:val="20"/>
                <w:szCs w:val="20"/>
                <w:color w:val="auto"/>
              </w:rPr>
            </w:pPr>
            <w:r>
              <w:rPr>
                <w:rFonts w:ascii="Arial" w:cs="Arial" w:eastAsia="Arial" w:hAnsi="Arial"/>
                <w:sz w:val="18"/>
                <w:szCs w:val="18"/>
                <w:color w:val="auto"/>
              </w:rPr>
              <w:t>Accounts receivable</w:t>
            </w:r>
          </w:p>
        </w:tc>
        <w:tc>
          <w:tcPr>
            <w:tcW w:w="14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(6,405)</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3,887</w:t>
            </w:r>
          </w:p>
        </w:tc>
        <w:tc>
          <w:tcPr>
            <w:tcW w:w="0" w:type="dxa"/>
            <w:vAlign w:val="bottom"/>
          </w:tcPr>
          <w:p>
            <w:pPr>
              <w:spacing w:after="0"/>
              <w:rPr>
                <w:sz w:val="1"/>
                <w:szCs w:val="1"/>
                <w:color w:val="auto"/>
              </w:rPr>
            </w:pPr>
          </w:p>
        </w:tc>
      </w:tr>
      <w:tr>
        <w:trPr>
          <w:trHeight w:val="229"/>
        </w:trPr>
        <w:tc>
          <w:tcPr>
            <w:tcW w:w="7920" w:type="dxa"/>
            <w:vAlign w:val="bottom"/>
          </w:tcPr>
          <w:p>
            <w:pPr>
              <w:ind w:left="160"/>
              <w:spacing w:after="0"/>
              <w:rPr>
                <w:sz w:val="20"/>
                <w:szCs w:val="20"/>
                <w:color w:val="auto"/>
              </w:rPr>
            </w:pPr>
            <w:r>
              <w:rPr>
                <w:rFonts w:ascii="Arial" w:cs="Arial" w:eastAsia="Arial" w:hAnsi="Arial"/>
                <w:sz w:val="18"/>
                <w:szCs w:val="18"/>
                <w:color w:val="auto"/>
              </w:rPr>
              <w:t>Supplies and inventory</w:t>
            </w:r>
          </w:p>
        </w:tc>
        <w:tc>
          <w:tcPr>
            <w:tcW w:w="14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(5,871)</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(1,694)</w:t>
            </w:r>
          </w:p>
        </w:tc>
        <w:tc>
          <w:tcPr>
            <w:tcW w:w="0" w:type="dxa"/>
            <w:vAlign w:val="bottom"/>
          </w:tcPr>
          <w:p>
            <w:pPr>
              <w:spacing w:after="0"/>
              <w:rPr>
                <w:sz w:val="1"/>
                <w:szCs w:val="1"/>
                <w:color w:val="auto"/>
              </w:rPr>
            </w:pPr>
          </w:p>
        </w:tc>
      </w:tr>
      <w:tr>
        <w:trPr>
          <w:trHeight w:val="229"/>
        </w:trPr>
        <w:tc>
          <w:tcPr>
            <w:tcW w:w="7920" w:type="dxa"/>
            <w:vAlign w:val="bottom"/>
          </w:tcPr>
          <w:p>
            <w:pPr>
              <w:ind w:left="160"/>
              <w:spacing w:after="0"/>
              <w:rPr>
                <w:sz w:val="20"/>
                <w:szCs w:val="20"/>
                <w:color w:val="auto"/>
              </w:rPr>
            </w:pPr>
            <w:r>
              <w:rPr>
                <w:rFonts w:ascii="Arial" w:cs="Arial" w:eastAsia="Arial" w:hAnsi="Arial"/>
                <w:sz w:val="18"/>
                <w:szCs w:val="18"/>
                <w:color w:val="auto"/>
              </w:rPr>
              <w:t>Prepaid expenses and other current assets</w:t>
            </w:r>
          </w:p>
        </w:tc>
        <w:tc>
          <w:tcPr>
            <w:tcW w:w="14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(1,296)</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(458)</w:t>
            </w:r>
          </w:p>
        </w:tc>
        <w:tc>
          <w:tcPr>
            <w:tcW w:w="0" w:type="dxa"/>
            <w:vAlign w:val="bottom"/>
          </w:tcPr>
          <w:p>
            <w:pPr>
              <w:spacing w:after="0"/>
              <w:rPr>
                <w:sz w:val="1"/>
                <w:szCs w:val="1"/>
                <w:color w:val="auto"/>
              </w:rPr>
            </w:pPr>
          </w:p>
        </w:tc>
      </w:tr>
      <w:tr>
        <w:trPr>
          <w:trHeight w:val="230"/>
        </w:trPr>
        <w:tc>
          <w:tcPr>
            <w:tcW w:w="7920" w:type="dxa"/>
            <w:vAlign w:val="bottom"/>
          </w:tcPr>
          <w:p>
            <w:pPr>
              <w:ind w:left="160"/>
              <w:spacing w:after="0"/>
              <w:rPr>
                <w:sz w:val="20"/>
                <w:szCs w:val="20"/>
                <w:color w:val="auto"/>
              </w:rPr>
            </w:pPr>
            <w:r>
              <w:rPr>
                <w:rFonts w:ascii="Arial" w:cs="Arial" w:eastAsia="Arial" w:hAnsi="Arial"/>
                <w:sz w:val="18"/>
                <w:szCs w:val="18"/>
                <w:color w:val="auto"/>
              </w:rPr>
              <w:t>Other assets</w:t>
            </w:r>
          </w:p>
        </w:tc>
        <w:tc>
          <w:tcPr>
            <w:tcW w:w="14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(1,576)</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(758)</w:t>
            </w:r>
          </w:p>
        </w:tc>
        <w:tc>
          <w:tcPr>
            <w:tcW w:w="0" w:type="dxa"/>
            <w:vAlign w:val="bottom"/>
          </w:tcPr>
          <w:p>
            <w:pPr>
              <w:spacing w:after="0"/>
              <w:rPr>
                <w:sz w:val="1"/>
                <w:szCs w:val="1"/>
                <w:color w:val="auto"/>
              </w:rPr>
            </w:pPr>
          </w:p>
        </w:tc>
      </w:tr>
      <w:tr>
        <w:trPr>
          <w:trHeight w:val="229"/>
        </w:trPr>
        <w:tc>
          <w:tcPr>
            <w:tcW w:w="7920" w:type="dxa"/>
            <w:vAlign w:val="bottom"/>
          </w:tcPr>
          <w:p>
            <w:pPr>
              <w:ind w:left="160"/>
              <w:spacing w:after="0"/>
              <w:rPr>
                <w:sz w:val="20"/>
                <w:szCs w:val="20"/>
                <w:color w:val="auto"/>
              </w:rPr>
            </w:pPr>
            <w:r>
              <w:rPr>
                <w:rFonts w:ascii="Arial" w:cs="Arial" w:eastAsia="Arial" w:hAnsi="Arial"/>
                <w:sz w:val="18"/>
                <w:szCs w:val="18"/>
                <w:color w:val="auto"/>
              </w:rPr>
              <w:t>Operating lease liabilities</w:t>
            </w:r>
          </w:p>
        </w:tc>
        <w:tc>
          <w:tcPr>
            <w:tcW w:w="14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(5,407)</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(4,330)</w:t>
            </w:r>
          </w:p>
        </w:tc>
        <w:tc>
          <w:tcPr>
            <w:tcW w:w="0" w:type="dxa"/>
            <w:vAlign w:val="bottom"/>
          </w:tcPr>
          <w:p>
            <w:pPr>
              <w:spacing w:after="0"/>
              <w:rPr>
                <w:sz w:val="1"/>
                <w:szCs w:val="1"/>
                <w:color w:val="auto"/>
              </w:rPr>
            </w:pPr>
          </w:p>
        </w:tc>
      </w:tr>
      <w:tr>
        <w:trPr>
          <w:trHeight w:val="230"/>
        </w:trPr>
        <w:tc>
          <w:tcPr>
            <w:tcW w:w="7920" w:type="dxa"/>
            <w:vAlign w:val="bottom"/>
          </w:tcPr>
          <w:p>
            <w:pPr>
              <w:ind w:left="160"/>
              <w:spacing w:after="0"/>
              <w:rPr>
                <w:sz w:val="20"/>
                <w:szCs w:val="20"/>
                <w:color w:val="auto"/>
              </w:rPr>
            </w:pPr>
            <w:r>
              <w:rPr>
                <w:rFonts w:ascii="Arial" w:cs="Arial" w:eastAsia="Arial" w:hAnsi="Arial"/>
                <w:sz w:val="18"/>
                <w:szCs w:val="18"/>
                <w:color w:val="auto"/>
              </w:rPr>
              <w:t>Accounts payable</w:t>
            </w:r>
          </w:p>
        </w:tc>
        <w:tc>
          <w:tcPr>
            <w:tcW w:w="14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(4,305)</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(134)</w:t>
            </w:r>
          </w:p>
        </w:tc>
        <w:tc>
          <w:tcPr>
            <w:tcW w:w="0" w:type="dxa"/>
            <w:vAlign w:val="bottom"/>
          </w:tcPr>
          <w:p>
            <w:pPr>
              <w:spacing w:after="0"/>
              <w:rPr>
                <w:sz w:val="1"/>
                <w:szCs w:val="1"/>
                <w:color w:val="auto"/>
              </w:rPr>
            </w:pPr>
          </w:p>
        </w:tc>
      </w:tr>
      <w:tr>
        <w:trPr>
          <w:trHeight w:val="235"/>
        </w:trPr>
        <w:tc>
          <w:tcPr>
            <w:tcW w:w="7920" w:type="dxa"/>
            <w:vAlign w:val="bottom"/>
          </w:tcPr>
          <w:p>
            <w:pPr>
              <w:ind w:left="160"/>
              <w:spacing w:after="0"/>
              <w:rPr>
                <w:sz w:val="20"/>
                <w:szCs w:val="20"/>
                <w:color w:val="auto"/>
              </w:rPr>
            </w:pPr>
            <w:r>
              <w:rPr>
                <w:rFonts w:ascii="Arial" w:cs="Arial" w:eastAsia="Arial" w:hAnsi="Arial"/>
                <w:sz w:val="18"/>
                <w:szCs w:val="18"/>
                <w:color w:val="auto"/>
              </w:rPr>
              <w:t>Accrued liabilities and deferred revenue</w:t>
            </w:r>
          </w:p>
        </w:tc>
        <w:tc>
          <w:tcPr>
            <w:tcW w:w="14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3,541</w:t>
            </w:r>
          </w:p>
        </w:tc>
        <w:tc>
          <w:tcPr>
            <w:tcW w:w="10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(676)</w:t>
            </w:r>
          </w:p>
        </w:tc>
        <w:tc>
          <w:tcPr>
            <w:tcW w:w="0" w:type="dxa"/>
            <w:vAlign w:val="bottom"/>
          </w:tcPr>
          <w:p>
            <w:pPr>
              <w:spacing w:after="0"/>
              <w:rPr>
                <w:sz w:val="1"/>
                <w:szCs w:val="1"/>
                <w:color w:val="auto"/>
              </w:rPr>
            </w:pPr>
          </w:p>
        </w:tc>
      </w:tr>
      <w:tr>
        <w:trPr>
          <w:trHeight w:val="223"/>
        </w:trPr>
        <w:tc>
          <w:tcPr>
            <w:tcW w:w="7920" w:type="dxa"/>
            <w:vAlign w:val="bottom"/>
          </w:tcPr>
          <w:p>
            <w:pPr>
              <w:spacing w:after="0"/>
              <w:rPr>
                <w:sz w:val="20"/>
                <w:szCs w:val="20"/>
                <w:color w:val="auto"/>
              </w:rPr>
            </w:pPr>
            <w:r>
              <w:rPr>
                <w:rFonts w:ascii="Arial" w:cs="Arial" w:eastAsia="Arial" w:hAnsi="Arial"/>
                <w:sz w:val="18"/>
                <w:szCs w:val="18"/>
                <w:color w:val="auto"/>
              </w:rPr>
              <w:t>Net cash provided by operating activities</w:t>
            </w:r>
          </w:p>
        </w:tc>
        <w:tc>
          <w:tcPr>
            <w:tcW w:w="14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75,096</w:t>
            </w:r>
          </w:p>
        </w:tc>
        <w:tc>
          <w:tcPr>
            <w:tcW w:w="10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44,222</w:t>
            </w:r>
          </w:p>
        </w:tc>
        <w:tc>
          <w:tcPr>
            <w:tcW w:w="0" w:type="dxa"/>
            <w:vAlign w:val="bottom"/>
          </w:tcPr>
          <w:p>
            <w:pPr>
              <w:spacing w:after="0"/>
              <w:rPr>
                <w:sz w:val="1"/>
                <w:szCs w:val="1"/>
                <w:color w:val="auto"/>
              </w:rPr>
            </w:pPr>
          </w:p>
        </w:tc>
      </w:tr>
      <w:tr>
        <w:trPr>
          <w:trHeight w:val="204"/>
        </w:trPr>
        <w:tc>
          <w:tcPr>
            <w:tcW w:w="7920" w:type="dxa"/>
            <w:vAlign w:val="bottom"/>
          </w:tcPr>
          <w:p>
            <w:pPr>
              <w:spacing w:after="0" w:line="204" w:lineRule="exact"/>
              <w:rPr>
                <w:sz w:val="20"/>
                <w:szCs w:val="20"/>
                <w:color w:val="auto"/>
              </w:rPr>
            </w:pPr>
            <w:r>
              <w:rPr>
                <w:rFonts w:ascii="Arial" w:cs="Arial" w:eastAsia="Arial" w:hAnsi="Arial"/>
                <w:sz w:val="18"/>
                <w:szCs w:val="18"/>
                <w:b w:val="1"/>
                <w:bCs w:val="1"/>
                <w:color w:val="auto"/>
              </w:rPr>
              <w:t>Investing activities</w:t>
            </w:r>
          </w:p>
        </w:tc>
        <w:tc>
          <w:tcPr>
            <w:tcW w:w="14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7920" w:type="dxa"/>
            <w:vAlign w:val="bottom"/>
          </w:tcPr>
          <w:p>
            <w:pPr>
              <w:spacing w:after="0"/>
              <w:rPr>
                <w:sz w:val="20"/>
                <w:szCs w:val="20"/>
                <w:color w:val="auto"/>
              </w:rPr>
            </w:pPr>
            <w:r>
              <w:rPr>
                <w:rFonts w:ascii="Arial" w:cs="Arial" w:eastAsia="Arial" w:hAnsi="Arial"/>
                <w:sz w:val="18"/>
                <w:szCs w:val="18"/>
                <w:color w:val="auto"/>
              </w:rPr>
              <w:t>Acquisition of C2i, net of cash acquired</w:t>
            </w:r>
          </w:p>
        </w:tc>
        <w:tc>
          <w:tcPr>
            <w:tcW w:w="14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5,012</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7920" w:type="dxa"/>
            <w:vAlign w:val="bottom"/>
          </w:tcPr>
          <w:p>
            <w:pPr>
              <w:spacing w:after="0"/>
              <w:rPr>
                <w:sz w:val="20"/>
                <w:szCs w:val="20"/>
                <w:color w:val="auto"/>
              </w:rPr>
            </w:pPr>
            <w:r>
              <w:rPr>
                <w:rFonts w:ascii="Arial" w:cs="Arial" w:eastAsia="Arial" w:hAnsi="Arial"/>
                <w:sz w:val="18"/>
                <w:szCs w:val="18"/>
                <w:color w:val="auto"/>
              </w:rPr>
              <w:t>Purchase of short-term investments</w:t>
            </w:r>
          </w:p>
        </w:tc>
        <w:tc>
          <w:tcPr>
            <w:tcW w:w="14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(50,000)</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(19,700)</w:t>
            </w:r>
          </w:p>
        </w:tc>
        <w:tc>
          <w:tcPr>
            <w:tcW w:w="0" w:type="dxa"/>
            <w:vAlign w:val="bottom"/>
          </w:tcPr>
          <w:p>
            <w:pPr>
              <w:spacing w:after="0"/>
              <w:rPr>
                <w:sz w:val="1"/>
                <w:szCs w:val="1"/>
                <w:color w:val="auto"/>
              </w:rPr>
            </w:pPr>
          </w:p>
        </w:tc>
      </w:tr>
      <w:tr>
        <w:trPr>
          <w:trHeight w:val="230"/>
        </w:trPr>
        <w:tc>
          <w:tcPr>
            <w:tcW w:w="7920" w:type="dxa"/>
            <w:vAlign w:val="bottom"/>
          </w:tcPr>
          <w:p>
            <w:pPr>
              <w:spacing w:after="0"/>
              <w:rPr>
                <w:sz w:val="20"/>
                <w:szCs w:val="20"/>
                <w:color w:val="auto"/>
              </w:rPr>
            </w:pPr>
            <w:r>
              <w:rPr>
                <w:rFonts w:ascii="Arial" w:cs="Arial" w:eastAsia="Arial" w:hAnsi="Arial"/>
                <w:sz w:val="18"/>
                <w:szCs w:val="18"/>
                <w:color w:val="auto"/>
              </w:rPr>
              <w:t>Proceeds from sale of short-term investments</w:t>
            </w:r>
          </w:p>
        </w:tc>
        <w:tc>
          <w:tcPr>
            <w:tcW w:w="140" w:type="dxa"/>
            <w:vAlign w:val="bottom"/>
          </w:tcPr>
          <w:p>
            <w:pPr>
              <w:spacing w:after="0"/>
              <w:rPr>
                <w:sz w:val="19"/>
                <w:szCs w:val="19"/>
                <w:color w:val="auto"/>
              </w:rPr>
            </w:pPr>
          </w:p>
        </w:tc>
        <w:tc>
          <w:tcPr>
            <w:tcW w:w="15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39,773</w:t>
            </w:r>
          </w:p>
        </w:tc>
        <w:tc>
          <w:tcPr>
            <w:tcW w:w="0" w:type="dxa"/>
            <w:vAlign w:val="bottom"/>
          </w:tcPr>
          <w:p>
            <w:pPr>
              <w:spacing w:after="0"/>
              <w:rPr>
                <w:sz w:val="1"/>
                <w:szCs w:val="1"/>
                <w:color w:val="auto"/>
              </w:rPr>
            </w:pPr>
          </w:p>
        </w:tc>
      </w:tr>
      <w:tr>
        <w:trPr>
          <w:trHeight w:val="230"/>
        </w:trPr>
        <w:tc>
          <w:tcPr>
            <w:tcW w:w="7920" w:type="dxa"/>
            <w:vAlign w:val="bottom"/>
          </w:tcPr>
          <w:p>
            <w:pPr>
              <w:spacing w:after="0"/>
              <w:rPr>
                <w:sz w:val="20"/>
                <w:szCs w:val="20"/>
                <w:color w:val="auto"/>
              </w:rPr>
            </w:pPr>
            <w:r>
              <w:rPr>
                <w:rFonts w:ascii="Arial" w:cs="Arial" w:eastAsia="Arial" w:hAnsi="Arial"/>
                <w:sz w:val="18"/>
                <w:szCs w:val="18"/>
                <w:color w:val="auto"/>
              </w:rPr>
              <w:t>Proceeds from maturity of short-term investments</w:t>
            </w:r>
          </w:p>
        </w:tc>
        <w:tc>
          <w:tcPr>
            <w:tcW w:w="140" w:type="dxa"/>
            <w:vAlign w:val="bottom"/>
          </w:tcPr>
          <w:p>
            <w:pPr>
              <w:spacing w:after="0"/>
              <w:rPr>
                <w:sz w:val="19"/>
                <w:szCs w:val="19"/>
                <w:color w:val="auto"/>
              </w:rPr>
            </w:pPr>
          </w:p>
        </w:tc>
        <w:tc>
          <w:tcPr>
            <w:tcW w:w="15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5,000</w:t>
            </w:r>
          </w:p>
        </w:tc>
        <w:tc>
          <w:tcPr>
            <w:tcW w:w="0" w:type="dxa"/>
            <w:vAlign w:val="bottom"/>
          </w:tcPr>
          <w:p>
            <w:pPr>
              <w:spacing w:after="0"/>
              <w:rPr>
                <w:sz w:val="1"/>
                <w:szCs w:val="1"/>
                <w:color w:val="auto"/>
              </w:rPr>
            </w:pPr>
          </w:p>
        </w:tc>
      </w:tr>
      <w:tr>
        <w:trPr>
          <w:trHeight w:val="235"/>
        </w:trPr>
        <w:tc>
          <w:tcPr>
            <w:tcW w:w="7920" w:type="dxa"/>
            <w:vAlign w:val="bottom"/>
          </w:tcPr>
          <w:p>
            <w:pPr>
              <w:spacing w:after="0"/>
              <w:rPr>
                <w:sz w:val="20"/>
                <w:szCs w:val="20"/>
                <w:color w:val="auto"/>
              </w:rPr>
            </w:pPr>
            <w:r>
              <w:rPr>
                <w:rFonts w:ascii="Arial" w:cs="Arial" w:eastAsia="Arial" w:hAnsi="Arial"/>
                <w:sz w:val="18"/>
                <w:szCs w:val="18"/>
                <w:color w:val="auto"/>
              </w:rPr>
              <w:t>Purchases of property, plant and equipment</w:t>
            </w:r>
          </w:p>
        </w:tc>
        <w:tc>
          <w:tcPr>
            <w:tcW w:w="14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(11,287)</w:t>
            </w:r>
          </w:p>
        </w:tc>
        <w:tc>
          <w:tcPr>
            <w:tcW w:w="10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(9,961)</w:t>
            </w:r>
          </w:p>
        </w:tc>
        <w:tc>
          <w:tcPr>
            <w:tcW w:w="0" w:type="dxa"/>
            <w:vAlign w:val="bottom"/>
          </w:tcPr>
          <w:p>
            <w:pPr>
              <w:spacing w:after="0"/>
              <w:rPr>
                <w:sz w:val="1"/>
                <w:szCs w:val="1"/>
                <w:color w:val="auto"/>
              </w:rPr>
            </w:pPr>
          </w:p>
        </w:tc>
      </w:tr>
      <w:tr>
        <w:trPr>
          <w:trHeight w:val="223"/>
        </w:trPr>
        <w:tc>
          <w:tcPr>
            <w:tcW w:w="7920" w:type="dxa"/>
            <w:vAlign w:val="bottom"/>
          </w:tcPr>
          <w:p>
            <w:pPr>
              <w:spacing w:after="0"/>
              <w:rPr>
                <w:sz w:val="20"/>
                <w:szCs w:val="20"/>
                <w:color w:val="auto"/>
              </w:rPr>
            </w:pPr>
            <w:r>
              <w:rPr>
                <w:rFonts w:ascii="Arial" w:cs="Arial" w:eastAsia="Arial" w:hAnsi="Arial"/>
                <w:sz w:val="18"/>
                <w:szCs w:val="18"/>
                <w:color w:val="auto"/>
              </w:rPr>
              <w:t>Net cash (used in) provided by investing activities</w:t>
            </w:r>
          </w:p>
        </w:tc>
        <w:tc>
          <w:tcPr>
            <w:tcW w:w="14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(56,275)</w:t>
            </w:r>
          </w:p>
        </w:tc>
        <w:tc>
          <w:tcPr>
            <w:tcW w:w="10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15,112</w:t>
            </w:r>
          </w:p>
        </w:tc>
        <w:tc>
          <w:tcPr>
            <w:tcW w:w="0" w:type="dxa"/>
            <w:vAlign w:val="bottom"/>
          </w:tcPr>
          <w:p>
            <w:pPr>
              <w:spacing w:after="0"/>
              <w:rPr>
                <w:sz w:val="1"/>
                <w:szCs w:val="1"/>
                <w:color w:val="auto"/>
              </w:rPr>
            </w:pPr>
          </w:p>
        </w:tc>
      </w:tr>
      <w:tr>
        <w:trPr>
          <w:trHeight w:val="204"/>
        </w:trPr>
        <w:tc>
          <w:tcPr>
            <w:tcW w:w="7920" w:type="dxa"/>
            <w:vAlign w:val="bottom"/>
          </w:tcPr>
          <w:p>
            <w:pPr>
              <w:spacing w:after="0" w:line="204" w:lineRule="exact"/>
              <w:rPr>
                <w:sz w:val="20"/>
                <w:szCs w:val="20"/>
                <w:color w:val="auto"/>
              </w:rPr>
            </w:pPr>
            <w:r>
              <w:rPr>
                <w:rFonts w:ascii="Arial" w:cs="Arial" w:eastAsia="Arial" w:hAnsi="Arial"/>
                <w:sz w:val="18"/>
                <w:szCs w:val="18"/>
                <w:b w:val="1"/>
                <w:bCs w:val="1"/>
                <w:color w:val="auto"/>
              </w:rPr>
              <w:t>Financing activities</w:t>
            </w:r>
          </w:p>
        </w:tc>
        <w:tc>
          <w:tcPr>
            <w:tcW w:w="14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7920" w:type="dxa"/>
            <w:vAlign w:val="bottom"/>
          </w:tcPr>
          <w:p>
            <w:pPr>
              <w:spacing w:after="0"/>
              <w:rPr>
                <w:sz w:val="20"/>
                <w:szCs w:val="20"/>
                <w:color w:val="auto"/>
              </w:rPr>
            </w:pPr>
            <w:r>
              <w:rPr>
                <w:rFonts w:ascii="Arial" w:cs="Arial" w:eastAsia="Arial" w:hAnsi="Arial"/>
                <w:sz w:val="18"/>
                <w:szCs w:val="18"/>
                <w:color w:val="auto"/>
              </w:rPr>
              <w:t>Payment of contingent consideration for acquisition</w:t>
            </w:r>
          </w:p>
        </w:tc>
        <w:tc>
          <w:tcPr>
            <w:tcW w:w="14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(4,500)</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7920" w:type="dxa"/>
            <w:vAlign w:val="bottom"/>
          </w:tcPr>
          <w:p>
            <w:pPr>
              <w:spacing w:after="0"/>
              <w:rPr>
                <w:sz w:val="20"/>
                <w:szCs w:val="20"/>
                <w:color w:val="auto"/>
              </w:rPr>
            </w:pPr>
            <w:r>
              <w:rPr>
                <w:rFonts w:ascii="Arial" w:cs="Arial" w:eastAsia="Arial" w:hAnsi="Arial"/>
                <w:sz w:val="18"/>
                <w:szCs w:val="18"/>
                <w:color w:val="auto"/>
              </w:rPr>
              <w:t>Payment of taxes on vested restricted stock units</w:t>
            </w:r>
          </w:p>
        </w:tc>
        <w:tc>
          <w:tcPr>
            <w:tcW w:w="14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(10,589)</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(6,741)</w:t>
            </w:r>
          </w:p>
        </w:tc>
        <w:tc>
          <w:tcPr>
            <w:tcW w:w="0" w:type="dxa"/>
            <w:vAlign w:val="bottom"/>
          </w:tcPr>
          <w:p>
            <w:pPr>
              <w:spacing w:after="0"/>
              <w:rPr>
                <w:sz w:val="1"/>
                <w:szCs w:val="1"/>
                <w:color w:val="auto"/>
              </w:rPr>
            </w:pPr>
          </w:p>
        </w:tc>
      </w:tr>
      <w:tr>
        <w:trPr>
          <w:trHeight w:val="235"/>
        </w:trPr>
        <w:tc>
          <w:tcPr>
            <w:tcW w:w="7920" w:type="dxa"/>
            <w:vAlign w:val="bottom"/>
          </w:tcPr>
          <w:p>
            <w:pPr>
              <w:spacing w:after="0"/>
              <w:rPr>
                <w:sz w:val="20"/>
                <w:szCs w:val="20"/>
                <w:color w:val="auto"/>
              </w:rPr>
            </w:pPr>
            <w:r>
              <w:rPr>
                <w:rFonts w:ascii="Arial" w:cs="Arial" w:eastAsia="Arial" w:hAnsi="Arial"/>
                <w:sz w:val="18"/>
                <w:szCs w:val="18"/>
                <w:color w:val="auto"/>
              </w:rPr>
              <w:t>Proceeds from the exercise of common stock options and employee stock purchases</w:t>
            </w:r>
          </w:p>
        </w:tc>
        <w:tc>
          <w:tcPr>
            <w:tcW w:w="14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19,993</w:t>
            </w:r>
          </w:p>
        </w:tc>
        <w:tc>
          <w:tcPr>
            <w:tcW w:w="10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9,578</w:t>
            </w:r>
          </w:p>
        </w:tc>
        <w:tc>
          <w:tcPr>
            <w:tcW w:w="0" w:type="dxa"/>
            <w:vAlign w:val="bottom"/>
          </w:tcPr>
          <w:p>
            <w:pPr>
              <w:spacing w:after="0"/>
              <w:rPr>
                <w:sz w:val="1"/>
                <w:szCs w:val="1"/>
                <w:color w:val="auto"/>
              </w:rPr>
            </w:pPr>
          </w:p>
        </w:tc>
      </w:tr>
      <w:tr>
        <w:trPr>
          <w:trHeight w:val="223"/>
        </w:trPr>
        <w:tc>
          <w:tcPr>
            <w:tcW w:w="7920" w:type="dxa"/>
            <w:vAlign w:val="bottom"/>
          </w:tcPr>
          <w:p>
            <w:pPr>
              <w:spacing w:after="0"/>
              <w:rPr>
                <w:sz w:val="20"/>
                <w:szCs w:val="20"/>
                <w:color w:val="auto"/>
              </w:rPr>
            </w:pPr>
            <w:r>
              <w:rPr>
                <w:rFonts w:ascii="Arial" w:cs="Arial" w:eastAsia="Arial" w:hAnsi="Arial"/>
                <w:sz w:val="18"/>
                <w:szCs w:val="18"/>
                <w:color w:val="auto"/>
              </w:rPr>
              <w:t>Net cash provided by financing activities</w:t>
            </w:r>
          </w:p>
        </w:tc>
        <w:tc>
          <w:tcPr>
            <w:tcW w:w="14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4,904</w:t>
            </w:r>
          </w:p>
        </w:tc>
        <w:tc>
          <w:tcPr>
            <w:tcW w:w="10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2,837</w:t>
            </w:r>
          </w:p>
        </w:tc>
        <w:tc>
          <w:tcPr>
            <w:tcW w:w="0" w:type="dxa"/>
            <w:vAlign w:val="bottom"/>
          </w:tcPr>
          <w:p>
            <w:pPr>
              <w:spacing w:after="0"/>
              <w:rPr>
                <w:sz w:val="1"/>
                <w:szCs w:val="1"/>
                <w:color w:val="auto"/>
              </w:rPr>
            </w:pPr>
          </w:p>
        </w:tc>
      </w:tr>
      <w:tr>
        <w:trPr>
          <w:trHeight w:val="218"/>
        </w:trPr>
        <w:tc>
          <w:tcPr>
            <w:tcW w:w="7920" w:type="dxa"/>
            <w:vAlign w:val="bottom"/>
          </w:tcPr>
          <w:p>
            <w:pPr>
              <w:spacing w:after="0"/>
              <w:rPr>
                <w:sz w:val="20"/>
                <w:szCs w:val="20"/>
                <w:color w:val="auto"/>
              </w:rPr>
            </w:pPr>
            <w:r>
              <w:rPr>
                <w:rFonts w:ascii="Arial" w:cs="Arial" w:eastAsia="Arial" w:hAnsi="Arial"/>
                <w:sz w:val="18"/>
                <w:szCs w:val="18"/>
                <w:b w:val="1"/>
                <w:bCs w:val="1"/>
                <w:color w:val="auto"/>
              </w:rPr>
              <w:t>Increase in cash, cash equivalents and restricted cash</w:t>
            </w:r>
          </w:p>
        </w:tc>
        <w:tc>
          <w:tcPr>
            <w:tcW w:w="14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23,725</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62,171</w:t>
            </w:r>
          </w:p>
        </w:tc>
        <w:tc>
          <w:tcPr>
            <w:tcW w:w="0" w:type="dxa"/>
            <w:vAlign w:val="bottom"/>
          </w:tcPr>
          <w:p>
            <w:pPr>
              <w:spacing w:after="0"/>
              <w:rPr>
                <w:sz w:val="1"/>
                <w:szCs w:val="1"/>
                <w:color w:val="auto"/>
              </w:rPr>
            </w:pPr>
          </w:p>
        </w:tc>
      </w:tr>
      <w:tr>
        <w:trPr>
          <w:trHeight w:val="235"/>
        </w:trPr>
        <w:tc>
          <w:tcPr>
            <w:tcW w:w="7920" w:type="dxa"/>
            <w:vAlign w:val="bottom"/>
          </w:tcPr>
          <w:p>
            <w:pPr>
              <w:spacing w:after="0"/>
              <w:rPr>
                <w:sz w:val="20"/>
                <w:szCs w:val="20"/>
                <w:color w:val="auto"/>
              </w:rPr>
            </w:pPr>
            <w:r>
              <w:rPr>
                <w:rFonts w:ascii="Arial" w:cs="Arial" w:eastAsia="Arial" w:hAnsi="Arial"/>
                <w:sz w:val="18"/>
                <w:szCs w:val="18"/>
                <w:b w:val="1"/>
                <w:bCs w:val="1"/>
                <w:color w:val="auto"/>
              </w:rPr>
              <w:t>Effect of foreign currency on cash, cash equivalents and restricted cash</w:t>
            </w:r>
          </w:p>
        </w:tc>
        <w:tc>
          <w:tcPr>
            <w:tcW w:w="14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(424)</w:t>
            </w:r>
          </w:p>
        </w:tc>
        <w:tc>
          <w:tcPr>
            <w:tcW w:w="10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163</w:t>
            </w:r>
          </w:p>
        </w:tc>
        <w:tc>
          <w:tcPr>
            <w:tcW w:w="0" w:type="dxa"/>
            <w:vAlign w:val="bottom"/>
          </w:tcPr>
          <w:p>
            <w:pPr>
              <w:spacing w:after="0"/>
              <w:rPr>
                <w:sz w:val="1"/>
                <w:szCs w:val="1"/>
                <w:color w:val="auto"/>
              </w:rPr>
            </w:pPr>
          </w:p>
        </w:tc>
      </w:tr>
      <w:tr>
        <w:trPr>
          <w:trHeight w:val="218"/>
        </w:trPr>
        <w:tc>
          <w:tcPr>
            <w:tcW w:w="7920" w:type="dxa"/>
            <w:vAlign w:val="bottom"/>
          </w:tcPr>
          <w:p>
            <w:pPr>
              <w:spacing w:after="0"/>
              <w:rPr>
                <w:sz w:val="20"/>
                <w:szCs w:val="20"/>
                <w:color w:val="auto"/>
              </w:rPr>
            </w:pPr>
            <w:r>
              <w:rPr>
                <w:rFonts w:ascii="Arial" w:cs="Arial" w:eastAsia="Arial" w:hAnsi="Arial"/>
                <w:sz w:val="18"/>
                <w:szCs w:val="18"/>
                <w:b w:val="1"/>
                <w:bCs w:val="1"/>
                <w:color w:val="auto"/>
              </w:rPr>
              <w:t>Net increase in cash, cash equivalents and restricted cash</w:t>
            </w:r>
          </w:p>
        </w:tc>
        <w:tc>
          <w:tcPr>
            <w:tcW w:w="14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23,301</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62,334</w:t>
            </w:r>
          </w:p>
        </w:tc>
        <w:tc>
          <w:tcPr>
            <w:tcW w:w="0" w:type="dxa"/>
            <w:vAlign w:val="bottom"/>
          </w:tcPr>
          <w:p>
            <w:pPr>
              <w:spacing w:after="0"/>
              <w:rPr>
                <w:sz w:val="1"/>
                <w:szCs w:val="1"/>
                <w:color w:val="auto"/>
              </w:rPr>
            </w:pPr>
          </w:p>
        </w:tc>
      </w:tr>
      <w:tr>
        <w:trPr>
          <w:trHeight w:val="235"/>
        </w:trPr>
        <w:tc>
          <w:tcPr>
            <w:tcW w:w="7920" w:type="dxa"/>
            <w:vAlign w:val="bottom"/>
          </w:tcPr>
          <w:p>
            <w:pPr>
              <w:spacing w:after="0"/>
              <w:rPr>
                <w:sz w:val="20"/>
                <w:szCs w:val="20"/>
                <w:color w:val="auto"/>
              </w:rPr>
            </w:pPr>
            <w:r>
              <w:rPr>
                <w:rFonts w:ascii="Arial" w:cs="Arial" w:eastAsia="Arial" w:hAnsi="Arial"/>
                <w:sz w:val="18"/>
                <w:szCs w:val="18"/>
                <w:b w:val="1"/>
                <w:bCs w:val="1"/>
                <w:color w:val="auto"/>
              </w:rPr>
              <w:t>Cash, cash equivalents and restricted cash at beginning of period</w:t>
            </w:r>
          </w:p>
        </w:tc>
        <w:tc>
          <w:tcPr>
            <w:tcW w:w="14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217,330</w:t>
            </w:r>
          </w:p>
        </w:tc>
        <w:tc>
          <w:tcPr>
            <w:tcW w:w="10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154,996</w:t>
            </w:r>
          </w:p>
        </w:tc>
        <w:tc>
          <w:tcPr>
            <w:tcW w:w="0" w:type="dxa"/>
            <w:vAlign w:val="bottom"/>
          </w:tcPr>
          <w:p>
            <w:pPr>
              <w:spacing w:after="0"/>
              <w:rPr>
                <w:sz w:val="1"/>
                <w:szCs w:val="1"/>
                <w:color w:val="auto"/>
              </w:rPr>
            </w:pPr>
          </w:p>
        </w:tc>
      </w:tr>
      <w:tr>
        <w:trPr>
          <w:trHeight w:val="223"/>
        </w:trPr>
        <w:tc>
          <w:tcPr>
            <w:tcW w:w="7920" w:type="dxa"/>
            <w:vAlign w:val="bottom"/>
          </w:tcPr>
          <w:p>
            <w:pPr>
              <w:spacing w:after="0"/>
              <w:rPr>
                <w:sz w:val="20"/>
                <w:szCs w:val="20"/>
                <w:color w:val="auto"/>
              </w:rPr>
            </w:pPr>
            <w:r>
              <w:rPr>
                <w:rFonts w:ascii="Arial" w:cs="Arial" w:eastAsia="Arial" w:hAnsi="Arial"/>
                <w:sz w:val="18"/>
                <w:szCs w:val="18"/>
                <w:b w:val="1"/>
                <w:bCs w:val="1"/>
                <w:color w:val="auto"/>
              </w:rPr>
              <w:t>Cash, cash equivalents and restricted cash at end of period</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240,631</w:t>
            </w:r>
          </w:p>
        </w:tc>
        <w:tc>
          <w:tcPr>
            <w:tcW w:w="100" w:type="dxa"/>
            <w:vAlign w:val="bottom"/>
          </w:tcPr>
          <w:p>
            <w:pPr>
              <w:spacing w:after="0"/>
              <w:rPr>
                <w:sz w:val="19"/>
                <w:szCs w:val="19"/>
                <w:color w:val="auto"/>
              </w:rPr>
            </w:pPr>
          </w:p>
        </w:tc>
        <w:tc>
          <w:tcPr>
            <w:tcW w:w="3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217,330</w:t>
            </w:r>
          </w:p>
        </w:tc>
        <w:tc>
          <w:tcPr>
            <w:tcW w:w="0" w:type="dxa"/>
            <w:vAlign w:val="bottom"/>
          </w:tcPr>
          <w:p>
            <w:pPr>
              <w:spacing w:after="0"/>
              <w:rPr>
                <w:sz w:val="1"/>
                <w:szCs w:val="1"/>
                <w:color w:val="auto"/>
              </w:rPr>
            </w:pPr>
          </w:p>
        </w:tc>
      </w:tr>
      <w:tr>
        <w:trPr>
          <w:trHeight w:val="20"/>
        </w:trPr>
        <w:tc>
          <w:tcPr>
            <w:tcW w:w="79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ectPr>
          <w:pgSz w:w="11900" w:h="16838" w:orient="portrait"/>
          <w:cols w:equalWidth="0" w:num="1">
            <w:col w:w="11100"/>
          </w:cols>
          <w:pgMar w:left="400" w:top="1025" w:right="399" w:bottom="1440" w:gutter="0" w:footer="0" w:header="0"/>
        </w:sectPr>
      </w:pPr>
    </w:p>
    <w:bookmarkStart w:id="13" w:name="page14"/>
    <w:bookmarkEnd w:id="13"/>
    <w:p>
      <w:pPr>
        <w:jc w:val="center"/>
        <w:ind w:right="20"/>
        <w:spacing w:after="0"/>
        <w:rPr>
          <w:sz w:val="20"/>
          <w:szCs w:val="20"/>
          <w:color w:val="auto"/>
        </w:rPr>
      </w:pPr>
      <w:r>
        <w:rPr>
          <w:rFonts w:ascii="Arial" w:cs="Arial" w:eastAsia="Arial" w:hAnsi="Arial"/>
          <w:sz w:val="18"/>
          <w:szCs w:val="18"/>
          <w:color w:val="auto"/>
        </w:rPr>
        <w:t>CASH, CASH EQUIVALENTS AND RESTRICTED CASH</w:t>
      </w:r>
    </w:p>
    <w:p>
      <w:pPr>
        <w:spacing w:after="0" w:line="32"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(Unaudited)</w:t>
      </w:r>
    </w:p>
    <w:p>
      <w:pPr>
        <w:spacing w:after="0" w:line="23"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(In thousands)</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8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00" w:type="dxa"/>
            <w:vAlign w:val="bottom"/>
            <w:gridSpan w:val="2"/>
          </w:tcPr>
          <w:p>
            <w:pPr>
              <w:ind w:left="80"/>
              <w:spacing w:after="0"/>
              <w:rPr>
                <w:sz w:val="20"/>
                <w:szCs w:val="20"/>
                <w:color w:val="auto"/>
              </w:rPr>
            </w:pPr>
            <w:r>
              <w:rPr>
                <w:rFonts w:ascii="Arial" w:cs="Arial" w:eastAsia="Arial" w:hAnsi="Arial"/>
                <w:sz w:val="18"/>
                <w:szCs w:val="18"/>
                <w:color w:val="auto"/>
              </w:rPr>
              <w:t>December 31,</w:t>
            </w:r>
          </w:p>
        </w:tc>
        <w:tc>
          <w:tcPr>
            <w:tcW w:w="160" w:type="dxa"/>
            <w:vAlign w:val="bottom"/>
          </w:tcPr>
          <w:p>
            <w:pPr>
              <w:spacing w:after="0"/>
              <w:rPr>
                <w:sz w:val="19"/>
                <w:szCs w:val="19"/>
                <w:color w:val="auto"/>
              </w:rPr>
            </w:pPr>
          </w:p>
        </w:tc>
        <w:tc>
          <w:tcPr>
            <w:tcW w:w="1380" w:type="dxa"/>
            <w:vAlign w:val="bottom"/>
          </w:tcPr>
          <w:p>
            <w:pPr>
              <w:jc w:val="right"/>
              <w:ind w:right="110"/>
              <w:spacing w:after="0"/>
              <w:rPr>
                <w:sz w:val="20"/>
                <w:szCs w:val="20"/>
                <w:color w:val="auto"/>
              </w:rPr>
            </w:pPr>
            <w:r>
              <w:rPr>
                <w:rFonts w:ascii="Arial" w:cs="Arial" w:eastAsia="Arial" w:hAnsi="Arial"/>
                <w:sz w:val="18"/>
                <w:szCs w:val="18"/>
                <w:color w:val="auto"/>
              </w:rPr>
              <w:t>December 31,</w:t>
            </w:r>
          </w:p>
        </w:tc>
      </w:tr>
      <w:tr>
        <w:trPr>
          <w:trHeight w:val="242"/>
        </w:trPr>
        <w:tc>
          <w:tcPr>
            <w:tcW w:w="7880" w:type="dxa"/>
            <w:vAlign w:val="bottom"/>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500" w:type="dxa"/>
            <w:vAlign w:val="bottom"/>
            <w:tcBorders>
              <w:bottom w:val="single" w:sz="8" w:color="auto"/>
            </w:tcBorders>
          </w:tcPr>
          <w:p>
            <w:pPr>
              <w:jc w:val="right"/>
              <w:ind w:right="570"/>
              <w:spacing w:after="0"/>
              <w:rPr>
                <w:sz w:val="20"/>
                <w:szCs w:val="20"/>
                <w:color w:val="auto"/>
              </w:rPr>
            </w:pPr>
            <w:r>
              <w:rPr>
                <w:rFonts w:ascii="Arial" w:cs="Arial" w:eastAsia="Arial" w:hAnsi="Arial"/>
                <w:sz w:val="18"/>
                <w:szCs w:val="18"/>
                <w:color w:val="auto"/>
              </w:rPr>
              <w:t>2024</w:t>
            </w:r>
          </w:p>
        </w:tc>
        <w:tc>
          <w:tcPr>
            <w:tcW w:w="10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38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color w:val="auto"/>
              </w:rPr>
              <w:t>2023</w:t>
            </w:r>
          </w:p>
        </w:tc>
      </w:tr>
      <w:tr>
        <w:trPr>
          <w:trHeight w:val="224"/>
        </w:trPr>
        <w:tc>
          <w:tcPr>
            <w:tcW w:w="7880" w:type="dxa"/>
            <w:vAlign w:val="bottom"/>
          </w:tcPr>
          <w:p>
            <w:pPr>
              <w:spacing w:after="0"/>
              <w:rPr>
                <w:sz w:val="20"/>
                <w:szCs w:val="20"/>
                <w:color w:val="auto"/>
              </w:rPr>
            </w:pPr>
            <w:r>
              <w:rPr>
                <w:rFonts w:ascii="Arial" w:cs="Arial" w:eastAsia="Arial" w:hAnsi="Arial"/>
                <w:sz w:val="18"/>
                <w:szCs w:val="18"/>
                <w:color w:val="auto"/>
              </w:rPr>
              <w:t>Cash and cash equivalents</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500" w:type="dxa"/>
            <w:vAlign w:val="bottom"/>
          </w:tcPr>
          <w:p>
            <w:pPr>
              <w:jc w:val="right"/>
              <w:spacing w:after="0"/>
              <w:rPr>
                <w:sz w:val="20"/>
                <w:szCs w:val="20"/>
                <w:color w:val="auto"/>
              </w:rPr>
            </w:pPr>
            <w:r>
              <w:rPr>
                <w:rFonts w:ascii="Arial" w:cs="Arial" w:eastAsia="Arial" w:hAnsi="Arial"/>
                <w:sz w:val="18"/>
                <w:szCs w:val="18"/>
                <w:color w:val="auto"/>
              </w:rPr>
              <w:t>239,087</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80" w:type="dxa"/>
            <w:vAlign w:val="bottom"/>
          </w:tcPr>
          <w:p>
            <w:pPr>
              <w:jc w:val="right"/>
              <w:spacing w:after="0"/>
              <w:rPr>
                <w:sz w:val="20"/>
                <w:szCs w:val="20"/>
                <w:color w:val="auto"/>
              </w:rPr>
            </w:pPr>
            <w:r>
              <w:rPr>
                <w:rFonts w:ascii="Arial" w:cs="Arial" w:eastAsia="Arial" w:hAnsi="Arial"/>
                <w:sz w:val="18"/>
                <w:szCs w:val="18"/>
                <w:color w:val="auto"/>
              </w:rPr>
              <w:t>216,454</w:t>
            </w:r>
          </w:p>
        </w:tc>
      </w:tr>
      <w:tr>
        <w:trPr>
          <w:trHeight w:val="235"/>
        </w:trPr>
        <w:tc>
          <w:tcPr>
            <w:tcW w:w="7880" w:type="dxa"/>
            <w:vAlign w:val="bottom"/>
          </w:tcPr>
          <w:p>
            <w:pPr>
              <w:spacing w:after="0"/>
              <w:rPr>
                <w:sz w:val="20"/>
                <w:szCs w:val="20"/>
                <w:color w:val="auto"/>
              </w:rPr>
            </w:pPr>
            <w:r>
              <w:rPr>
                <w:rFonts w:ascii="Arial" w:cs="Arial" w:eastAsia="Arial" w:hAnsi="Arial"/>
                <w:sz w:val="18"/>
                <w:szCs w:val="18"/>
                <w:color w:val="auto"/>
              </w:rPr>
              <w:t>Restricted cash</w:t>
            </w:r>
          </w:p>
        </w:tc>
        <w:tc>
          <w:tcPr>
            <w:tcW w:w="200" w:type="dxa"/>
            <w:vAlign w:val="bottom"/>
            <w:tcBorders>
              <w:bottom w:val="single" w:sz="8" w:color="auto"/>
            </w:tcBorders>
          </w:tcPr>
          <w:p>
            <w:pPr>
              <w:spacing w:after="0"/>
              <w:rPr>
                <w:sz w:val="20"/>
                <w:szCs w:val="20"/>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1,544</w:t>
            </w:r>
          </w:p>
        </w:tc>
        <w:tc>
          <w:tcPr>
            <w:tcW w:w="10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876</w:t>
            </w:r>
          </w:p>
        </w:tc>
      </w:tr>
      <w:tr>
        <w:trPr>
          <w:trHeight w:val="223"/>
        </w:trPr>
        <w:tc>
          <w:tcPr>
            <w:tcW w:w="7880" w:type="dxa"/>
            <w:vAlign w:val="bottom"/>
          </w:tcPr>
          <w:p>
            <w:pPr>
              <w:spacing w:after="0"/>
              <w:rPr>
                <w:sz w:val="20"/>
                <w:szCs w:val="20"/>
                <w:color w:val="auto"/>
              </w:rPr>
            </w:pPr>
            <w:r>
              <w:rPr>
                <w:rFonts w:ascii="Arial" w:cs="Arial" w:eastAsia="Arial" w:hAnsi="Arial"/>
                <w:sz w:val="18"/>
                <w:szCs w:val="18"/>
                <w:color w:val="auto"/>
              </w:rPr>
              <w:t>Total cash, cash equivalents and restricted cash</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240,631</w:t>
            </w:r>
          </w:p>
        </w:tc>
        <w:tc>
          <w:tcPr>
            <w:tcW w:w="10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217,330</w:t>
            </w:r>
          </w:p>
        </w:tc>
      </w:tr>
      <w:tr>
        <w:trPr>
          <w:trHeight w:val="21"/>
        </w:trPr>
        <w:tc>
          <w:tcPr>
            <w:tcW w:w="78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r>
    </w:tbl>
    <w:p>
      <w:pPr>
        <w:sectPr>
          <w:pgSz w:w="11900" w:h="16838" w:orient="portrait"/>
          <w:cols w:equalWidth="0" w:num="1">
            <w:col w:w="11220"/>
          </w:cols>
          <w:pgMar w:left="340" w:top="1025" w:right="339" w:bottom="1440" w:gutter="0" w:footer="0" w:header="0"/>
        </w:sectPr>
      </w:pPr>
    </w:p>
    <w:bookmarkStart w:id="14" w:name="page15"/>
    <w:bookmarkEnd w:id="14"/>
    <w:p>
      <w:pPr>
        <w:jc w:val="center"/>
        <w:spacing w:after="0"/>
        <w:rPr>
          <w:sz w:val="20"/>
          <w:szCs w:val="20"/>
          <w:color w:val="auto"/>
        </w:rPr>
      </w:pPr>
      <w:r>
        <w:rPr>
          <w:rFonts w:ascii="Arial" w:cs="Arial" w:eastAsia="Arial" w:hAnsi="Arial"/>
          <w:sz w:val="18"/>
          <w:szCs w:val="18"/>
          <w:color w:val="auto"/>
        </w:rPr>
        <w:t>VERACYTE, INC.</w:t>
      </w:r>
    </w:p>
    <w:p>
      <w:pPr>
        <w:spacing w:after="0" w:line="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RECONCILIATION OF U.S. GAAP to NON-GAAP FINANCIAL MEASURES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thousands)</w:t>
      </w:r>
    </w:p>
    <w:p>
      <w:pPr>
        <w:spacing w:after="0" w:line="270" w:lineRule="exact"/>
        <w:rPr>
          <w:sz w:val="20"/>
          <w:szCs w:val="20"/>
          <w:color w:val="auto"/>
        </w:rPr>
      </w:pPr>
    </w:p>
    <w:tbl>
      <w:tblPr>
        <w:tblLayout w:type="fixed"/>
        <w:tblInd w:w="0" w:type="dxa"/>
        <w:tblCellMar>
          <w:top w:w="0" w:type="dxa"/>
          <w:left w:w="0" w:type="dxa"/>
          <w:bottom w:w="0" w:type="dxa"/>
          <w:right w:w="0" w:type="dxa"/>
        </w:tblCellMar>
      </w:tblPr>
      <w:tr>
        <w:trPr>
          <w:trHeight w:val="242"/>
        </w:trPr>
        <w:tc>
          <w:tcPr>
            <w:tcW w:w="4840" w:type="dxa"/>
            <w:vAlign w:val="bottom"/>
          </w:tcPr>
          <w:p>
            <w:pPr>
              <w:spacing w:after="0"/>
              <w:rPr>
                <w:sz w:val="21"/>
                <w:szCs w:val="21"/>
                <w:color w:val="auto"/>
              </w:rPr>
            </w:pPr>
          </w:p>
        </w:tc>
        <w:tc>
          <w:tcPr>
            <w:tcW w:w="3040" w:type="dxa"/>
            <w:vAlign w:val="bottom"/>
            <w:gridSpan w:val="6"/>
          </w:tcPr>
          <w:p>
            <w:pPr>
              <w:ind w:left="60"/>
              <w:spacing w:after="0"/>
              <w:rPr>
                <w:sz w:val="20"/>
                <w:szCs w:val="20"/>
                <w:color w:val="auto"/>
              </w:rPr>
            </w:pPr>
            <w:r>
              <w:rPr>
                <w:rFonts w:ascii="Arial" w:cs="Arial" w:eastAsia="Arial" w:hAnsi="Arial"/>
                <w:sz w:val="18"/>
                <w:szCs w:val="18"/>
                <w:color w:val="auto"/>
              </w:rPr>
              <w:t>Three Months Ended December 31</w:t>
            </w:r>
          </w:p>
        </w:tc>
        <w:tc>
          <w:tcPr>
            <w:tcW w:w="2980" w:type="dxa"/>
            <w:vAlign w:val="bottom"/>
            <w:gridSpan w:val="5"/>
          </w:tcPr>
          <w:p>
            <w:pPr>
              <w:ind w:left="40"/>
              <w:spacing w:after="0"/>
              <w:rPr>
                <w:sz w:val="20"/>
                <w:szCs w:val="20"/>
                <w:color w:val="auto"/>
              </w:rPr>
            </w:pPr>
            <w:r>
              <w:rPr>
                <w:rFonts w:ascii="Arial" w:cs="Arial" w:eastAsia="Arial" w:hAnsi="Arial"/>
                <w:sz w:val="18"/>
                <w:szCs w:val="18"/>
                <w:color w:val="auto"/>
              </w:rPr>
              <w:t>Twelve Months Ended December 31</w:t>
            </w:r>
          </w:p>
        </w:tc>
      </w:tr>
      <w:tr>
        <w:trPr>
          <w:trHeight w:val="236"/>
        </w:trPr>
        <w:tc>
          <w:tcPr>
            <w:tcW w:w="4840" w:type="dxa"/>
            <w:vAlign w:val="bottom"/>
          </w:tcPr>
          <w:p>
            <w:pPr>
              <w:spacing w:after="0"/>
              <w:rPr>
                <w:sz w:val="20"/>
                <w:szCs w:val="20"/>
                <w:color w:val="auto"/>
              </w:rPr>
            </w:pPr>
          </w:p>
        </w:tc>
        <w:tc>
          <w:tcPr>
            <w:tcW w:w="300" w:type="dxa"/>
            <w:vAlign w:val="bottom"/>
            <w:tcBorders>
              <w:top w:val="single" w:sz="8" w:color="auto"/>
              <w:bottom w:val="single" w:sz="8" w:color="auto"/>
            </w:tcBorders>
          </w:tcPr>
          <w:p>
            <w:pPr>
              <w:spacing w:after="0"/>
              <w:rPr>
                <w:sz w:val="20"/>
                <w:szCs w:val="20"/>
                <w:color w:val="auto"/>
              </w:rPr>
            </w:pPr>
          </w:p>
        </w:tc>
        <w:tc>
          <w:tcPr>
            <w:tcW w:w="1120" w:type="dxa"/>
            <w:vAlign w:val="bottom"/>
            <w:tcBorders>
              <w:top w:val="single" w:sz="8" w:color="auto"/>
              <w:bottom w:val="single" w:sz="8" w:color="auto"/>
            </w:tcBorders>
          </w:tcPr>
          <w:p>
            <w:pPr>
              <w:jc w:val="right"/>
              <w:ind w:right="430"/>
              <w:spacing w:after="0"/>
              <w:rPr>
                <w:sz w:val="20"/>
                <w:szCs w:val="20"/>
                <w:color w:val="auto"/>
              </w:rPr>
            </w:pPr>
            <w:r>
              <w:rPr>
                <w:rFonts w:ascii="Arial" w:cs="Arial" w:eastAsia="Arial" w:hAnsi="Arial"/>
                <w:sz w:val="18"/>
                <w:szCs w:val="18"/>
                <w:color w:val="auto"/>
              </w:rPr>
              <w:t>2024</w:t>
            </w:r>
          </w:p>
        </w:tc>
        <w:tc>
          <w:tcPr>
            <w:tcW w:w="100" w:type="dxa"/>
            <w:vAlign w:val="bottom"/>
            <w:tcBorders>
              <w:top w:val="single" w:sz="8" w:color="auto"/>
            </w:tcBorders>
          </w:tcPr>
          <w:p>
            <w:pPr>
              <w:spacing w:after="0"/>
              <w:rPr>
                <w:sz w:val="20"/>
                <w:szCs w:val="20"/>
                <w:color w:val="auto"/>
              </w:rPr>
            </w:pPr>
          </w:p>
        </w:tc>
        <w:tc>
          <w:tcPr>
            <w:tcW w:w="320" w:type="dxa"/>
            <w:vAlign w:val="bottom"/>
            <w:tcBorders>
              <w:top w:val="single" w:sz="8" w:color="auto"/>
              <w:bottom w:val="single" w:sz="8" w:color="auto"/>
            </w:tcBorders>
          </w:tcPr>
          <w:p>
            <w:pPr>
              <w:spacing w:after="0"/>
              <w:rPr>
                <w:sz w:val="20"/>
                <w:szCs w:val="20"/>
                <w:color w:val="auto"/>
              </w:rPr>
            </w:pPr>
          </w:p>
        </w:tc>
        <w:tc>
          <w:tcPr>
            <w:tcW w:w="1100" w:type="dxa"/>
            <w:vAlign w:val="bottom"/>
            <w:tcBorders>
              <w:top w:val="single" w:sz="8" w:color="auto"/>
              <w:bottom w:val="single" w:sz="8" w:color="auto"/>
            </w:tcBorders>
          </w:tcPr>
          <w:p>
            <w:pPr>
              <w:jc w:val="right"/>
              <w:ind w:right="430"/>
              <w:spacing w:after="0"/>
              <w:rPr>
                <w:sz w:val="20"/>
                <w:szCs w:val="20"/>
                <w:color w:val="auto"/>
              </w:rPr>
            </w:pPr>
            <w:r>
              <w:rPr>
                <w:rFonts w:ascii="Arial" w:cs="Arial" w:eastAsia="Arial" w:hAnsi="Arial"/>
                <w:sz w:val="18"/>
                <w:szCs w:val="18"/>
                <w:color w:val="auto"/>
              </w:rPr>
              <w:t>2023</w:t>
            </w:r>
          </w:p>
        </w:tc>
        <w:tc>
          <w:tcPr>
            <w:tcW w:w="100" w:type="dxa"/>
            <w:vAlign w:val="bottom"/>
          </w:tcPr>
          <w:p>
            <w:pPr>
              <w:spacing w:after="0"/>
              <w:rPr>
                <w:sz w:val="20"/>
                <w:szCs w:val="20"/>
                <w:color w:val="auto"/>
              </w:rPr>
            </w:pPr>
          </w:p>
        </w:tc>
        <w:tc>
          <w:tcPr>
            <w:tcW w:w="320" w:type="dxa"/>
            <w:vAlign w:val="bottom"/>
            <w:tcBorders>
              <w:top w:val="single" w:sz="8" w:color="auto"/>
              <w:bottom w:val="single" w:sz="8" w:color="auto"/>
            </w:tcBorders>
          </w:tcPr>
          <w:p>
            <w:pPr>
              <w:spacing w:after="0"/>
              <w:rPr>
                <w:sz w:val="20"/>
                <w:szCs w:val="20"/>
                <w:color w:val="auto"/>
              </w:rPr>
            </w:pPr>
          </w:p>
        </w:tc>
        <w:tc>
          <w:tcPr>
            <w:tcW w:w="1120" w:type="dxa"/>
            <w:vAlign w:val="bottom"/>
            <w:tcBorders>
              <w:top w:val="single" w:sz="8" w:color="auto"/>
              <w:bottom w:val="single" w:sz="8" w:color="auto"/>
            </w:tcBorders>
          </w:tcPr>
          <w:p>
            <w:pPr>
              <w:jc w:val="right"/>
              <w:ind w:right="430"/>
              <w:spacing w:after="0"/>
              <w:rPr>
                <w:sz w:val="20"/>
                <w:szCs w:val="20"/>
                <w:color w:val="auto"/>
              </w:rPr>
            </w:pPr>
            <w:r>
              <w:rPr>
                <w:rFonts w:ascii="Arial" w:cs="Arial" w:eastAsia="Arial" w:hAnsi="Arial"/>
                <w:sz w:val="18"/>
                <w:szCs w:val="18"/>
                <w:color w:val="auto"/>
              </w:rPr>
              <w:t>2024</w:t>
            </w:r>
          </w:p>
        </w:tc>
        <w:tc>
          <w:tcPr>
            <w:tcW w:w="100" w:type="dxa"/>
            <w:vAlign w:val="bottom"/>
            <w:tcBorders>
              <w:top w:val="single" w:sz="8" w:color="auto"/>
            </w:tcBorders>
          </w:tcPr>
          <w:p>
            <w:pPr>
              <w:spacing w:after="0"/>
              <w:rPr>
                <w:sz w:val="20"/>
                <w:szCs w:val="20"/>
                <w:color w:val="auto"/>
              </w:rPr>
            </w:pPr>
          </w:p>
        </w:tc>
        <w:tc>
          <w:tcPr>
            <w:tcW w:w="320" w:type="dxa"/>
            <w:vAlign w:val="bottom"/>
            <w:tcBorders>
              <w:top w:val="single" w:sz="8" w:color="auto"/>
              <w:bottom w:val="single" w:sz="8" w:color="auto"/>
            </w:tcBorders>
          </w:tcPr>
          <w:p>
            <w:pPr>
              <w:spacing w:after="0"/>
              <w:rPr>
                <w:sz w:val="20"/>
                <w:szCs w:val="20"/>
                <w:color w:val="auto"/>
              </w:rPr>
            </w:pPr>
          </w:p>
        </w:tc>
        <w:tc>
          <w:tcPr>
            <w:tcW w:w="1120" w:type="dxa"/>
            <w:vAlign w:val="bottom"/>
            <w:tcBorders>
              <w:top w:val="single" w:sz="8" w:color="auto"/>
              <w:bottom w:val="single" w:sz="8" w:color="auto"/>
            </w:tcBorders>
          </w:tcPr>
          <w:p>
            <w:pPr>
              <w:jc w:val="right"/>
              <w:ind w:right="430"/>
              <w:spacing w:after="0"/>
              <w:rPr>
                <w:sz w:val="20"/>
                <w:szCs w:val="20"/>
                <w:color w:val="auto"/>
              </w:rPr>
            </w:pPr>
            <w:r>
              <w:rPr>
                <w:rFonts w:ascii="Arial" w:cs="Arial" w:eastAsia="Arial" w:hAnsi="Arial"/>
                <w:sz w:val="18"/>
                <w:szCs w:val="18"/>
                <w:color w:val="auto"/>
              </w:rPr>
              <w:t>2023</w:t>
            </w:r>
          </w:p>
        </w:tc>
      </w:tr>
      <w:tr>
        <w:trPr>
          <w:trHeight w:val="211"/>
        </w:trPr>
        <w:tc>
          <w:tcPr>
            <w:tcW w:w="4840" w:type="dxa"/>
            <w:vAlign w:val="bottom"/>
          </w:tcPr>
          <w:p>
            <w:pPr>
              <w:spacing w:after="0"/>
              <w:rPr>
                <w:sz w:val="20"/>
                <w:szCs w:val="20"/>
                <w:color w:val="auto"/>
              </w:rPr>
            </w:pPr>
            <w:r>
              <w:rPr>
                <w:rFonts w:ascii="Arial" w:cs="Arial" w:eastAsia="Arial" w:hAnsi="Arial"/>
                <w:sz w:val="18"/>
                <w:szCs w:val="18"/>
                <w:b w:val="1"/>
                <w:bCs w:val="1"/>
                <w:color w:val="auto"/>
              </w:rPr>
              <w:t>Reconciliation of Non-GAAP Cost of Revenue:</w:t>
            </w:r>
          </w:p>
        </w:tc>
        <w:tc>
          <w:tcPr>
            <w:tcW w:w="3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229"/>
        </w:trPr>
        <w:tc>
          <w:tcPr>
            <w:tcW w:w="4840" w:type="dxa"/>
            <w:vAlign w:val="bottom"/>
          </w:tcPr>
          <w:p>
            <w:pPr>
              <w:ind w:left="120"/>
              <w:spacing w:after="0"/>
              <w:rPr>
                <w:sz w:val="20"/>
                <w:szCs w:val="20"/>
                <w:color w:val="auto"/>
              </w:rPr>
            </w:pPr>
            <w:r>
              <w:rPr>
                <w:rFonts w:ascii="Arial" w:cs="Arial" w:eastAsia="Arial" w:hAnsi="Arial"/>
                <w:sz w:val="18"/>
                <w:szCs w:val="18"/>
                <w:color w:val="auto"/>
              </w:rPr>
              <w:t>GAAP cost of testing revenue</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50"/>
              <w:spacing w:after="0"/>
              <w:rPr>
                <w:sz w:val="20"/>
                <w:szCs w:val="20"/>
                <w:color w:val="auto"/>
              </w:rPr>
            </w:pPr>
            <w:r>
              <w:rPr>
                <w:rFonts w:ascii="Arial" w:cs="Arial" w:eastAsia="Arial" w:hAnsi="Arial"/>
                <w:sz w:val="18"/>
                <w:szCs w:val="18"/>
                <w:color w:val="auto"/>
              </w:rPr>
              <w:t>31,645</w:t>
            </w:r>
          </w:p>
        </w:tc>
        <w:tc>
          <w:tcPr>
            <w:tcW w:w="100" w:type="dxa"/>
            <w:vAlign w:val="bottom"/>
          </w:tcPr>
          <w:p>
            <w:pPr>
              <w:spacing w:after="0"/>
              <w:rPr>
                <w:sz w:val="19"/>
                <w:szCs w:val="19"/>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150"/>
              <w:spacing w:after="0"/>
              <w:rPr>
                <w:sz w:val="20"/>
                <w:szCs w:val="20"/>
                <w:color w:val="auto"/>
              </w:rPr>
            </w:pPr>
            <w:r>
              <w:rPr>
                <w:rFonts w:ascii="Arial" w:cs="Arial" w:eastAsia="Arial" w:hAnsi="Arial"/>
                <w:sz w:val="18"/>
                <w:szCs w:val="18"/>
                <w:color w:val="auto"/>
              </w:rPr>
              <w:t>24,105</w:t>
            </w:r>
          </w:p>
        </w:tc>
        <w:tc>
          <w:tcPr>
            <w:tcW w:w="100" w:type="dxa"/>
            <w:vAlign w:val="bottom"/>
          </w:tcPr>
          <w:p>
            <w:pPr>
              <w:spacing w:after="0"/>
              <w:rPr>
                <w:sz w:val="19"/>
                <w:szCs w:val="19"/>
                <w:color w:val="auto"/>
              </w:rPr>
            </w:pPr>
          </w:p>
        </w:tc>
        <w:tc>
          <w:tcPr>
            <w:tcW w:w="320" w:type="dxa"/>
            <w:vAlign w:val="bottom"/>
          </w:tcPr>
          <w:p>
            <w:pPr>
              <w:ind w:left="20"/>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150"/>
              <w:spacing w:after="0"/>
              <w:rPr>
                <w:sz w:val="20"/>
                <w:szCs w:val="20"/>
                <w:color w:val="auto"/>
              </w:rPr>
            </w:pPr>
            <w:r>
              <w:rPr>
                <w:rFonts w:ascii="Arial" w:cs="Arial" w:eastAsia="Arial" w:hAnsi="Arial"/>
                <w:sz w:val="18"/>
                <w:szCs w:val="18"/>
                <w:color w:val="auto"/>
              </w:rPr>
              <w:t>114,573</w:t>
            </w:r>
          </w:p>
        </w:tc>
        <w:tc>
          <w:tcPr>
            <w:tcW w:w="100" w:type="dxa"/>
            <w:vAlign w:val="bottom"/>
          </w:tcPr>
          <w:p>
            <w:pPr>
              <w:spacing w:after="0"/>
              <w:rPr>
                <w:sz w:val="19"/>
                <w:szCs w:val="19"/>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30"/>
              <w:spacing w:after="0"/>
              <w:rPr>
                <w:sz w:val="20"/>
                <w:szCs w:val="20"/>
                <w:color w:val="auto"/>
              </w:rPr>
            </w:pPr>
            <w:r>
              <w:rPr>
                <w:rFonts w:ascii="Arial" w:cs="Arial" w:eastAsia="Arial" w:hAnsi="Arial"/>
                <w:sz w:val="18"/>
                <w:szCs w:val="18"/>
                <w:color w:val="auto"/>
              </w:rPr>
              <w:t>88,913</w:t>
            </w:r>
          </w:p>
        </w:tc>
      </w:tr>
      <w:tr>
        <w:trPr>
          <w:trHeight w:val="230"/>
        </w:trPr>
        <w:tc>
          <w:tcPr>
            <w:tcW w:w="4840" w:type="dxa"/>
            <w:vAlign w:val="bottom"/>
          </w:tcPr>
          <w:p>
            <w:pPr>
              <w:ind w:left="220"/>
              <w:spacing w:after="0"/>
              <w:rPr>
                <w:sz w:val="20"/>
                <w:szCs w:val="20"/>
                <w:color w:val="auto"/>
              </w:rPr>
            </w:pPr>
            <w:r>
              <w:rPr>
                <w:rFonts w:ascii="Arial" w:cs="Arial" w:eastAsia="Arial" w:hAnsi="Arial"/>
                <w:sz w:val="18"/>
                <w:szCs w:val="18"/>
                <w:color w:val="auto"/>
              </w:rPr>
              <w:t>Stock-based compensation expense</w:t>
            </w:r>
          </w:p>
        </w:tc>
        <w:tc>
          <w:tcPr>
            <w:tcW w:w="300" w:type="dxa"/>
            <w:vAlign w:val="bottom"/>
          </w:tcPr>
          <w:p>
            <w:pPr>
              <w:spacing w:after="0"/>
              <w:rPr>
                <w:sz w:val="19"/>
                <w:szCs w:val="19"/>
                <w:color w:val="auto"/>
              </w:rPr>
            </w:pPr>
          </w:p>
        </w:tc>
        <w:tc>
          <w:tcPr>
            <w:tcW w:w="1120" w:type="dxa"/>
            <w:vAlign w:val="bottom"/>
          </w:tcPr>
          <w:p>
            <w:pPr>
              <w:jc w:val="right"/>
              <w:ind w:right="110"/>
              <w:spacing w:after="0"/>
              <w:rPr>
                <w:sz w:val="20"/>
                <w:szCs w:val="20"/>
                <w:color w:val="auto"/>
              </w:rPr>
            </w:pPr>
            <w:r>
              <w:rPr>
                <w:rFonts w:ascii="Arial" w:cs="Arial" w:eastAsia="Arial" w:hAnsi="Arial"/>
                <w:sz w:val="18"/>
                <w:szCs w:val="18"/>
                <w:color w:val="auto"/>
              </w:rPr>
              <w:t>(562)</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jc w:val="right"/>
              <w:ind w:right="110"/>
              <w:spacing w:after="0"/>
              <w:rPr>
                <w:sz w:val="20"/>
                <w:szCs w:val="20"/>
                <w:color w:val="auto"/>
              </w:rPr>
            </w:pPr>
            <w:r>
              <w:rPr>
                <w:rFonts w:ascii="Arial" w:cs="Arial" w:eastAsia="Arial" w:hAnsi="Arial"/>
                <w:sz w:val="18"/>
                <w:szCs w:val="18"/>
                <w:color w:val="auto"/>
              </w:rPr>
              <w:t>(392)</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ind w:right="110"/>
              <w:spacing w:after="0"/>
              <w:rPr>
                <w:sz w:val="20"/>
                <w:szCs w:val="20"/>
                <w:color w:val="auto"/>
              </w:rPr>
            </w:pPr>
            <w:r>
              <w:rPr>
                <w:rFonts w:ascii="Arial" w:cs="Arial" w:eastAsia="Arial" w:hAnsi="Arial"/>
                <w:sz w:val="18"/>
                <w:szCs w:val="18"/>
                <w:color w:val="auto"/>
              </w:rPr>
              <w:t>(1,973)</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ind w:right="90"/>
              <w:spacing w:after="0"/>
              <w:rPr>
                <w:sz w:val="20"/>
                <w:szCs w:val="20"/>
                <w:color w:val="auto"/>
              </w:rPr>
            </w:pPr>
            <w:r>
              <w:rPr>
                <w:rFonts w:ascii="Arial" w:cs="Arial" w:eastAsia="Arial" w:hAnsi="Arial"/>
                <w:sz w:val="18"/>
                <w:szCs w:val="18"/>
                <w:color w:val="auto"/>
              </w:rPr>
              <w:t>(1,441)</w:t>
            </w:r>
          </w:p>
        </w:tc>
      </w:tr>
      <w:tr>
        <w:trPr>
          <w:trHeight w:val="229"/>
        </w:trPr>
        <w:tc>
          <w:tcPr>
            <w:tcW w:w="4840" w:type="dxa"/>
            <w:vAlign w:val="bottom"/>
          </w:tcPr>
          <w:p>
            <w:pPr>
              <w:ind w:left="220"/>
              <w:spacing w:after="0"/>
              <w:rPr>
                <w:sz w:val="20"/>
                <w:szCs w:val="20"/>
                <w:color w:val="auto"/>
              </w:rPr>
            </w:pPr>
            <w:r>
              <w:rPr>
                <w:rFonts w:ascii="Arial" w:cs="Arial" w:eastAsia="Arial" w:hAnsi="Arial"/>
                <w:sz w:val="18"/>
                <w:szCs w:val="18"/>
                <w:color w:val="auto"/>
              </w:rPr>
              <w:t>Acquisition related expenses (1)</w:t>
            </w:r>
          </w:p>
        </w:tc>
        <w:tc>
          <w:tcPr>
            <w:tcW w:w="300" w:type="dxa"/>
            <w:vAlign w:val="bottom"/>
          </w:tcPr>
          <w:p>
            <w:pPr>
              <w:spacing w:after="0"/>
              <w:rPr>
                <w:sz w:val="19"/>
                <w:szCs w:val="19"/>
                <w:color w:val="auto"/>
              </w:rPr>
            </w:pPr>
          </w:p>
        </w:tc>
        <w:tc>
          <w:tcPr>
            <w:tcW w:w="122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120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1120" w:type="dxa"/>
            <w:vAlign w:val="bottom"/>
          </w:tcPr>
          <w:p>
            <w:pPr>
              <w:jc w:val="right"/>
              <w:ind w:right="110"/>
              <w:spacing w:after="0"/>
              <w:rPr>
                <w:sz w:val="20"/>
                <w:szCs w:val="20"/>
                <w:color w:val="auto"/>
              </w:rPr>
            </w:pPr>
            <w:r>
              <w:rPr>
                <w:rFonts w:ascii="Arial" w:cs="Arial" w:eastAsia="Arial" w:hAnsi="Arial"/>
                <w:sz w:val="18"/>
                <w:szCs w:val="18"/>
                <w:color w:val="auto"/>
              </w:rPr>
              <w:t>(60)</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ind w:right="90"/>
              <w:spacing w:after="0"/>
              <w:rPr>
                <w:sz w:val="20"/>
                <w:szCs w:val="20"/>
                <w:color w:val="auto"/>
              </w:rPr>
            </w:pPr>
            <w:r>
              <w:rPr>
                <w:rFonts w:ascii="Arial" w:cs="Arial" w:eastAsia="Arial" w:hAnsi="Arial"/>
                <w:sz w:val="18"/>
                <w:szCs w:val="18"/>
                <w:color w:val="auto"/>
              </w:rPr>
              <w:t>(74)</w:t>
            </w:r>
          </w:p>
        </w:tc>
      </w:tr>
      <w:tr>
        <w:trPr>
          <w:trHeight w:val="235"/>
        </w:trPr>
        <w:tc>
          <w:tcPr>
            <w:tcW w:w="4840" w:type="dxa"/>
            <w:vAlign w:val="bottom"/>
          </w:tcPr>
          <w:p>
            <w:pPr>
              <w:ind w:left="220"/>
              <w:spacing w:after="0"/>
              <w:rPr>
                <w:sz w:val="20"/>
                <w:szCs w:val="20"/>
                <w:color w:val="auto"/>
              </w:rPr>
            </w:pPr>
            <w:r>
              <w:rPr>
                <w:rFonts w:ascii="Arial" w:cs="Arial" w:eastAsia="Arial" w:hAnsi="Arial"/>
                <w:sz w:val="18"/>
                <w:szCs w:val="18"/>
                <w:color w:val="auto"/>
              </w:rPr>
              <w:t>Other adjustments (2)</w:t>
            </w:r>
          </w:p>
        </w:tc>
        <w:tc>
          <w:tcPr>
            <w:tcW w:w="300" w:type="dxa"/>
            <w:vAlign w:val="bottom"/>
          </w:tcPr>
          <w:p>
            <w:pPr>
              <w:spacing w:after="0"/>
              <w:rPr>
                <w:sz w:val="20"/>
                <w:szCs w:val="20"/>
                <w:color w:val="auto"/>
              </w:rPr>
            </w:pPr>
          </w:p>
        </w:tc>
        <w:tc>
          <w:tcPr>
            <w:tcW w:w="122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0"/>
                <w:szCs w:val="20"/>
                <w:color w:val="auto"/>
              </w:rPr>
            </w:pPr>
          </w:p>
        </w:tc>
        <w:tc>
          <w:tcPr>
            <w:tcW w:w="120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0"/>
                <w:szCs w:val="20"/>
                <w:color w:val="auto"/>
              </w:rPr>
            </w:pPr>
          </w:p>
        </w:tc>
        <w:tc>
          <w:tcPr>
            <w:tcW w:w="1120" w:type="dxa"/>
            <w:vAlign w:val="bottom"/>
          </w:tcPr>
          <w:p>
            <w:pPr>
              <w:jc w:val="right"/>
              <w:ind w:right="110"/>
              <w:spacing w:after="0"/>
              <w:rPr>
                <w:sz w:val="20"/>
                <w:szCs w:val="20"/>
                <w:color w:val="auto"/>
              </w:rPr>
            </w:pPr>
            <w:r>
              <w:rPr>
                <w:rFonts w:ascii="Arial" w:cs="Arial" w:eastAsia="Arial" w:hAnsi="Arial"/>
                <w:sz w:val="18"/>
                <w:szCs w:val="18"/>
                <w:color w:val="auto"/>
              </w:rPr>
              <w:t>(6)</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20" w:type="dxa"/>
            <w:vAlign w:val="bottom"/>
          </w:tcPr>
          <w:p>
            <w:pPr>
              <w:jc w:val="right"/>
              <w:ind w:right="130"/>
              <w:spacing w:after="0"/>
              <w:rPr>
                <w:sz w:val="20"/>
                <w:szCs w:val="20"/>
                <w:color w:val="auto"/>
              </w:rPr>
            </w:pPr>
            <w:r>
              <w:rPr>
                <w:rFonts w:ascii="Arial" w:cs="Arial" w:eastAsia="Arial" w:hAnsi="Arial"/>
                <w:sz w:val="18"/>
                <w:szCs w:val="18"/>
                <w:color w:val="auto"/>
              </w:rPr>
              <w:t>—</w:t>
            </w:r>
          </w:p>
        </w:tc>
      </w:tr>
      <w:tr>
        <w:trPr>
          <w:trHeight w:val="223"/>
        </w:trPr>
        <w:tc>
          <w:tcPr>
            <w:tcW w:w="4840" w:type="dxa"/>
            <w:vAlign w:val="bottom"/>
          </w:tcPr>
          <w:p>
            <w:pPr>
              <w:ind w:left="120"/>
              <w:spacing w:after="0"/>
              <w:rPr>
                <w:sz w:val="20"/>
                <w:szCs w:val="20"/>
                <w:color w:val="auto"/>
              </w:rPr>
            </w:pPr>
            <w:r>
              <w:rPr>
                <w:rFonts w:ascii="Arial" w:cs="Arial" w:eastAsia="Arial" w:hAnsi="Arial"/>
                <w:sz w:val="18"/>
                <w:szCs w:val="18"/>
                <w:color w:val="auto"/>
              </w:rPr>
              <w:t>Non-GAAP cost of testing revenue</w:t>
            </w: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rPr>
              <w:t>31,083</w:t>
            </w:r>
          </w:p>
        </w:tc>
        <w:tc>
          <w:tcPr>
            <w:tcW w:w="100" w:type="dxa"/>
            <w:vAlign w:val="bottom"/>
          </w:tcPr>
          <w:p>
            <w:pPr>
              <w:spacing w:after="0"/>
              <w:rPr>
                <w:sz w:val="19"/>
                <w:szCs w:val="19"/>
                <w:color w:val="auto"/>
              </w:rPr>
            </w:pP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rPr>
              <w:t>23,713</w:t>
            </w:r>
          </w:p>
        </w:tc>
        <w:tc>
          <w:tcPr>
            <w:tcW w:w="100" w:type="dxa"/>
            <w:vAlign w:val="bottom"/>
          </w:tcPr>
          <w:p>
            <w:pPr>
              <w:spacing w:after="0"/>
              <w:rPr>
                <w:sz w:val="19"/>
                <w:szCs w:val="19"/>
                <w:color w:val="auto"/>
              </w:rPr>
            </w:pPr>
          </w:p>
        </w:tc>
        <w:tc>
          <w:tcPr>
            <w:tcW w:w="32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112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rPr>
              <w:t>112,534</w:t>
            </w:r>
          </w:p>
        </w:tc>
        <w:tc>
          <w:tcPr>
            <w:tcW w:w="100" w:type="dxa"/>
            <w:vAlign w:val="bottom"/>
          </w:tcPr>
          <w:p>
            <w:pPr>
              <w:spacing w:after="0"/>
              <w:rPr>
                <w:sz w:val="19"/>
                <w:szCs w:val="19"/>
                <w:color w:val="auto"/>
              </w:rPr>
            </w:pP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rPr>
              <w:t>87,398</w:t>
            </w:r>
          </w:p>
        </w:tc>
      </w:tr>
      <w:tr>
        <w:trPr>
          <w:trHeight w:val="461"/>
        </w:trPr>
        <w:tc>
          <w:tcPr>
            <w:tcW w:w="4840" w:type="dxa"/>
            <w:vAlign w:val="bottom"/>
          </w:tcPr>
          <w:p>
            <w:pPr>
              <w:ind w:left="120"/>
              <w:spacing w:after="0"/>
              <w:rPr>
                <w:sz w:val="20"/>
                <w:szCs w:val="20"/>
                <w:color w:val="auto"/>
              </w:rPr>
            </w:pPr>
            <w:r>
              <w:rPr>
                <w:rFonts w:ascii="Arial" w:cs="Arial" w:eastAsia="Arial" w:hAnsi="Arial"/>
                <w:sz w:val="18"/>
                <w:szCs w:val="18"/>
                <w:color w:val="auto"/>
              </w:rPr>
              <w:t>GAAP cost of product revenue</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50"/>
              <w:spacing w:after="0"/>
              <w:rPr>
                <w:sz w:val="20"/>
                <w:szCs w:val="20"/>
                <w:color w:val="auto"/>
              </w:rPr>
            </w:pPr>
            <w:r>
              <w:rPr>
                <w:rFonts w:ascii="Arial" w:cs="Arial" w:eastAsia="Arial" w:hAnsi="Arial"/>
                <w:sz w:val="18"/>
                <w:szCs w:val="18"/>
                <w:color w:val="auto"/>
              </w:rPr>
              <w:t>2,800</w:t>
            </w:r>
          </w:p>
        </w:tc>
        <w:tc>
          <w:tcPr>
            <w:tcW w:w="100" w:type="dxa"/>
            <w:vAlign w:val="bottom"/>
          </w:tcPr>
          <w:p>
            <w:pPr>
              <w:spacing w:after="0"/>
              <w:rPr>
                <w:sz w:val="24"/>
                <w:szCs w:val="24"/>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150"/>
              <w:spacing w:after="0"/>
              <w:rPr>
                <w:sz w:val="20"/>
                <w:szCs w:val="20"/>
                <w:color w:val="auto"/>
              </w:rPr>
            </w:pPr>
            <w:r>
              <w:rPr>
                <w:rFonts w:ascii="Arial" w:cs="Arial" w:eastAsia="Arial" w:hAnsi="Arial"/>
                <w:sz w:val="18"/>
                <w:szCs w:val="18"/>
                <w:color w:val="auto"/>
              </w:rPr>
              <w:t>1,753</w:t>
            </w:r>
          </w:p>
        </w:tc>
        <w:tc>
          <w:tcPr>
            <w:tcW w:w="100" w:type="dxa"/>
            <w:vAlign w:val="bottom"/>
          </w:tcPr>
          <w:p>
            <w:pPr>
              <w:spacing w:after="0"/>
              <w:rPr>
                <w:sz w:val="24"/>
                <w:szCs w:val="24"/>
                <w:color w:val="auto"/>
              </w:rPr>
            </w:pPr>
          </w:p>
        </w:tc>
        <w:tc>
          <w:tcPr>
            <w:tcW w:w="320" w:type="dxa"/>
            <w:vAlign w:val="bottom"/>
          </w:tcPr>
          <w:p>
            <w:pPr>
              <w:ind w:left="20"/>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150"/>
              <w:spacing w:after="0"/>
              <w:rPr>
                <w:sz w:val="20"/>
                <w:szCs w:val="20"/>
                <w:color w:val="auto"/>
              </w:rPr>
            </w:pPr>
            <w:r>
              <w:rPr>
                <w:rFonts w:ascii="Arial" w:cs="Arial" w:eastAsia="Arial" w:hAnsi="Arial"/>
                <w:sz w:val="18"/>
                <w:szCs w:val="18"/>
                <w:color w:val="auto"/>
              </w:rPr>
              <w:t>9,110</w:t>
            </w:r>
          </w:p>
        </w:tc>
        <w:tc>
          <w:tcPr>
            <w:tcW w:w="100" w:type="dxa"/>
            <w:vAlign w:val="bottom"/>
          </w:tcPr>
          <w:p>
            <w:pPr>
              <w:spacing w:after="0"/>
              <w:rPr>
                <w:sz w:val="24"/>
                <w:szCs w:val="24"/>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30"/>
              <w:spacing w:after="0"/>
              <w:rPr>
                <w:sz w:val="20"/>
                <w:szCs w:val="20"/>
                <w:color w:val="auto"/>
              </w:rPr>
            </w:pPr>
            <w:r>
              <w:rPr>
                <w:rFonts w:ascii="Arial" w:cs="Arial" w:eastAsia="Arial" w:hAnsi="Arial"/>
                <w:sz w:val="18"/>
                <w:szCs w:val="18"/>
                <w:color w:val="auto"/>
              </w:rPr>
              <w:t>8,666</w:t>
            </w:r>
          </w:p>
        </w:tc>
      </w:tr>
      <w:tr>
        <w:trPr>
          <w:trHeight w:val="230"/>
        </w:trPr>
        <w:tc>
          <w:tcPr>
            <w:tcW w:w="4840" w:type="dxa"/>
            <w:vAlign w:val="bottom"/>
          </w:tcPr>
          <w:p>
            <w:pPr>
              <w:ind w:left="220"/>
              <w:spacing w:after="0"/>
              <w:rPr>
                <w:sz w:val="20"/>
                <w:szCs w:val="20"/>
                <w:color w:val="auto"/>
              </w:rPr>
            </w:pPr>
            <w:r>
              <w:rPr>
                <w:rFonts w:ascii="Arial" w:cs="Arial" w:eastAsia="Arial" w:hAnsi="Arial"/>
                <w:sz w:val="18"/>
                <w:szCs w:val="18"/>
                <w:color w:val="auto"/>
              </w:rPr>
              <w:t>Stock-based compensation expense</w:t>
            </w:r>
          </w:p>
        </w:tc>
        <w:tc>
          <w:tcPr>
            <w:tcW w:w="300" w:type="dxa"/>
            <w:vAlign w:val="bottom"/>
          </w:tcPr>
          <w:p>
            <w:pPr>
              <w:spacing w:after="0"/>
              <w:rPr>
                <w:sz w:val="19"/>
                <w:szCs w:val="19"/>
                <w:color w:val="auto"/>
              </w:rPr>
            </w:pPr>
          </w:p>
        </w:tc>
        <w:tc>
          <w:tcPr>
            <w:tcW w:w="1120" w:type="dxa"/>
            <w:vAlign w:val="bottom"/>
          </w:tcPr>
          <w:p>
            <w:pPr>
              <w:jc w:val="right"/>
              <w:ind w:right="110"/>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0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1120" w:type="dxa"/>
            <w:vAlign w:val="bottom"/>
          </w:tcPr>
          <w:p>
            <w:pPr>
              <w:jc w:val="right"/>
              <w:ind w:right="110"/>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ind w:right="130"/>
              <w:spacing w:after="0"/>
              <w:rPr>
                <w:sz w:val="20"/>
                <w:szCs w:val="20"/>
                <w:color w:val="auto"/>
              </w:rPr>
            </w:pPr>
            <w:r>
              <w:rPr>
                <w:rFonts w:ascii="Arial" w:cs="Arial" w:eastAsia="Arial" w:hAnsi="Arial"/>
                <w:sz w:val="18"/>
                <w:szCs w:val="18"/>
                <w:color w:val="auto"/>
              </w:rPr>
              <w:t>—</w:t>
            </w:r>
          </w:p>
        </w:tc>
      </w:tr>
      <w:tr>
        <w:trPr>
          <w:trHeight w:val="229"/>
        </w:trPr>
        <w:tc>
          <w:tcPr>
            <w:tcW w:w="4840" w:type="dxa"/>
            <w:vAlign w:val="bottom"/>
          </w:tcPr>
          <w:p>
            <w:pPr>
              <w:ind w:left="220"/>
              <w:spacing w:after="0"/>
              <w:rPr>
                <w:sz w:val="20"/>
                <w:szCs w:val="20"/>
                <w:color w:val="auto"/>
              </w:rPr>
            </w:pPr>
            <w:r>
              <w:rPr>
                <w:rFonts w:ascii="Arial" w:cs="Arial" w:eastAsia="Arial" w:hAnsi="Arial"/>
                <w:sz w:val="18"/>
                <w:szCs w:val="18"/>
                <w:color w:val="auto"/>
              </w:rPr>
              <w:t>Acquisition related expenses (1)</w:t>
            </w:r>
          </w:p>
        </w:tc>
        <w:tc>
          <w:tcPr>
            <w:tcW w:w="300" w:type="dxa"/>
            <w:vAlign w:val="bottom"/>
          </w:tcPr>
          <w:p>
            <w:pPr>
              <w:spacing w:after="0"/>
              <w:rPr>
                <w:sz w:val="19"/>
                <w:szCs w:val="19"/>
                <w:color w:val="auto"/>
              </w:rPr>
            </w:pPr>
          </w:p>
        </w:tc>
        <w:tc>
          <w:tcPr>
            <w:tcW w:w="122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120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122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1120" w:type="dxa"/>
            <w:vAlign w:val="bottom"/>
          </w:tcPr>
          <w:p>
            <w:pPr>
              <w:jc w:val="right"/>
              <w:ind w:right="130"/>
              <w:spacing w:after="0"/>
              <w:rPr>
                <w:sz w:val="20"/>
                <w:szCs w:val="20"/>
                <w:color w:val="auto"/>
              </w:rPr>
            </w:pPr>
            <w:r>
              <w:rPr>
                <w:rFonts w:ascii="Arial" w:cs="Arial" w:eastAsia="Arial" w:hAnsi="Arial"/>
                <w:sz w:val="18"/>
                <w:szCs w:val="18"/>
                <w:color w:val="auto"/>
              </w:rPr>
              <w:t>—</w:t>
            </w:r>
          </w:p>
        </w:tc>
      </w:tr>
      <w:tr>
        <w:trPr>
          <w:trHeight w:val="235"/>
        </w:trPr>
        <w:tc>
          <w:tcPr>
            <w:tcW w:w="4840" w:type="dxa"/>
            <w:vAlign w:val="bottom"/>
          </w:tcPr>
          <w:p>
            <w:pPr>
              <w:ind w:left="220"/>
              <w:spacing w:after="0"/>
              <w:rPr>
                <w:sz w:val="20"/>
                <w:szCs w:val="20"/>
                <w:color w:val="auto"/>
              </w:rPr>
            </w:pPr>
            <w:r>
              <w:rPr>
                <w:rFonts w:ascii="Arial" w:cs="Arial" w:eastAsia="Arial" w:hAnsi="Arial"/>
                <w:sz w:val="18"/>
                <w:szCs w:val="18"/>
                <w:color w:val="auto"/>
              </w:rPr>
              <w:t>Other adjustments (2)</w:t>
            </w:r>
          </w:p>
        </w:tc>
        <w:tc>
          <w:tcPr>
            <w:tcW w:w="300" w:type="dxa"/>
            <w:vAlign w:val="bottom"/>
          </w:tcPr>
          <w:p>
            <w:pPr>
              <w:spacing w:after="0"/>
              <w:rPr>
                <w:sz w:val="20"/>
                <w:szCs w:val="20"/>
                <w:color w:val="auto"/>
              </w:rPr>
            </w:pPr>
          </w:p>
        </w:tc>
        <w:tc>
          <w:tcPr>
            <w:tcW w:w="122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0"/>
                <w:szCs w:val="20"/>
                <w:color w:val="auto"/>
              </w:rPr>
            </w:pPr>
          </w:p>
        </w:tc>
        <w:tc>
          <w:tcPr>
            <w:tcW w:w="120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0"/>
                <w:szCs w:val="20"/>
                <w:color w:val="auto"/>
              </w:rPr>
            </w:pPr>
          </w:p>
        </w:tc>
        <w:tc>
          <w:tcPr>
            <w:tcW w:w="122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0"/>
                <w:szCs w:val="20"/>
                <w:color w:val="auto"/>
              </w:rPr>
            </w:pPr>
          </w:p>
        </w:tc>
        <w:tc>
          <w:tcPr>
            <w:tcW w:w="1120" w:type="dxa"/>
            <w:vAlign w:val="bottom"/>
          </w:tcPr>
          <w:p>
            <w:pPr>
              <w:jc w:val="right"/>
              <w:ind w:right="130"/>
              <w:spacing w:after="0"/>
              <w:rPr>
                <w:sz w:val="20"/>
                <w:szCs w:val="20"/>
                <w:color w:val="auto"/>
              </w:rPr>
            </w:pPr>
            <w:r>
              <w:rPr>
                <w:rFonts w:ascii="Arial" w:cs="Arial" w:eastAsia="Arial" w:hAnsi="Arial"/>
                <w:sz w:val="18"/>
                <w:szCs w:val="18"/>
                <w:color w:val="auto"/>
              </w:rPr>
              <w:t>—</w:t>
            </w:r>
          </w:p>
        </w:tc>
      </w:tr>
      <w:tr>
        <w:trPr>
          <w:trHeight w:val="223"/>
        </w:trPr>
        <w:tc>
          <w:tcPr>
            <w:tcW w:w="4840" w:type="dxa"/>
            <w:vAlign w:val="bottom"/>
          </w:tcPr>
          <w:p>
            <w:pPr>
              <w:ind w:left="120"/>
              <w:spacing w:after="0"/>
              <w:rPr>
                <w:sz w:val="20"/>
                <w:szCs w:val="20"/>
                <w:color w:val="auto"/>
              </w:rPr>
            </w:pPr>
            <w:r>
              <w:rPr>
                <w:rFonts w:ascii="Arial" w:cs="Arial" w:eastAsia="Arial" w:hAnsi="Arial"/>
                <w:sz w:val="18"/>
                <w:szCs w:val="18"/>
                <w:color w:val="auto"/>
              </w:rPr>
              <w:t>Non-GAAP cost of product revenue</w:t>
            </w: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rPr>
              <w:t>2,799</w:t>
            </w:r>
          </w:p>
        </w:tc>
        <w:tc>
          <w:tcPr>
            <w:tcW w:w="100" w:type="dxa"/>
            <w:vAlign w:val="bottom"/>
          </w:tcPr>
          <w:p>
            <w:pPr>
              <w:spacing w:after="0"/>
              <w:rPr>
                <w:sz w:val="19"/>
                <w:szCs w:val="19"/>
                <w:color w:val="auto"/>
              </w:rPr>
            </w:pP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rPr>
              <w:t>1,753</w:t>
            </w:r>
          </w:p>
        </w:tc>
        <w:tc>
          <w:tcPr>
            <w:tcW w:w="100" w:type="dxa"/>
            <w:vAlign w:val="bottom"/>
          </w:tcPr>
          <w:p>
            <w:pPr>
              <w:spacing w:after="0"/>
              <w:rPr>
                <w:sz w:val="19"/>
                <w:szCs w:val="19"/>
                <w:color w:val="auto"/>
              </w:rPr>
            </w:pPr>
          </w:p>
        </w:tc>
        <w:tc>
          <w:tcPr>
            <w:tcW w:w="32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112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rPr>
              <w:t>9,106</w:t>
            </w:r>
          </w:p>
        </w:tc>
        <w:tc>
          <w:tcPr>
            <w:tcW w:w="100" w:type="dxa"/>
            <w:vAlign w:val="bottom"/>
          </w:tcPr>
          <w:p>
            <w:pPr>
              <w:spacing w:after="0"/>
              <w:rPr>
                <w:sz w:val="19"/>
                <w:szCs w:val="19"/>
                <w:color w:val="auto"/>
              </w:rPr>
            </w:pP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rPr>
              <w:t>8,666</w:t>
            </w:r>
          </w:p>
        </w:tc>
      </w:tr>
      <w:tr>
        <w:trPr>
          <w:trHeight w:val="461"/>
        </w:trPr>
        <w:tc>
          <w:tcPr>
            <w:tcW w:w="4840" w:type="dxa"/>
            <w:vAlign w:val="bottom"/>
          </w:tcPr>
          <w:p>
            <w:pPr>
              <w:ind w:left="120"/>
              <w:spacing w:after="0"/>
              <w:rPr>
                <w:sz w:val="20"/>
                <w:szCs w:val="20"/>
                <w:color w:val="auto"/>
              </w:rPr>
            </w:pPr>
            <w:r>
              <w:rPr>
                <w:rFonts w:ascii="Arial" w:cs="Arial" w:eastAsia="Arial" w:hAnsi="Arial"/>
                <w:sz w:val="18"/>
                <w:szCs w:val="18"/>
                <w:color w:val="auto"/>
              </w:rPr>
              <w:t>GAAP cost of biopharmaceutical and other revenue</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50"/>
              <w:spacing w:after="0"/>
              <w:rPr>
                <w:sz w:val="20"/>
                <w:szCs w:val="20"/>
                <w:color w:val="auto"/>
              </w:rPr>
            </w:pPr>
            <w:r>
              <w:rPr>
                <w:rFonts w:ascii="Arial" w:cs="Arial" w:eastAsia="Arial" w:hAnsi="Arial"/>
                <w:sz w:val="18"/>
                <w:szCs w:val="18"/>
                <w:color w:val="auto"/>
              </w:rPr>
              <w:t>2,622</w:t>
            </w:r>
          </w:p>
        </w:tc>
        <w:tc>
          <w:tcPr>
            <w:tcW w:w="100" w:type="dxa"/>
            <w:vAlign w:val="bottom"/>
          </w:tcPr>
          <w:p>
            <w:pPr>
              <w:spacing w:after="0"/>
              <w:rPr>
                <w:sz w:val="24"/>
                <w:szCs w:val="24"/>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150"/>
              <w:spacing w:after="0"/>
              <w:rPr>
                <w:sz w:val="20"/>
                <w:szCs w:val="20"/>
                <w:color w:val="auto"/>
              </w:rPr>
            </w:pPr>
            <w:r>
              <w:rPr>
                <w:rFonts w:ascii="Arial" w:cs="Arial" w:eastAsia="Arial" w:hAnsi="Arial"/>
                <w:sz w:val="18"/>
                <w:szCs w:val="18"/>
                <w:color w:val="auto"/>
              </w:rPr>
              <w:t>3,518</w:t>
            </w:r>
          </w:p>
        </w:tc>
        <w:tc>
          <w:tcPr>
            <w:tcW w:w="100" w:type="dxa"/>
            <w:vAlign w:val="bottom"/>
          </w:tcPr>
          <w:p>
            <w:pPr>
              <w:spacing w:after="0"/>
              <w:rPr>
                <w:sz w:val="24"/>
                <w:szCs w:val="24"/>
                <w:color w:val="auto"/>
              </w:rPr>
            </w:pPr>
          </w:p>
        </w:tc>
        <w:tc>
          <w:tcPr>
            <w:tcW w:w="320" w:type="dxa"/>
            <w:vAlign w:val="bottom"/>
          </w:tcPr>
          <w:p>
            <w:pPr>
              <w:ind w:left="20"/>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150"/>
              <w:spacing w:after="0"/>
              <w:rPr>
                <w:sz w:val="20"/>
                <w:szCs w:val="20"/>
                <w:color w:val="auto"/>
              </w:rPr>
            </w:pPr>
            <w:r>
              <w:rPr>
                <w:rFonts w:ascii="Arial" w:cs="Arial" w:eastAsia="Arial" w:hAnsi="Arial"/>
                <w:sz w:val="18"/>
                <w:szCs w:val="18"/>
                <w:color w:val="auto"/>
              </w:rPr>
              <w:t>12,384</w:t>
            </w:r>
          </w:p>
        </w:tc>
        <w:tc>
          <w:tcPr>
            <w:tcW w:w="100" w:type="dxa"/>
            <w:vAlign w:val="bottom"/>
          </w:tcPr>
          <w:p>
            <w:pPr>
              <w:spacing w:after="0"/>
              <w:rPr>
                <w:sz w:val="24"/>
                <w:szCs w:val="24"/>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30"/>
              <w:spacing w:after="0"/>
              <w:rPr>
                <w:sz w:val="20"/>
                <w:szCs w:val="20"/>
                <w:color w:val="auto"/>
              </w:rPr>
            </w:pPr>
            <w:r>
              <w:rPr>
                <w:rFonts w:ascii="Arial" w:cs="Arial" w:eastAsia="Arial" w:hAnsi="Arial"/>
                <w:sz w:val="18"/>
                <w:szCs w:val="18"/>
                <w:color w:val="auto"/>
              </w:rPr>
              <w:t>15,324</w:t>
            </w:r>
          </w:p>
        </w:tc>
      </w:tr>
      <w:tr>
        <w:trPr>
          <w:trHeight w:val="229"/>
        </w:trPr>
        <w:tc>
          <w:tcPr>
            <w:tcW w:w="4840" w:type="dxa"/>
            <w:vAlign w:val="bottom"/>
          </w:tcPr>
          <w:p>
            <w:pPr>
              <w:ind w:left="220"/>
              <w:spacing w:after="0"/>
              <w:rPr>
                <w:sz w:val="20"/>
                <w:szCs w:val="20"/>
                <w:color w:val="auto"/>
              </w:rPr>
            </w:pPr>
            <w:r>
              <w:rPr>
                <w:rFonts w:ascii="Arial" w:cs="Arial" w:eastAsia="Arial" w:hAnsi="Arial"/>
                <w:sz w:val="18"/>
                <w:szCs w:val="18"/>
                <w:color w:val="auto"/>
              </w:rPr>
              <w:t>Stock-based compensation expense</w:t>
            </w:r>
          </w:p>
        </w:tc>
        <w:tc>
          <w:tcPr>
            <w:tcW w:w="300" w:type="dxa"/>
            <w:vAlign w:val="bottom"/>
          </w:tcPr>
          <w:p>
            <w:pPr>
              <w:spacing w:after="0"/>
              <w:rPr>
                <w:sz w:val="19"/>
                <w:szCs w:val="19"/>
                <w:color w:val="auto"/>
              </w:rPr>
            </w:pPr>
          </w:p>
        </w:tc>
        <w:tc>
          <w:tcPr>
            <w:tcW w:w="1120" w:type="dxa"/>
            <w:vAlign w:val="bottom"/>
          </w:tcPr>
          <w:p>
            <w:pPr>
              <w:jc w:val="right"/>
              <w:ind w:right="110"/>
              <w:spacing w:after="0"/>
              <w:rPr>
                <w:sz w:val="20"/>
                <w:szCs w:val="20"/>
                <w:color w:val="auto"/>
              </w:rPr>
            </w:pPr>
            <w:r>
              <w:rPr>
                <w:rFonts w:ascii="Arial" w:cs="Arial" w:eastAsia="Arial" w:hAnsi="Arial"/>
                <w:sz w:val="18"/>
                <w:szCs w:val="18"/>
                <w:color w:val="auto"/>
              </w:rPr>
              <w:t>(78)</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jc w:val="right"/>
              <w:ind w:right="110"/>
              <w:spacing w:after="0"/>
              <w:rPr>
                <w:sz w:val="20"/>
                <w:szCs w:val="20"/>
                <w:color w:val="auto"/>
              </w:rPr>
            </w:pPr>
            <w:r>
              <w:rPr>
                <w:rFonts w:ascii="Arial" w:cs="Arial" w:eastAsia="Arial" w:hAnsi="Arial"/>
                <w:sz w:val="18"/>
                <w:szCs w:val="18"/>
                <w:color w:val="auto"/>
              </w:rPr>
              <w:t>(80)</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ind w:right="110"/>
              <w:spacing w:after="0"/>
              <w:rPr>
                <w:sz w:val="20"/>
                <w:szCs w:val="20"/>
                <w:color w:val="auto"/>
              </w:rPr>
            </w:pPr>
            <w:r>
              <w:rPr>
                <w:rFonts w:ascii="Arial" w:cs="Arial" w:eastAsia="Arial" w:hAnsi="Arial"/>
                <w:sz w:val="18"/>
                <w:szCs w:val="18"/>
                <w:color w:val="auto"/>
              </w:rPr>
              <w:t>(342)</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ind w:right="90"/>
              <w:spacing w:after="0"/>
              <w:rPr>
                <w:sz w:val="20"/>
                <w:szCs w:val="20"/>
                <w:color w:val="auto"/>
              </w:rPr>
            </w:pPr>
            <w:r>
              <w:rPr>
                <w:rFonts w:ascii="Arial" w:cs="Arial" w:eastAsia="Arial" w:hAnsi="Arial"/>
                <w:sz w:val="18"/>
                <w:szCs w:val="18"/>
                <w:color w:val="auto"/>
              </w:rPr>
              <w:t>(417)</w:t>
            </w:r>
          </w:p>
        </w:tc>
      </w:tr>
      <w:tr>
        <w:trPr>
          <w:trHeight w:val="230"/>
        </w:trPr>
        <w:tc>
          <w:tcPr>
            <w:tcW w:w="4840" w:type="dxa"/>
            <w:vAlign w:val="bottom"/>
          </w:tcPr>
          <w:p>
            <w:pPr>
              <w:ind w:left="220"/>
              <w:spacing w:after="0"/>
              <w:rPr>
                <w:sz w:val="20"/>
                <w:szCs w:val="20"/>
                <w:color w:val="auto"/>
              </w:rPr>
            </w:pPr>
            <w:r>
              <w:rPr>
                <w:rFonts w:ascii="Arial" w:cs="Arial" w:eastAsia="Arial" w:hAnsi="Arial"/>
                <w:sz w:val="18"/>
                <w:szCs w:val="18"/>
                <w:color w:val="auto"/>
              </w:rPr>
              <w:t>Acquisition related expenses (1)</w:t>
            </w:r>
          </w:p>
        </w:tc>
        <w:tc>
          <w:tcPr>
            <w:tcW w:w="300" w:type="dxa"/>
            <w:vAlign w:val="bottom"/>
          </w:tcPr>
          <w:p>
            <w:pPr>
              <w:spacing w:after="0"/>
              <w:rPr>
                <w:sz w:val="19"/>
                <w:szCs w:val="19"/>
                <w:color w:val="auto"/>
              </w:rPr>
            </w:pPr>
          </w:p>
        </w:tc>
        <w:tc>
          <w:tcPr>
            <w:tcW w:w="122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120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122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1120" w:type="dxa"/>
            <w:vAlign w:val="bottom"/>
          </w:tcPr>
          <w:p>
            <w:pPr>
              <w:jc w:val="right"/>
              <w:ind w:right="130"/>
              <w:spacing w:after="0"/>
              <w:rPr>
                <w:sz w:val="20"/>
                <w:szCs w:val="20"/>
                <w:color w:val="auto"/>
              </w:rPr>
            </w:pPr>
            <w:r>
              <w:rPr>
                <w:rFonts w:ascii="Arial" w:cs="Arial" w:eastAsia="Arial" w:hAnsi="Arial"/>
                <w:sz w:val="18"/>
                <w:szCs w:val="18"/>
                <w:color w:val="auto"/>
              </w:rPr>
              <w:t>—</w:t>
            </w:r>
          </w:p>
        </w:tc>
      </w:tr>
      <w:tr>
        <w:trPr>
          <w:trHeight w:val="235"/>
        </w:trPr>
        <w:tc>
          <w:tcPr>
            <w:tcW w:w="4840" w:type="dxa"/>
            <w:vAlign w:val="bottom"/>
          </w:tcPr>
          <w:p>
            <w:pPr>
              <w:ind w:left="220"/>
              <w:spacing w:after="0"/>
              <w:rPr>
                <w:sz w:val="20"/>
                <w:szCs w:val="20"/>
                <w:color w:val="auto"/>
              </w:rPr>
            </w:pPr>
            <w:r>
              <w:rPr>
                <w:rFonts w:ascii="Arial" w:cs="Arial" w:eastAsia="Arial" w:hAnsi="Arial"/>
                <w:sz w:val="18"/>
                <w:szCs w:val="18"/>
                <w:color w:val="auto"/>
              </w:rPr>
              <w:t>Other adjustments (2)</w:t>
            </w:r>
          </w:p>
        </w:tc>
        <w:tc>
          <w:tcPr>
            <w:tcW w:w="300" w:type="dxa"/>
            <w:vAlign w:val="bottom"/>
          </w:tcPr>
          <w:p>
            <w:pPr>
              <w:spacing w:after="0"/>
              <w:rPr>
                <w:sz w:val="20"/>
                <w:szCs w:val="20"/>
                <w:color w:val="auto"/>
              </w:rPr>
            </w:pPr>
          </w:p>
        </w:tc>
        <w:tc>
          <w:tcPr>
            <w:tcW w:w="122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0"/>
                <w:szCs w:val="20"/>
                <w:color w:val="auto"/>
              </w:rPr>
            </w:pPr>
          </w:p>
        </w:tc>
        <w:tc>
          <w:tcPr>
            <w:tcW w:w="120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0"/>
                <w:szCs w:val="20"/>
                <w:color w:val="auto"/>
              </w:rPr>
            </w:pPr>
          </w:p>
        </w:tc>
        <w:tc>
          <w:tcPr>
            <w:tcW w:w="122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0"/>
                <w:szCs w:val="20"/>
                <w:color w:val="auto"/>
              </w:rPr>
            </w:pPr>
          </w:p>
        </w:tc>
        <w:tc>
          <w:tcPr>
            <w:tcW w:w="1120" w:type="dxa"/>
            <w:vAlign w:val="bottom"/>
          </w:tcPr>
          <w:p>
            <w:pPr>
              <w:jc w:val="right"/>
              <w:ind w:right="130"/>
              <w:spacing w:after="0"/>
              <w:rPr>
                <w:sz w:val="20"/>
                <w:szCs w:val="20"/>
                <w:color w:val="auto"/>
              </w:rPr>
            </w:pPr>
            <w:r>
              <w:rPr>
                <w:rFonts w:ascii="Arial" w:cs="Arial" w:eastAsia="Arial" w:hAnsi="Arial"/>
                <w:sz w:val="18"/>
                <w:szCs w:val="18"/>
                <w:color w:val="auto"/>
              </w:rPr>
              <w:t>—</w:t>
            </w:r>
          </w:p>
        </w:tc>
      </w:tr>
      <w:tr>
        <w:trPr>
          <w:trHeight w:val="223"/>
        </w:trPr>
        <w:tc>
          <w:tcPr>
            <w:tcW w:w="4840" w:type="dxa"/>
            <w:vAlign w:val="bottom"/>
          </w:tcPr>
          <w:p>
            <w:pPr>
              <w:ind w:left="120"/>
              <w:spacing w:after="0"/>
              <w:rPr>
                <w:sz w:val="20"/>
                <w:szCs w:val="20"/>
                <w:color w:val="auto"/>
              </w:rPr>
            </w:pPr>
            <w:r>
              <w:rPr>
                <w:rFonts w:ascii="Arial" w:cs="Arial" w:eastAsia="Arial" w:hAnsi="Arial"/>
                <w:sz w:val="18"/>
                <w:szCs w:val="18"/>
                <w:color w:val="auto"/>
              </w:rPr>
              <w:t>Non-GAAP cost of biopharmaceutical and other revenue</w:t>
            </w: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rPr>
              <w:t>2,544</w:t>
            </w:r>
          </w:p>
        </w:tc>
        <w:tc>
          <w:tcPr>
            <w:tcW w:w="100" w:type="dxa"/>
            <w:vAlign w:val="bottom"/>
          </w:tcPr>
          <w:p>
            <w:pPr>
              <w:spacing w:after="0"/>
              <w:rPr>
                <w:sz w:val="19"/>
                <w:szCs w:val="19"/>
                <w:color w:val="auto"/>
              </w:rPr>
            </w:pP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rPr>
              <w:t>3,438</w:t>
            </w:r>
          </w:p>
        </w:tc>
        <w:tc>
          <w:tcPr>
            <w:tcW w:w="100" w:type="dxa"/>
            <w:vAlign w:val="bottom"/>
          </w:tcPr>
          <w:p>
            <w:pPr>
              <w:spacing w:after="0"/>
              <w:rPr>
                <w:sz w:val="19"/>
                <w:szCs w:val="19"/>
                <w:color w:val="auto"/>
              </w:rPr>
            </w:pPr>
          </w:p>
        </w:tc>
        <w:tc>
          <w:tcPr>
            <w:tcW w:w="32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112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rPr>
              <w:t>12,042</w:t>
            </w:r>
          </w:p>
        </w:tc>
        <w:tc>
          <w:tcPr>
            <w:tcW w:w="100" w:type="dxa"/>
            <w:vAlign w:val="bottom"/>
          </w:tcPr>
          <w:p>
            <w:pPr>
              <w:spacing w:after="0"/>
              <w:rPr>
                <w:sz w:val="19"/>
                <w:szCs w:val="19"/>
                <w:color w:val="auto"/>
              </w:rPr>
            </w:pP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rPr>
              <w:t>14,907</w:t>
            </w:r>
          </w:p>
        </w:tc>
      </w:tr>
      <w:tr>
        <w:trPr>
          <w:trHeight w:val="461"/>
        </w:trPr>
        <w:tc>
          <w:tcPr>
            <w:tcW w:w="4840" w:type="dxa"/>
            <w:vAlign w:val="bottom"/>
          </w:tcPr>
          <w:p>
            <w:pPr>
              <w:spacing w:after="0"/>
              <w:rPr>
                <w:sz w:val="20"/>
                <w:szCs w:val="20"/>
                <w:color w:val="auto"/>
              </w:rPr>
            </w:pPr>
            <w:r>
              <w:rPr>
                <w:rFonts w:ascii="Arial" w:cs="Arial" w:eastAsia="Arial" w:hAnsi="Arial"/>
                <w:sz w:val="18"/>
                <w:szCs w:val="18"/>
                <w:b w:val="1"/>
                <w:bCs w:val="1"/>
                <w:color w:val="auto"/>
              </w:rPr>
              <w:t>Reconciliation of Non-GAAP Gross Margin:</w:t>
            </w:r>
          </w:p>
        </w:tc>
        <w:tc>
          <w:tcPr>
            <w:tcW w:w="3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230"/>
        </w:trPr>
        <w:tc>
          <w:tcPr>
            <w:tcW w:w="4840" w:type="dxa"/>
            <w:vAlign w:val="bottom"/>
          </w:tcPr>
          <w:p>
            <w:pPr>
              <w:ind w:left="120"/>
              <w:spacing w:after="0"/>
              <w:rPr>
                <w:sz w:val="20"/>
                <w:szCs w:val="20"/>
                <w:color w:val="auto"/>
              </w:rPr>
            </w:pPr>
            <w:r>
              <w:rPr>
                <w:rFonts w:ascii="Arial" w:cs="Arial" w:eastAsia="Arial" w:hAnsi="Arial"/>
                <w:sz w:val="18"/>
                <w:szCs w:val="18"/>
                <w:color w:val="auto"/>
              </w:rPr>
              <w:t>GAAP Gross Profit</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50"/>
              <w:spacing w:after="0"/>
              <w:rPr>
                <w:sz w:val="20"/>
                <w:szCs w:val="20"/>
                <w:color w:val="auto"/>
              </w:rPr>
            </w:pPr>
            <w:r>
              <w:rPr>
                <w:rFonts w:ascii="Arial" w:cs="Arial" w:eastAsia="Arial" w:hAnsi="Arial"/>
                <w:sz w:val="18"/>
                <w:szCs w:val="18"/>
                <w:color w:val="auto"/>
              </w:rPr>
              <w:t>78,754</w:t>
            </w:r>
          </w:p>
        </w:tc>
        <w:tc>
          <w:tcPr>
            <w:tcW w:w="100" w:type="dxa"/>
            <w:vAlign w:val="bottom"/>
          </w:tcPr>
          <w:p>
            <w:pPr>
              <w:spacing w:after="0"/>
              <w:rPr>
                <w:sz w:val="19"/>
                <w:szCs w:val="19"/>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150"/>
              <w:spacing w:after="0"/>
              <w:rPr>
                <w:sz w:val="20"/>
                <w:szCs w:val="20"/>
                <w:color w:val="auto"/>
              </w:rPr>
            </w:pPr>
            <w:r>
              <w:rPr>
                <w:rFonts w:ascii="Arial" w:cs="Arial" w:eastAsia="Arial" w:hAnsi="Arial"/>
                <w:sz w:val="18"/>
                <w:szCs w:val="18"/>
                <w:color w:val="auto"/>
              </w:rPr>
              <w:t>64,788</w:t>
            </w:r>
          </w:p>
        </w:tc>
        <w:tc>
          <w:tcPr>
            <w:tcW w:w="100" w:type="dxa"/>
            <w:vAlign w:val="bottom"/>
          </w:tcPr>
          <w:p>
            <w:pPr>
              <w:spacing w:after="0"/>
              <w:rPr>
                <w:sz w:val="19"/>
                <w:szCs w:val="19"/>
                <w:color w:val="auto"/>
              </w:rPr>
            </w:pPr>
          </w:p>
        </w:tc>
        <w:tc>
          <w:tcPr>
            <w:tcW w:w="320" w:type="dxa"/>
            <w:vAlign w:val="bottom"/>
          </w:tcPr>
          <w:p>
            <w:pPr>
              <w:ind w:left="20"/>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150"/>
              <w:spacing w:after="0"/>
              <w:rPr>
                <w:sz w:val="20"/>
                <w:szCs w:val="20"/>
                <w:color w:val="auto"/>
              </w:rPr>
            </w:pPr>
            <w:r>
              <w:rPr>
                <w:rFonts w:ascii="Arial" w:cs="Arial" w:eastAsia="Arial" w:hAnsi="Arial"/>
                <w:sz w:val="18"/>
                <w:szCs w:val="18"/>
                <w:color w:val="auto"/>
              </w:rPr>
              <w:t>298,145</w:t>
            </w:r>
          </w:p>
        </w:tc>
        <w:tc>
          <w:tcPr>
            <w:tcW w:w="100" w:type="dxa"/>
            <w:vAlign w:val="bottom"/>
          </w:tcPr>
          <w:p>
            <w:pPr>
              <w:spacing w:after="0"/>
              <w:rPr>
                <w:sz w:val="19"/>
                <w:szCs w:val="19"/>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30"/>
              <w:spacing w:after="0"/>
              <w:rPr>
                <w:sz w:val="20"/>
                <w:szCs w:val="20"/>
                <w:color w:val="auto"/>
              </w:rPr>
            </w:pPr>
            <w:r>
              <w:rPr>
                <w:rFonts w:ascii="Arial" w:cs="Arial" w:eastAsia="Arial" w:hAnsi="Arial"/>
                <w:sz w:val="18"/>
                <w:szCs w:val="18"/>
                <w:color w:val="auto"/>
              </w:rPr>
              <w:t>229,684</w:t>
            </w:r>
          </w:p>
        </w:tc>
      </w:tr>
      <w:tr>
        <w:trPr>
          <w:trHeight w:val="229"/>
        </w:trPr>
        <w:tc>
          <w:tcPr>
            <w:tcW w:w="4840" w:type="dxa"/>
            <w:vAlign w:val="bottom"/>
          </w:tcPr>
          <w:p>
            <w:pPr>
              <w:ind w:left="120"/>
              <w:spacing w:after="0"/>
              <w:rPr>
                <w:sz w:val="20"/>
                <w:szCs w:val="20"/>
                <w:color w:val="auto"/>
              </w:rPr>
            </w:pPr>
            <w:r>
              <w:rPr>
                <w:rFonts w:ascii="Arial" w:cs="Arial" w:eastAsia="Arial" w:hAnsi="Arial"/>
                <w:sz w:val="18"/>
                <w:szCs w:val="18"/>
                <w:color w:val="auto"/>
              </w:rPr>
              <w:t>GAAP Gross Margin</w:t>
            </w:r>
          </w:p>
        </w:tc>
        <w:tc>
          <w:tcPr>
            <w:tcW w:w="3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66.4 %</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66.0 %</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66.9 %</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63.6 %</w:t>
            </w:r>
          </w:p>
        </w:tc>
      </w:tr>
      <w:tr>
        <w:trPr>
          <w:trHeight w:val="230"/>
        </w:trPr>
        <w:tc>
          <w:tcPr>
            <w:tcW w:w="4840" w:type="dxa"/>
            <w:vAlign w:val="bottom"/>
          </w:tcPr>
          <w:p>
            <w:pPr>
              <w:ind w:left="220"/>
              <w:spacing w:after="0"/>
              <w:rPr>
                <w:sz w:val="20"/>
                <w:szCs w:val="20"/>
                <w:color w:val="auto"/>
              </w:rPr>
            </w:pPr>
            <w:r>
              <w:rPr>
                <w:rFonts w:ascii="Arial" w:cs="Arial" w:eastAsia="Arial" w:hAnsi="Arial"/>
                <w:sz w:val="18"/>
                <w:szCs w:val="18"/>
                <w:color w:val="auto"/>
              </w:rPr>
              <w:t>Amortization of intangible assets</w:t>
            </w:r>
          </w:p>
        </w:tc>
        <w:tc>
          <w:tcPr>
            <w:tcW w:w="300" w:type="dxa"/>
            <w:vAlign w:val="bottom"/>
          </w:tcPr>
          <w:p>
            <w:pPr>
              <w:spacing w:after="0"/>
              <w:rPr>
                <w:sz w:val="19"/>
                <w:szCs w:val="19"/>
                <w:color w:val="auto"/>
              </w:rPr>
            </w:pPr>
          </w:p>
        </w:tc>
        <w:tc>
          <w:tcPr>
            <w:tcW w:w="1120" w:type="dxa"/>
            <w:vAlign w:val="bottom"/>
          </w:tcPr>
          <w:p>
            <w:pPr>
              <w:jc w:val="right"/>
              <w:ind w:right="150"/>
              <w:spacing w:after="0"/>
              <w:rPr>
                <w:sz w:val="20"/>
                <w:szCs w:val="20"/>
                <w:color w:val="auto"/>
              </w:rPr>
            </w:pPr>
            <w:r>
              <w:rPr>
                <w:rFonts w:ascii="Arial" w:cs="Arial" w:eastAsia="Arial" w:hAnsi="Arial"/>
                <w:sz w:val="18"/>
                <w:szCs w:val="18"/>
                <w:color w:val="auto"/>
              </w:rPr>
              <w:t>2,811</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jc w:val="right"/>
              <w:ind w:right="150"/>
              <w:spacing w:after="0"/>
              <w:rPr>
                <w:sz w:val="20"/>
                <w:szCs w:val="20"/>
                <w:color w:val="auto"/>
              </w:rPr>
            </w:pPr>
            <w:r>
              <w:rPr>
                <w:rFonts w:ascii="Arial" w:cs="Arial" w:eastAsia="Arial" w:hAnsi="Arial"/>
                <w:sz w:val="18"/>
                <w:szCs w:val="18"/>
                <w:color w:val="auto"/>
              </w:rPr>
              <w:t>4,035</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ind w:right="150"/>
              <w:spacing w:after="0"/>
              <w:rPr>
                <w:sz w:val="20"/>
                <w:szCs w:val="20"/>
                <w:color w:val="auto"/>
              </w:rPr>
            </w:pPr>
            <w:r>
              <w:rPr>
                <w:rFonts w:ascii="Arial" w:cs="Arial" w:eastAsia="Arial" w:hAnsi="Arial"/>
                <w:sz w:val="18"/>
                <w:szCs w:val="18"/>
                <w:color w:val="auto"/>
              </w:rPr>
              <w:t>11,552</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ind w:right="130"/>
              <w:spacing w:after="0"/>
              <w:rPr>
                <w:sz w:val="20"/>
                <w:szCs w:val="20"/>
                <w:color w:val="auto"/>
              </w:rPr>
            </w:pPr>
            <w:r>
              <w:rPr>
                <w:rFonts w:ascii="Arial" w:cs="Arial" w:eastAsia="Arial" w:hAnsi="Arial"/>
                <w:sz w:val="18"/>
                <w:szCs w:val="18"/>
                <w:color w:val="auto"/>
              </w:rPr>
              <w:t>18,464</w:t>
            </w:r>
          </w:p>
        </w:tc>
      </w:tr>
      <w:tr>
        <w:trPr>
          <w:trHeight w:val="230"/>
        </w:trPr>
        <w:tc>
          <w:tcPr>
            <w:tcW w:w="4840" w:type="dxa"/>
            <w:vAlign w:val="bottom"/>
          </w:tcPr>
          <w:p>
            <w:pPr>
              <w:ind w:left="220"/>
              <w:spacing w:after="0"/>
              <w:rPr>
                <w:sz w:val="20"/>
                <w:szCs w:val="20"/>
                <w:color w:val="auto"/>
              </w:rPr>
            </w:pPr>
            <w:r>
              <w:rPr>
                <w:rFonts w:ascii="Arial" w:cs="Arial" w:eastAsia="Arial" w:hAnsi="Arial"/>
                <w:sz w:val="18"/>
                <w:szCs w:val="18"/>
                <w:color w:val="auto"/>
              </w:rPr>
              <w:t>Stock-based compensation expense</w:t>
            </w:r>
          </w:p>
        </w:tc>
        <w:tc>
          <w:tcPr>
            <w:tcW w:w="300" w:type="dxa"/>
            <w:vAlign w:val="bottom"/>
          </w:tcPr>
          <w:p>
            <w:pPr>
              <w:spacing w:after="0"/>
              <w:rPr>
                <w:sz w:val="19"/>
                <w:szCs w:val="19"/>
                <w:color w:val="auto"/>
              </w:rPr>
            </w:pPr>
          </w:p>
        </w:tc>
        <w:tc>
          <w:tcPr>
            <w:tcW w:w="1120" w:type="dxa"/>
            <w:vAlign w:val="bottom"/>
          </w:tcPr>
          <w:p>
            <w:pPr>
              <w:jc w:val="right"/>
              <w:ind w:right="150"/>
              <w:spacing w:after="0"/>
              <w:rPr>
                <w:sz w:val="20"/>
                <w:szCs w:val="20"/>
                <w:color w:val="auto"/>
              </w:rPr>
            </w:pPr>
            <w:r>
              <w:rPr>
                <w:rFonts w:ascii="Arial" w:cs="Arial" w:eastAsia="Arial" w:hAnsi="Arial"/>
                <w:sz w:val="18"/>
                <w:szCs w:val="18"/>
                <w:color w:val="auto"/>
              </w:rPr>
              <w:t>641</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jc w:val="right"/>
              <w:ind w:right="150"/>
              <w:spacing w:after="0"/>
              <w:rPr>
                <w:sz w:val="20"/>
                <w:szCs w:val="20"/>
                <w:color w:val="auto"/>
              </w:rPr>
            </w:pPr>
            <w:r>
              <w:rPr>
                <w:rFonts w:ascii="Arial" w:cs="Arial" w:eastAsia="Arial" w:hAnsi="Arial"/>
                <w:sz w:val="18"/>
                <w:szCs w:val="18"/>
                <w:color w:val="auto"/>
              </w:rPr>
              <w:t>472</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ind w:right="150"/>
              <w:spacing w:after="0"/>
              <w:rPr>
                <w:sz w:val="20"/>
                <w:szCs w:val="20"/>
                <w:color w:val="auto"/>
              </w:rPr>
            </w:pPr>
            <w:r>
              <w:rPr>
                <w:rFonts w:ascii="Arial" w:cs="Arial" w:eastAsia="Arial" w:hAnsi="Arial"/>
                <w:sz w:val="18"/>
                <w:szCs w:val="18"/>
                <w:color w:val="auto"/>
              </w:rPr>
              <w:t>2,319</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ind w:right="130"/>
              <w:spacing w:after="0"/>
              <w:rPr>
                <w:sz w:val="20"/>
                <w:szCs w:val="20"/>
                <w:color w:val="auto"/>
              </w:rPr>
            </w:pPr>
            <w:r>
              <w:rPr>
                <w:rFonts w:ascii="Arial" w:cs="Arial" w:eastAsia="Arial" w:hAnsi="Arial"/>
                <w:sz w:val="18"/>
                <w:szCs w:val="18"/>
                <w:color w:val="auto"/>
              </w:rPr>
              <w:t>1,858</w:t>
            </w:r>
          </w:p>
        </w:tc>
      </w:tr>
      <w:tr>
        <w:trPr>
          <w:trHeight w:val="230"/>
        </w:trPr>
        <w:tc>
          <w:tcPr>
            <w:tcW w:w="4840" w:type="dxa"/>
            <w:vAlign w:val="bottom"/>
          </w:tcPr>
          <w:p>
            <w:pPr>
              <w:ind w:left="220"/>
              <w:spacing w:after="0"/>
              <w:rPr>
                <w:sz w:val="20"/>
                <w:szCs w:val="20"/>
                <w:color w:val="auto"/>
              </w:rPr>
            </w:pPr>
            <w:r>
              <w:rPr>
                <w:rFonts w:ascii="Arial" w:cs="Arial" w:eastAsia="Arial" w:hAnsi="Arial"/>
                <w:sz w:val="18"/>
                <w:szCs w:val="18"/>
                <w:color w:val="auto"/>
              </w:rPr>
              <w:t>Acquisition related expenses (1)</w:t>
            </w:r>
          </w:p>
        </w:tc>
        <w:tc>
          <w:tcPr>
            <w:tcW w:w="300" w:type="dxa"/>
            <w:vAlign w:val="bottom"/>
          </w:tcPr>
          <w:p>
            <w:pPr>
              <w:spacing w:after="0"/>
              <w:rPr>
                <w:sz w:val="19"/>
                <w:szCs w:val="19"/>
                <w:color w:val="auto"/>
              </w:rPr>
            </w:pPr>
          </w:p>
        </w:tc>
        <w:tc>
          <w:tcPr>
            <w:tcW w:w="122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120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1120" w:type="dxa"/>
            <w:vAlign w:val="bottom"/>
          </w:tcPr>
          <w:p>
            <w:pPr>
              <w:jc w:val="right"/>
              <w:ind w:right="150"/>
              <w:spacing w:after="0"/>
              <w:rPr>
                <w:sz w:val="20"/>
                <w:szCs w:val="20"/>
                <w:color w:val="auto"/>
              </w:rPr>
            </w:pPr>
            <w:r>
              <w:rPr>
                <w:rFonts w:ascii="Arial" w:cs="Arial" w:eastAsia="Arial" w:hAnsi="Arial"/>
                <w:sz w:val="18"/>
                <w:szCs w:val="18"/>
                <w:color w:val="auto"/>
              </w:rPr>
              <w:t>60</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ind w:right="130"/>
              <w:spacing w:after="0"/>
              <w:rPr>
                <w:sz w:val="20"/>
                <w:szCs w:val="20"/>
                <w:color w:val="auto"/>
              </w:rPr>
            </w:pPr>
            <w:r>
              <w:rPr>
                <w:rFonts w:ascii="Arial" w:cs="Arial" w:eastAsia="Arial" w:hAnsi="Arial"/>
                <w:sz w:val="18"/>
                <w:szCs w:val="18"/>
                <w:color w:val="auto"/>
              </w:rPr>
              <w:t>74</w:t>
            </w:r>
          </w:p>
        </w:tc>
      </w:tr>
      <w:tr>
        <w:trPr>
          <w:trHeight w:val="235"/>
        </w:trPr>
        <w:tc>
          <w:tcPr>
            <w:tcW w:w="4840" w:type="dxa"/>
            <w:vAlign w:val="bottom"/>
          </w:tcPr>
          <w:p>
            <w:pPr>
              <w:ind w:left="220"/>
              <w:spacing w:after="0"/>
              <w:rPr>
                <w:sz w:val="20"/>
                <w:szCs w:val="20"/>
                <w:color w:val="auto"/>
              </w:rPr>
            </w:pPr>
            <w:r>
              <w:rPr>
                <w:rFonts w:ascii="Arial" w:cs="Arial" w:eastAsia="Arial" w:hAnsi="Arial"/>
                <w:sz w:val="18"/>
                <w:szCs w:val="18"/>
                <w:color w:val="auto"/>
              </w:rPr>
              <w:t>Other adjustments (2)</w:t>
            </w:r>
          </w:p>
        </w:tc>
        <w:tc>
          <w:tcPr>
            <w:tcW w:w="300" w:type="dxa"/>
            <w:vAlign w:val="bottom"/>
          </w:tcPr>
          <w:p>
            <w:pPr>
              <w:spacing w:after="0"/>
              <w:rPr>
                <w:sz w:val="20"/>
                <w:szCs w:val="20"/>
                <w:color w:val="auto"/>
              </w:rPr>
            </w:pPr>
          </w:p>
        </w:tc>
        <w:tc>
          <w:tcPr>
            <w:tcW w:w="122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0"/>
                <w:szCs w:val="20"/>
                <w:color w:val="auto"/>
              </w:rPr>
            </w:pPr>
          </w:p>
        </w:tc>
        <w:tc>
          <w:tcPr>
            <w:tcW w:w="120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0"/>
                <w:szCs w:val="20"/>
                <w:color w:val="auto"/>
              </w:rPr>
            </w:pPr>
          </w:p>
        </w:tc>
        <w:tc>
          <w:tcPr>
            <w:tcW w:w="1120" w:type="dxa"/>
            <w:vAlign w:val="bottom"/>
          </w:tcPr>
          <w:p>
            <w:pPr>
              <w:jc w:val="right"/>
              <w:ind w:right="150"/>
              <w:spacing w:after="0"/>
              <w:rPr>
                <w:sz w:val="20"/>
                <w:szCs w:val="20"/>
                <w:color w:val="auto"/>
              </w:rPr>
            </w:pPr>
            <w:r>
              <w:rPr>
                <w:rFonts w:ascii="Arial" w:cs="Arial" w:eastAsia="Arial" w:hAnsi="Arial"/>
                <w:sz w:val="18"/>
                <w:szCs w:val="18"/>
                <w:color w:val="auto"/>
              </w:rPr>
              <w:t>6</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20" w:type="dxa"/>
            <w:vAlign w:val="bottom"/>
          </w:tcPr>
          <w:p>
            <w:pPr>
              <w:jc w:val="right"/>
              <w:ind w:right="130"/>
              <w:spacing w:after="0"/>
              <w:rPr>
                <w:sz w:val="20"/>
                <w:szCs w:val="20"/>
                <w:color w:val="auto"/>
              </w:rPr>
            </w:pPr>
            <w:r>
              <w:rPr>
                <w:rFonts w:ascii="Arial" w:cs="Arial" w:eastAsia="Arial" w:hAnsi="Arial"/>
                <w:sz w:val="18"/>
                <w:szCs w:val="18"/>
                <w:color w:val="auto"/>
              </w:rPr>
              <w:t>—</w:t>
            </w:r>
          </w:p>
        </w:tc>
      </w:tr>
      <w:tr>
        <w:trPr>
          <w:trHeight w:val="223"/>
        </w:trPr>
        <w:tc>
          <w:tcPr>
            <w:tcW w:w="4840" w:type="dxa"/>
            <w:vAlign w:val="bottom"/>
          </w:tcPr>
          <w:p>
            <w:pPr>
              <w:ind w:left="120"/>
              <w:spacing w:after="0"/>
              <w:rPr>
                <w:sz w:val="20"/>
                <w:szCs w:val="20"/>
                <w:color w:val="auto"/>
              </w:rPr>
            </w:pPr>
            <w:r>
              <w:rPr>
                <w:rFonts w:ascii="Arial" w:cs="Arial" w:eastAsia="Arial" w:hAnsi="Arial"/>
                <w:sz w:val="18"/>
                <w:szCs w:val="18"/>
                <w:color w:val="auto"/>
              </w:rPr>
              <w:t>Non-GAAP Gross Profit</w:t>
            </w: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rPr>
              <w:t>82,206</w:t>
            </w:r>
          </w:p>
        </w:tc>
        <w:tc>
          <w:tcPr>
            <w:tcW w:w="100" w:type="dxa"/>
            <w:vAlign w:val="bottom"/>
          </w:tcPr>
          <w:p>
            <w:pPr>
              <w:spacing w:after="0"/>
              <w:rPr>
                <w:sz w:val="19"/>
                <w:szCs w:val="19"/>
                <w:color w:val="auto"/>
              </w:rPr>
            </w:pP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rPr>
              <w:t>69,295</w:t>
            </w:r>
          </w:p>
        </w:tc>
        <w:tc>
          <w:tcPr>
            <w:tcW w:w="100" w:type="dxa"/>
            <w:vAlign w:val="bottom"/>
          </w:tcPr>
          <w:p>
            <w:pPr>
              <w:spacing w:after="0"/>
              <w:rPr>
                <w:sz w:val="19"/>
                <w:szCs w:val="19"/>
                <w:color w:val="auto"/>
              </w:rPr>
            </w:pPr>
          </w:p>
        </w:tc>
        <w:tc>
          <w:tcPr>
            <w:tcW w:w="32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112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rPr>
              <w:t>312,082</w:t>
            </w:r>
          </w:p>
        </w:tc>
        <w:tc>
          <w:tcPr>
            <w:tcW w:w="100" w:type="dxa"/>
            <w:vAlign w:val="bottom"/>
          </w:tcPr>
          <w:p>
            <w:pPr>
              <w:spacing w:after="0"/>
              <w:rPr>
                <w:sz w:val="19"/>
                <w:szCs w:val="19"/>
                <w:color w:val="auto"/>
              </w:rPr>
            </w:pP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rPr>
              <w:t>250,080</w:t>
            </w:r>
          </w:p>
        </w:tc>
      </w:tr>
      <w:tr>
        <w:trPr>
          <w:trHeight w:val="232"/>
        </w:trPr>
        <w:tc>
          <w:tcPr>
            <w:tcW w:w="4840" w:type="dxa"/>
            <w:vAlign w:val="bottom"/>
          </w:tcPr>
          <w:p>
            <w:pPr>
              <w:ind w:left="120"/>
              <w:spacing w:after="0"/>
              <w:rPr>
                <w:sz w:val="20"/>
                <w:szCs w:val="20"/>
                <w:color w:val="auto"/>
              </w:rPr>
            </w:pPr>
            <w:r>
              <w:rPr>
                <w:rFonts w:ascii="Arial" w:cs="Arial" w:eastAsia="Arial" w:hAnsi="Arial"/>
                <w:sz w:val="18"/>
                <w:szCs w:val="18"/>
                <w:color w:val="auto"/>
              </w:rPr>
              <w:t>Non-GAAP Gross Margin</w:t>
            </w:r>
          </w:p>
        </w:tc>
        <w:tc>
          <w:tcPr>
            <w:tcW w:w="30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69.3 %</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70.6 %</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70.0 %</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69.3 %</w:t>
            </w:r>
          </w:p>
        </w:tc>
      </w:tr>
    </w:tbl>
    <w:p>
      <w:pPr>
        <w:spacing w:after="0" w:line="242" w:lineRule="exact"/>
        <w:rPr>
          <w:sz w:val="20"/>
          <w:szCs w:val="20"/>
          <w:color w:val="auto"/>
        </w:rPr>
      </w:pPr>
    </w:p>
    <w:p>
      <w:pPr>
        <w:jc w:val="both"/>
        <w:ind w:left="160" w:right="240" w:hanging="161"/>
        <w:spacing w:after="0" w:line="228" w:lineRule="auto"/>
        <w:rPr>
          <w:sz w:val="20"/>
          <w:szCs w:val="20"/>
          <w:color w:val="auto"/>
        </w:rPr>
      </w:pPr>
      <w:r>
        <w:rPr>
          <w:rFonts w:ascii="Arial" w:cs="Arial" w:eastAsia="Arial" w:hAnsi="Arial"/>
          <w:sz w:val="17"/>
          <w:szCs w:val="17"/>
          <w:color w:val="auto"/>
        </w:rPr>
        <w:t>1.Includes transaction-related expenses and post-combination compensation expenses. For the twelve months ended December 31, 2024, adjustments consist primarily of transaction-related expenses associated with the acquisition of C2i Genomics. For the twelve months ended December 31, 2023, adjustments consist primarily of post-combination compensation expenses associated with the</w:t>
      </w:r>
    </w:p>
    <w:p>
      <w:pPr>
        <w:spacing w:after="0" w:line="1" w:lineRule="exact"/>
        <w:rPr>
          <w:sz w:val="20"/>
          <w:szCs w:val="20"/>
          <w:color w:val="auto"/>
        </w:rPr>
      </w:pPr>
    </w:p>
    <w:p>
      <w:pPr>
        <w:ind w:left="160"/>
        <w:spacing w:after="0"/>
        <w:rPr>
          <w:sz w:val="20"/>
          <w:szCs w:val="20"/>
          <w:color w:val="auto"/>
        </w:rPr>
      </w:pPr>
      <w:r>
        <w:rPr>
          <w:rFonts w:ascii="Arial" w:cs="Arial" w:eastAsia="Arial" w:hAnsi="Arial"/>
          <w:sz w:val="18"/>
          <w:szCs w:val="18"/>
          <w:color w:val="auto"/>
        </w:rPr>
        <w:t>acquisition of HalioDx.</w:t>
      </w:r>
    </w:p>
    <w:p>
      <w:pPr>
        <w:spacing w:after="0" w:line="14" w:lineRule="exact"/>
        <w:rPr>
          <w:sz w:val="20"/>
          <w:szCs w:val="20"/>
          <w:color w:val="auto"/>
        </w:rPr>
      </w:pPr>
    </w:p>
    <w:p>
      <w:pPr>
        <w:ind w:left="160" w:right="40" w:hanging="161"/>
        <w:spacing w:after="0" w:line="234" w:lineRule="auto"/>
        <w:rPr>
          <w:sz w:val="20"/>
          <w:szCs w:val="20"/>
          <w:color w:val="auto"/>
        </w:rPr>
      </w:pPr>
      <w:r>
        <w:rPr>
          <w:rFonts w:ascii="Arial" w:cs="Arial" w:eastAsia="Arial" w:hAnsi="Arial"/>
          <w:sz w:val="18"/>
          <w:szCs w:val="18"/>
          <w:color w:val="auto"/>
        </w:rPr>
        <w:t>2.For the twelve months ended December 31, 2024, adjustments include expense related to restructuring costs associated with portfolio prioritization.</w:t>
      </w:r>
    </w:p>
    <w:p>
      <w:pPr>
        <w:sectPr>
          <w:pgSz w:w="11900" w:h="16838" w:orient="portrait"/>
          <w:cols w:equalWidth="0" w:num="1">
            <w:col w:w="10860"/>
          </w:cols>
          <w:pgMar w:left="340" w:top="1025" w:right="699" w:bottom="1440" w:gutter="0" w:footer="0" w:header="0"/>
        </w:sectPr>
      </w:pPr>
    </w:p>
    <w:bookmarkStart w:id="15" w:name="page16"/>
    <w:bookmarkEnd w:id="15"/>
    <w:p>
      <w:pPr>
        <w:jc w:val="center"/>
        <w:spacing w:after="0"/>
        <w:rPr>
          <w:sz w:val="20"/>
          <w:szCs w:val="20"/>
          <w:color w:val="auto"/>
        </w:rPr>
      </w:pPr>
      <w:r>
        <w:rPr>
          <w:rFonts w:ascii="Arial" w:cs="Arial" w:eastAsia="Arial" w:hAnsi="Arial"/>
          <w:sz w:val="18"/>
          <w:szCs w:val="18"/>
          <w:color w:val="auto"/>
        </w:rPr>
        <w:t>VERACYTE, INC.</w:t>
      </w:r>
    </w:p>
    <w:p>
      <w:pPr>
        <w:spacing w:after="0" w:line="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RECONCILIATION OF U.S. GAAP to NON-GAAP FINANCIAL MEASURES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thousands)</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260" w:type="dxa"/>
            <w:vAlign w:val="bottom"/>
          </w:tcPr>
          <w:p>
            <w:pPr>
              <w:spacing w:after="0"/>
              <w:rPr>
                <w:sz w:val="17"/>
                <w:szCs w:val="17"/>
                <w:color w:val="auto"/>
              </w:rPr>
            </w:pPr>
          </w:p>
        </w:tc>
        <w:tc>
          <w:tcPr>
            <w:tcW w:w="2860" w:type="dxa"/>
            <w:vAlign w:val="bottom"/>
            <w:gridSpan w:val="6"/>
          </w:tcPr>
          <w:p>
            <w:pPr>
              <w:ind w:left="80"/>
              <w:spacing w:after="0"/>
              <w:rPr>
                <w:sz w:val="20"/>
                <w:szCs w:val="20"/>
                <w:color w:val="auto"/>
              </w:rPr>
            </w:pPr>
            <w:r>
              <w:rPr>
                <w:rFonts w:ascii="Arial" w:cs="Arial" w:eastAsia="Arial" w:hAnsi="Arial"/>
                <w:sz w:val="18"/>
                <w:szCs w:val="18"/>
                <w:color w:val="auto"/>
              </w:rPr>
              <w:t>Three Months Ended December</w:t>
            </w:r>
          </w:p>
        </w:tc>
        <w:tc>
          <w:tcPr>
            <w:tcW w:w="2740" w:type="dxa"/>
            <w:vAlign w:val="bottom"/>
            <w:gridSpan w:val="5"/>
          </w:tcPr>
          <w:p>
            <w:pPr>
              <w:jc w:val="right"/>
              <w:spacing w:after="0"/>
              <w:rPr>
                <w:sz w:val="20"/>
                <w:szCs w:val="20"/>
                <w:color w:val="auto"/>
              </w:rPr>
            </w:pPr>
            <w:r>
              <w:rPr>
                <w:rFonts w:ascii="Arial" w:cs="Arial" w:eastAsia="Arial" w:hAnsi="Arial"/>
                <w:sz w:val="18"/>
                <w:szCs w:val="18"/>
                <w:color w:val="auto"/>
              </w:rPr>
              <w:t>Twelve Months Ended December</w:t>
            </w:r>
          </w:p>
        </w:tc>
      </w:tr>
      <w:tr>
        <w:trPr>
          <w:trHeight w:val="250"/>
        </w:trPr>
        <w:tc>
          <w:tcPr>
            <w:tcW w:w="5260" w:type="dxa"/>
            <w:vAlign w:val="bottom"/>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1440" w:type="dxa"/>
            <w:vAlign w:val="bottom"/>
            <w:tcBorders>
              <w:bottom w:val="single" w:sz="8" w:color="auto"/>
            </w:tcBorders>
            <w:gridSpan w:val="3"/>
          </w:tcPr>
          <w:p>
            <w:pPr>
              <w:jc w:val="right"/>
              <w:ind w:right="150"/>
              <w:spacing w:after="0"/>
              <w:rPr>
                <w:sz w:val="20"/>
                <w:szCs w:val="20"/>
                <w:color w:val="auto"/>
              </w:rPr>
            </w:pPr>
            <w:r>
              <w:rPr>
                <w:rFonts w:ascii="Arial" w:cs="Arial" w:eastAsia="Arial" w:hAnsi="Arial"/>
                <w:sz w:val="18"/>
                <w:szCs w:val="18"/>
                <w:color w:val="auto"/>
              </w:rPr>
              <w:t>31</w:t>
            </w:r>
          </w:p>
        </w:tc>
        <w:tc>
          <w:tcPr>
            <w:tcW w:w="1020" w:type="dxa"/>
            <w:vAlign w:val="bottom"/>
            <w:tcBorders>
              <w:bottom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1440" w:type="dxa"/>
            <w:vAlign w:val="bottom"/>
            <w:tcBorders>
              <w:bottom w:val="single" w:sz="8" w:color="auto"/>
            </w:tcBorders>
            <w:gridSpan w:val="3"/>
          </w:tcPr>
          <w:p>
            <w:pPr>
              <w:jc w:val="right"/>
              <w:ind w:right="150"/>
              <w:spacing w:after="0"/>
              <w:rPr>
                <w:sz w:val="20"/>
                <w:szCs w:val="20"/>
                <w:color w:val="auto"/>
              </w:rPr>
            </w:pPr>
            <w:r>
              <w:rPr>
                <w:rFonts w:ascii="Arial" w:cs="Arial" w:eastAsia="Arial" w:hAnsi="Arial"/>
                <w:sz w:val="18"/>
                <w:szCs w:val="18"/>
                <w:color w:val="auto"/>
              </w:rPr>
              <w:t>31</w:t>
            </w:r>
          </w:p>
        </w:tc>
        <w:tc>
          <w:tcPr>
            <w:tcW w:w="1020" w:type="dxa"/>
            <w:vAlign w:val="bottom"/>
            <w:tcBorders>
              <w:bottom w:val="single" w:sz="8" w:color="auto"/>
            </w:tcBorders>
          </w:tcPr>
          <w:p>
            <w:pPr>
              <w:spacing w:after="0"/>
              <w:rPr>
                <w:sz w:val="21"/>
                <w:szCs w:val="21"/>
                <w:color w:val="auto"/>
              </w:rPr>
            </w:pPr>
          </w:p>
        </w:tc>
      </w:tr>
      <w:tr>
        <w:trPr>
          <w:trHeight w:val="237"/>
        </w:trPr>
        <w:tc>
          <w:tcPr>
            <w:tcW w:w="526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color w:val="auto"/>
              </w:rPr>
              <w:t>2024</w:t>
            </w:r>
          </w:p>
        </w:tc>
        <w:tc>
          <w:tcPr>
            <w:tcW w:w="10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color w:val="auto"/>
              </w:rPr>
              <w:t>2023</w:t>
            </w:r>
          </w:p>
        </w:tc>
        <w:tc>
          <w:tcPr>
            <w:tcW w:w="12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color w:val="auto"/>
              </w:rPr>
              <w:t>2024</w:t>
            </w:r>
          </w:p>
        </w:tc>
        <w:tc>
          <w:tcPr>
            <w:tcW w:w="10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color w:val="auto"/>
              </w:rPr>
              <w:t>2023</w:t>
            </w:r>
          </w:p>
        </w:tc>
      </w:tr>
      <w:tr>
        <w:trPr>
          <w:trHeight w:val="211"/>
        </w:trPr>
        <w:tc>
          <w:tcPr>
            <w:tcW w:w="5260" w:type="dxa"/>
            <w:vAlign w:val="bottom"/>
          </w:tcPr>
          <w:p>
            <w:pPr>
              <w:spacing w:after="0"/>
              <w:rPr>
                <w:sz w:val="20"/>
                <w:szCs w:val="20"/>
                <w:color w:val="auto"/>
              </w:rPr>
            </w:pPr>
            <w:r>
              <w:rPr>
                <w:rFonts w:ascii="Arial" w:cs="Arial" w:eastAsia="Arial" w:hAnsi="Arial"/>
                <w:sz w:val="18"/>
                <w:szCs w:val="18"/>
                <w:b w:val="1"/>
                <w:bCs w:val="1"/>
                <w:color w:val="auto"/>
              </w:rPr>
              <w:t>Reconciliation of Non-GAAP Operating Expenses:</w:t>
            </w:r>
          </w:p>
        </w:tc>
        <w:tc>
          <w:tcPr>
            <w:tcW w:w="2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spacing w:after="0"/>
              <w:rPr>
                <w:sz w:val="18"/>
                <w:szCs w:val="18"/>
                <w:color w:val="auto"/>
              </w:rPr>
            </w:pPr>
          </w:p>
        </w:tc>
      </w:tr>
      <w:tr>
        <w:trPr>
          <w:trHeight w:val="230"/>
        </w:trPr>
        <w:tc>
          <w:tcPr>
            <w:tcW w:w="5260" w:type="dxa"/>
            <w:vAlign w:val="bottom"/>
          </w:tcPr>
          <w:p>
            <w:pPr>
              <w:ind w:left="120"/>
              <w:spacing w:after="0"/>
              <w:rPr>
                <w:sz w:val="20"/>
                <w:szCs w:val="20"/>
                <w:color w:val="auto"/>
              </w:rPr>
            </w:pPr>
            <w:r>
              <w:rPr>
                <w:rFonts w:ascii="Arial" w:cs="Arial" w:eastAsia="Arial" w:hAnsi="Arial"/>
                <w:sz w:val="18"/>
                <w:szCs w:val="18"/>
                <w:color w:val="auto"/>
              </w:rPr>
              <w:t>GAAP research and development</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19,290</w:t>
            </w:r>
          </w:p>
        </w:tc>
        <w:tc>
          <w:tcPr>
            <w:tcW w:w="100" w:type="dxa"/>
            <w:vAlign w:val="bottom"/>
          </w:tcPr>
          <w:p>
            <w:pPr>
              <w:spacing w:after="0"/>
              <w:rPr>
                <w:sz w:val="19"/>
                <w:szCs w:val="19"/>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18,673</w:t>
            </w:r>
          </w:p>
        </w:tc>
        <w:tc>
          <w:tcPr>
            <w:tcW w:w="120" w:type="dxa"/>
            <w:vAlign w:val="bottom"/>
          </w:tcPr>
          <w:p>
            <w:pPr>
              <w:spacing w:after="0"/>
              <w:rPr>
                <w:sz w:val="19"/>
                <w:szCs w:val="19"/>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69,294</w:t>
            </w:r>
          </w:p>
        </w:tc>
        <w:tc>
          <w:tcPr>
            <w:tcW w:w="100" w:type="dxa"/>
            <w:vAlign w:val="bottom"/>
          </w:tcPr>
          <w:p>
            <w:pPr>
              <w:spacing w:after="0"/>
              <w:rPr>
                <w:sz w:val="19"/>
                <w:szCs w:val="19"/>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57,305</w:t>
            </w:r>
          </w:p>
        </w:tc>
      </w:tr>
      <w:tr>
        <w:trPr>
          <w:trHeight w:val="229"/>
        </w:trPr>
        <w:tc>
          <w:tcPr>
            <w:tcW w:w="5260" w:type="dxa"/>
            <w:vAlign w:val="bottom"/>
          </w:tcPr>
          <w:p>
            <w:pPr>
              <w:ind w:left="220"/>
              <w:spacing w:after="0"/>
              <w:rPr>
                <w:sz w:val="20"/>
                <w:szCs w:val="20"/>
                <w:color w:val="auto"/>
              </w:rPr>
            </w:pPr>
            <w:r>
              <w:rPr>
                <w:rFonts w:ascii="Arial" w:cs="Arial" w:eastAsia="Arial" w:hAnsi="Arial"/>
                <w:sz w:val="18"/>
                <w:szCs w:val="18"/>
                <w:color w:val="auto"/>
              </w:rPr>
              <w:t>Stock-based compensation expense</w:t>
            </w: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(1,896)</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(1,495)</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(7,511)</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(5,326)</w:t>
            </w:r>
          </w:p>
        </w:tc>
      </w:tr>
      <w:tr>
        <w:trPr>
          <w:trHeight w:val="229"/>
        </w:trPr>
        <w:tc>
          <w:tcPr>
            <w:tcW w:w="5260" w:type="dxa"/>
            <w:vAlign w:val="bottom"/>
          </w:tcPr>
          <w:p>
            <w:pPr>
              <w:ind w:left="220"/>
              <w:spacing w:after="0"/>
              <w:rPr>
                <w:sz w:val="20"/>
                <w:szCs w:val="20"/>
                <w:color w:val="auto"/>
              </w:rPr>
            </w:pPr>
            <w:r>
              <w:rPr>
                <w:rFonts w:ascii="Arial" w:cs="Arial" w:eastAsia="Arial" w:hAnsi="Arial"/>
                <w:sz w:val="18"/>
                <w:szCs w:val="18"/>
                <w:color w:val="auto"/>
              </w:rPr>
              <w:t>Acquisition related expenses (1)</w:t>
            </w:r>
          </w:p>
        </w:tc>
        <w:tc>
          <w:tcPr>
            <w:tcW w:w="280" w:type="dxa"/>
            <w:vAlign w:val="bottom"/>
          </w:tcPr>
          <w:p>
            <w:pPr>
              <w:spacing w:after="0"/>
              <w:rPr>
                <w:sz w:val="19"/>
                <w:szCs w:val="19"/>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62</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5"/>
        </w:trPr>
        <w:tc>
          <w:tcPr>
            <w:tcW w:w="5260" w:type="dxa"/>
            <w:vAlign w:val="bottom"/>
          </w:tcPr>
          <w:p>
            <w:pPr>
              <w:ind w:left="220"/>
              <w:spacing w:after="0"/>
              <w:rPr>
                <w:sz w:val="20"/>
                <w:szCs w:val="20"/>
                <w:color w:val="auto"/>
              </w:rPr>
            </w:pPr>
            <w:r>
              <w:rPr>
                <w:rFonts w:ascii="Arial" w:cs="Arial" w:eastAsia="Arial" w:hAnsi="Arial"/>
                <w:sz w:val="18"/>
                <w:szCs w:val="18"/>
                <w:color w:val="auto"/>
              </w:rPr>
              <w:t>Other adjustments (2)</w:t>
            </w:r>
          </w:p>
        </w:tc>
        <w:tc>
          <w:tcPr>
            <w:tcW w:w="280" w:type="dxa"/>
            <w:vAlign w:val="bottom"/>
          </w:tcPr>
          <w:p>
            <w:pPr>
              <w:spacing w:after="0"/>
              <w:rPr>
                <w:sz w:val="20"/>
                <w:szCs w:val="20"/>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0"/>
                <w:szCs w:val="20"/>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(271)</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3"/>
        </w:trPr>
        <w:tc>
          <w:tcPr>
            <w:tcW w:w="5260" w:type="dxa"/>
            <w:vAlign w:val="bottom"/>
          </w:tcPr>
          <w:p>
            <w:pPr>
              <w:ind w:left="120"/>
              <w:spacing w:after="0"/>
              <w:rPr>
                <w:sz w:val="20"/>
                <w:szCs w:val="20"/>
                <w:color w:val="auto"/>
              </w:rPr>
            </w:pPr>
            <w:r>
              <w:rPr>
                <w:rFonts w:ascii="Arial" w:cs="Arial" w:eastAsia="Arial" w:hAnsi="Arial"/>
                <w:sz w:val="18"/>
                <w:szCs w:val="18"/>
                <w:color w:val="auto"/>
              </w:rPr>
              <w:t>Non-GAAP research and development</w:t>
            </w: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17,394</w:t>
            </w:r>
          </w:p>
        </w:tc>
        <w:tc>
          <w:tcPr>
            <w:tcW w:w="100" w:type="dxa"/>
            <w:vAlign w:val="bottom"/>
          </w:tcPr>
          <w:p>
            <w:pPr>
              <w:spacing w:after="0"/>
              <w:rPr>
                <w:sz w:val="19"/>
                <w:szCs w:val="19"/>
                <w:color w:val="auto"/>
              </w:rPr>
            </w:pP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17,178</w:t>
            </w:r>
          </w:p>
        </w:tc>
        <w:tc>
          <w:tcPr>
            <w:tcW w:w="120" w:type="dxa"/>
            <w:vAlign w:val="bottom"/>
          </w:tcPr>
          <w:p>
            <w:pPr>
              <w:spacing w:after="0"/>
              <w:rPr>
                <w:sz w:val="19"/>
                <w:szCs w:val="19"/>
                <w:color w:val="auto"/>
              </w:rPr>
            </w:pP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61,574</w:t>
            </w:r>
          </w:p>
        </w:tc>
        <w:tc>
          <w:tcPr>
            <w:tcW w:w="100" w:type="dxa"/>
            <w:vAlign w:val="bottom"/>
          </w:tcPr>
          <w:p>
            <w:pPr>
              <w:spacing w:after="0"/>
              <w:rPr>
                <w:sz w:val="19"/>
                <w:szCs w:val="19"/>
                <w:color w:val="auto"/>
              </w:rPr>
            </w:pP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51,979</w:t>
            </w:r>
          </w:p>
        </w:tc>
      </w:tr>
      <w:tr>
        <w:trPr>
          <w:trHeight w:val="366"/>
        </w:trPr>
        <w:tc>
          <w:tcPr>
            <w:tcW w:w="5260" w:type="dxa"/>
            <w:vAlign w:val="bottom"/>
          </w:tcPr>
          <w:p>
            <w:pPr>
              <w:ind w:left="120"/>
              <w:spacing w:after="0"/>
              <w:rPr>
                <w:sz w:val="20"/>
                <w:szCs w:val="20"/>
                <w:color w:val="auto"/>
              </w:rPr>
            </w:pPr>
            <w:r>
              <w:rPr>
                <w:rFonts w:ascii="Arial" w:cs="Arial" w:eastAsia="Arial" w:hAnsi="Arial"/>
                <w:sz w:val="18"/>
                <w:szCs w:val="18"/>
                <w:color w:val="auto"/>
              </w:rPr>
              <w:t>GAAP sales and marketing</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24,824</w:t>
            </w:r>
          </w:p>
        </w:tc>
        <w:tc>
          <w:tcPr>
            <w:tcW w:w="100" w:type="dxa"/>
            <w:vAlign w:val="bottom"/>
          </w:tcPr>
          <w:p>
            <w:pPr>
              <w:spacing w:after="0"/>
              <w:rPr>
                <w:sz w:val="24"/>
                <w:szCs w:val="24"/>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25,260</w:t>
            </w:r>
          </w:p>
        </w:tc>
        <w:tc>
          <w:tcPr>
            <w:tcW w:w="120" w:type="dxa"/>
            <w:vAlign w:val="bottom"/>
          </w:tcPr>
          <w:p>
            <w:pPr>
              <w:spacing w:after="0"/>
              <w:rPr>
                <w:sz w:val="24"/>
                <w:szCs w:val="24"/>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95,434</w:t>
            </w:r>
          </w:p>
        </w:tc>
        <w:tc>
          <w:tcPr>
            <w:tcW w:w="100" w:type="dxa"/>
            <w:vAlign w:val="bottom"/>
          </w:tcPr>
          <w:p>
            <w:pPr>
              <w:spacing w:after="0"/>
              <w:rPr>
                <w:sz w:val="24"/>
                <w:szCs w:val="24"/>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101,490</w:t>
            </w:r>
          </w:p>
        </w:tc>
      </w:tr>
      <w:tr>
        <w:trPr>
          <w:trHeight w:val="230"/>
        </w:trPr>
        <w:tc>
          <w:tcPr>
            <w:tcW w:w="5260" w:type="dxa"/>
            <w:vAlign w:val="bottom"/>
          </w:tcPr>
          <w:p>
            <w:pPr>
              <w:ind w:left="220"/>
              <w:spacing w:after="0"/>
              <w:rPr>
                <w:sz w:val="20"/>
                <w:szCs w:val="20"/>
                <w:color w:val="auto"/>
              </w:rPr>
            </w:pPr>
            <w:r>
              <w:rPr>
                <w:rFonts w:ascii="Arial" w:cs="Arial" w:eastAsia="Arial" w:hAnsi="Arial"/>
                <w:sz w:val="18"/>
                <w:szCs w:val="18"/>
                <w:color w:val="auto"/>
              </w:rPr>
              <w:t>Stock-based compensation expense</w:t>
            </w: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(1,872)</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(2,498)</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(6,897)</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(9,624)</w:t>
            </w:r>
          </w:p>
        </w:tc>
      </w:tr>
      <w:tr>
        <w:trPr>
          <w:trHeight w:val="229"/>
        </w:trPr>
        <w:tc>
          <w:tcPr>
            <w:tcW w:w="5260" w:type="dxa"/>
            <w:vAlign w:val="bottom"/>
          </w:tcPr>
          <w:p>
            <w:pPr>
              <w:ind w:left="220"/>
              <w:spacing w:after="0"/>
              <w:rPr>
                <w:sz w:val="20"/>
                <w:szCs w:val="20"/>
                <w:color w:val="auto"/>
              </w:rPr>
            </w:pPr>
            <w:r>
              <w:rPr>
                <w:rFonts w:ascii="Arial" w:cs="Arial" w:eastAsia="Arial" w:hAnsi="Arial"/>
                <w:sz w:val="18"/>
                <w:szCs w:val="18"/>
                <w:color w:val="auto"/>
              </w:rPr>
              <w:t>Acquisition related expenses (1)</w:t>
            </w:r>
          </w:p>
        </w:tc>
        <w:tc>
          <w:tcPr>
            <w:tcW w:w="280" w:type="dxa"/>
            <w:vAlign w:val="bottom"/>
          </w:tcPr>
          <w:p>
            <w:pPr>
              <w:spacing w:after="0"/>
              <w:rPr>
                <w:sz w:val="19"/>
                <w:szCs w:val="19"/>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(124)</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(1,366)</w:t>
            </w:r>
          </w:p>
        </w:tc>
      </w:tr>
      <w:tr>
        <w:trPr>
          <w:trHeight w:val="235"/>
        </w:trPr>
        <w:tc>
          <w:tcPr>
            <w:tcW w:w="5260" w:type="dxa"/>
            <w:vAlign w:val="bottom"/>
          </w:tcPr>
          <w:p>
            <w:pPr>
              <w:ind w:left="220"/>
              <w:spacing w:after="0"/>
              <w:rPr>
                <w:sz w:val="20"/>
                <w:szCs w:val="20"/>
                <w:color w:val="auto"/>
              </w:rPr>
            </w:pPr>
            <w:r>
              <w:rPr>
                <w:rFonts w:ascii="Arial" w:cs="Arial" w:eastAsia="Arial" w:hAnsi="Arial"/>
                <w:sz w:val="18"/>
                <w:szCs w:val="18"/>
                <w:color w:val="auto"/>
              </w:rPr>
              <w:t>Other adjustments (2)</w:t>
            </w:r>
          </w:p>
        </w:tc>
        <w:tc>
          <w:tcPr>
            <w:tcW w:w="280" w:type="dxa"/>
            <w:vAlign w:val="bottom"/>
          </w:tcPr>
          <w:p>
            <w:pPr>
              <w:spacing w:after="0"/>
              <w:rPr>
                <w:sz w:val="20"/>
                <w:szCs w:val="20"/>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0"/>
                <w:szCs w:val="20"/>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(1,087)</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3"/>
        </w:trPr>
        <w:tc>
          <w:tcPr>
            <w:tcW w:w="5260" w:type="dxa"/>
            <w:vAlign w:val="bottom"/>
          </w:tcPr>
          <w:p>
            <w:pPr>
              <w:ind w:left="120"/>
              <w:spacing w:after="0"/>
              <w:rPr>
                <w:sz w:val="20"/>
                <w:szCs w:val="20"/>
                <w:color w:val="auto"/>
              </w:rPr>
            </w:pPr>
            <w:r>
              <w:rPr>
                <w:rFonts w:ascii="Arial" w:cs="Arial" w:eastAsia="Arial" w:hAnsi="Arial"/>
                <w:sz w:val="18"/>
                <w:szCs w:val="18"/>
                <w:color w:val="auto"/>
              </w:rPr>
              <w:t>Non-GAAP sales and marketing</w:t>
            </w: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22,952</w:t>
            </w:r>
          </w:p>
        </w:tc>
        <w:tc>
          <w:tcPr>
            <w:tcW w:w="100" w:type="dxa"/>
            <w:vAlign w:val="bottom"/>
          </w:tcPr>
          <w:p>
            <w:pPr>
              <w:spacing w:after="0"/>
              <w:rPr>
                <w:sz w:val="19"/>
                <w:szCs w:val="19"/>
                <w:color w:val="auto"/>
              </w:rPr>
            </w:pP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22,762</w:t>
            </w:r>
          </w:p>
        </w:tc>
        <w:tc>
          <w:tcPr>
            <w:tcW w:w="120" w:type="dxa"/>
            <w:vAlign w:val="bottom"/>
          </w:tcPr>
          <w:p>
            <w:pPr>
              <w:spacing w:after="0"/>
              <w:rPr>
                <w:sz w:val="19"/>
                <w:szCs w:val="19"/>
                <w:color w:val="auto"/>
              </w:rPr>
            </w:pP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87,326</w:t>
            </w:r>
          </w:p>
        </w:tc>
        <w:tc>
          <w:tcPr>
            <w:tcW w:w="100" w:type="dxa"/>
            <w:vAlign w:val="bottom"/>
          </w:tcPr>
          <w:p>
            <w:pPr>
              <w:spacing w:after="0"/>
              <w:rPr>
                <w:sz w:val="19"/>
                <w:szCs w:val="19"/>
                <w:color w:val="auto"/>
              </w:rPr>
            </w:pP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90,500</w:t>
            </w:r>
          </w:p>
        </w:tc>
      </w:tr>
      <w:tr>
        <w:trPr>
          <w:trHeight w:val="366"/>
        </w:trPr>
        <w:tc>
          <w:tcPr>
            <w:tcW w:w="5260" w:type="dxa"/>
            <w:vAlign w:val="bottom"/>
          </w:tcPr>
          <w:p>
            <w:pPr>
              <w:ind w:left="120"/>
              <w:spacing w:after="0"/>
              <w:rPr>
                <w:sz w:val="20"/>
                <w:szCs w:val="20"/>
                <w:color w:val="auto"/>
              </w:rPr>
            </w:pPr>
            <w:r>
              <w:rPr>
                <w:rFonts w:ascii="Arial" w:cs="Arial" w:eastAsia="Arial" w:hAnsi="Arial"/>
                <w:sz w:val="18"/>
                <w:szCs w:val="18"/>
                <w:color w:val="auto"/>
              </w:rPr>
              <w:t>GAAP general and administrative</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26,913</w:t>
            </w:r>
          </w:p>
        </w:tc>
        <w:tc>
          <w:tcPr>
            <w:tcW w:w="100" w:type="dxa"/>
            <w:vAlign w:val="bottom"/>
          </w:tcPr>
          <w:p>
            <w:pPr>
              <w:spacing w:after="0"/>
              <w:rPr>
                <w:sz w:val="24"/>
                <w:szCs w:val="24"/>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23,795</w:t>
            </w:r>
          </w:p>
        </w:tc>
        <w:tc>
          <w:tcPr>
            <w:tcW w:w="120" w:type="dxa"/>
            <w:vAlign w:val="bottom"/>
          </w:tcPr>
          <w:p>
            <w:pPr>
              <w:spacing w:after="0"/>
              <w:rPr>
                <w:sz w:val="24"/>
                <w:szCs w:val="24"/>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110,610</w:t>
            </w:r>
          </w:p>
        </w:tc>
        <w:tc>
          <w:tcPr>
            <w:tcW w:w="100" w:type="dxa"/>
            <w:vAlign w:val="bottom"/>
          </w:tcPr>
          <w:p>
            <w:pPr>
              <w:spacing w:after="0"/>
              <w:rPr>
                <w:sz w:val="24"/>
                <w:szCs w:val="24"/>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86,229</w:t>
            </w:r>
          </w:p>
        </w:tc>
      </w:tr>
      <w:tr>
        <w:trPr>
          <w:trHeight w:val="229"/>
        </w:trPr>
        <w:tc>
          <w:tcPr>
            <w:tcW w:w="5260" w:type="dxa"/>
            <w:vAlign w:val="bottom"/>
          </w:tcPr>
          <w:p>
            <w:pPr>
              <w:ind w:left="220"/>
              <w:spacing w:after="0"/>
              <w:rPr>
                <w:sz w:val="20"/>
                <w:szCs w:val="20"/>
                <w:color w:val="auto"/>
              </w:rPr>
            </w:pPr>
            <w:r>
              <w:rPr>
                <w:rFonts w:ascii="Arial" w:cs="Arial" w:eastAsia="Arial" w:hAnsi="Arial"/>
                <w:sz w:val="18"/>
                <w:szCs w:val="18"/>
                <w:color w:val="auto"/>
              </w:rPr>
              <w:t>Stock-based compensation expense</w:t>
            </w: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(5,220)</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(3,142)</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(19,522)</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(16,681)</w:t>
            </w:r>
          </w:p>
        </w:tc>
      </w:tr>
      <w:tr>
        <w:trPr>
          <w:trHeight w:val="229"/>
        </w:trPr>
        <w:tc>
          <w:tcPr>
            <w:tcW w:w="5260" w:type="dxa"/>
            <w:vAlign w:val="bottom"/>
          </w:tcPr>
          <w:p>
            <w:pPr>
              <w:ind w:left="220"/>
              <w:spacing w:after="0"/>
              <w:rPr>
                <w:sz w:val="20"/>
                <w:szCs w:val="20"/>
                <w:color w:val="auto"/>
              </w:rPr>
            </w:pPr>
            <w:r>
              <w:rPr>
                <w:rFonts w:ascii="Arial" w:cs="Arial" w:eastAsia="Arial" w:hAnsi="Arial"/>
                <w:sz w:val="18"/>
                <w:szCs w:val="18"/>
                <w:color w:val="auto"/>
              </w:rPr>
              <w:t>Acquisition related expenses (1)</w:t>
            </w: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(928)</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(2,718)</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(5,862)</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447</w:t>
            </w:r>
          </w:p>
        </w:tc>
      </w:tr>
      <w:tr>
        <w:trPr>
          <w:trHeight w:val="235"/>
        </w:trPr>
        <w:tc>
          <w:tcPr>
            <w:tcW w:w="5260" w:type="dxa"/>
            <w:vAlign w:val="bottom"/>
          </w:tcPr>
          <w:p>
            <w:pPr>
              <w:ind w:left="220"/>
              <w:spacing w:after="0"/>
              <w:rPr>
                <w:sz w:val="20"/>
                <w:szCs w:val="20"/>
                <w:color w:val="auto"/>
              </w:rPr>
            </w:pPr>
            <w:r>
              <w:rPr>
                <w:rFonts w:ascii="Arial" w:cs="Arial" w:eastAsia="Arial" w:hAnsi="Arial"/>
                <w:sz w:val="18"/>
                <w:szCs w:val="18"/>
                <w:color w:val="auto"/>
              </w:rPr>
              <w:t>Other adjustments (2)</w:t>
            </w:r>
          </w:p>
        </w:tc>
        <w:tc>
          <w:tcPr>
            <w:tcW w:w="28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(3,196)</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(6,564)</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66</w:t>
            </w:r>
          </w:p>
        </w:tc>
      </w:tr>
      <w:tr>
        <w:trPr>
          <w:trHeight w:val="223"/>
        </w:trPr>
        <w:tc>
          <w:tcPr>
            <w:tcW w:w="5260" w:type="dxa"/>
            <w:vAlign w:val="bottom"/>
          </w:tcPr>
          <w:p>
            <w:pPr>
              <w:ind w:left="120"/>
              <w:spacing w:after="0"/>
              <w:rPr>
                <w:sz w:val="20"/>
                <w:szCs w:val="20"/>
                <w:color w:val="auto"/>
              </w:rPr>
            </w:pPr>
            <w:r>
              <w:rPr>
                <w:rFonts w:ascii="Arial" w:cs="Arial" w:eastAsia="Arial" w:hAnsi="Arial"/>
                <w:sz w:val="18"/>
                <w:szCs w:val="18"/>
                <w:color w:val="auto"/>
              </w:rPr>
              <w:t>Non-GAAP general and administrative</w:t>
            </w: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17,569</w:t>
            </w:r>
          </w:p>
        </w:tc>
        <w:tc>
          <w:tcPr>
            <w:tcW w:w="100" w:type="dxa"/>
            <w:vAlign w:val="bottom"/>
          </w:tcPr>
          <w:p>
            <w:pPr>
              <w:spacing w:after="0"/>
              <w:rPr>
                <w:sz w:val="19"/>
                <w:szCs w:val="19"/>
                <w:color w:val="auto"/>
              </w:rPr>
            </w:pP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17,935</w:t>
            </w:r>
          </w:p>
        </w:tc>
        <w:tc>
          <w:tcPr>
            <w:tcW w:w="120" w:type="dxa"/>
            <w:vAlign w:val="bottom"/>
          </w:tcPr>
          <w:p>
            <w:pPr>
              <w:spacing w:after="0"/>
              <w:rPr>
                <w:sz w:val="19"/>
                <w:szCs w:val="19"/>
                <w:color w:val="auto"/>
              </w:rPr>
            </w:pP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78,662</w:t>
            </w:r>
          </w:p>
        </w:tc>
        <w:tc>
          <w:tcPr>
            <w:tcW w:w="100" w:type="dxa"/>
            <w:vAlign w:val="bottom"/>
          </w:tcPr>
          <w:p>
            <w:pPr>
              <w:spacing w:after="0"/>
              <w:rPr>
                <w:sz w:val="19"/>
                <w:szCs w:val="19"/>
                <w:color w:val="auto"/>
              </w:rPr>
            </w:pP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70,061</w:t>
            </w:r>
          </w:p>
        </w:tc>
      </w:tr>
      <w:tr>
        <w:trPr>
          <w:trHeight w:val="366"/>
        </w:trPr>
        <w:tc>
          <w:tcPr>
            <w:tcW w:w="5260" w:type="dxa"/>
            <w:vAlign w:val="bottom"/>
          </w:tcPr>
          <w:p>
            <w:pPr>
              <w:ind w:left="120"/>
              <w:spacing w:after="0"/>
              <w:rPr>
                <w:sz w:val="20"/>
                <w:szCs w:val="20"/>
                <w:color w:val="auto"/>
              </w:rPr>
            </w:pPr>
            <w:r>
              <w:rPr>
                <w:rFonts w:ascii="Arial" w:cs="Arial" w:eastAsia="Arial" w:hAnsi="Arial"/>
                <w:sz w:val="18"/>
                <w:szCs w:val="18"/>
                <w:color w:val="auto"/>
              </w:rPr>
              <w:t>GAAP total operating expenses</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74,579</w:t>
            </w:r>
          </w:p>
        </w:tc>
        <w:tc>
          <w:tcPr>
            <w:tcW w:w="100" w:type="dxa"/>
            <w:vAlign w:val="bottom"/>
          </w:tcPr>
          <w:p>
            <w:pPr>
              <w:spacing w:after="0"/>
              <w:rPr>
                <w:sz w:val="24"/>
                <w:szCs w:val="24"/>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100,295</w:t>
            </w:r>
          </w:p>
        </w:tc>
        <w:tc>
          <w:tcPr>
            <w:tcW w:w="120" w:type="dxa"/>
            <w:vAlign w:val="bottom"/>
          </w:tcPr>
          <w:p>
            <w:pPr>
              <w:spacing w:after="0"/>
              <w:rPr>
                <w:sz w:val="24"/>
                <w:szCs w:val="24"/>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282,003</w:t>
            </w:r>
          </w:p>
        </w:tc>
        <w:tc>
          <w:tcPr>
            <w:tcW w:w="100" w:type="dxa"/>
            <w:vAlign w:val="bottom"/>
          </w:tcPr>
          <w:p>
            <w:pPr>
              <w:spacing w:after="0"/>
              <w:rPr>
                <w:sz w:val="24"/>
                <w:szCs w:val="24"/>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315,479</w:t>
            </w:r>
          </w:p>
        </w:tc>
      </w:tr>
      <w:tr>
        <w:trPr>
          <w:trHeight w:val="230"/>
        </w:trPr>
        <w:tc>
          <w:tcPr>
            <w:tcW w:w="5260" w:type="dxa"/>
            <w:vAlign w:val="bottom"/>
          </w:tcPr>
          <w:p>
            <w:pPr>
              <w:ind w:left="220"/>
              <w:spacing w:after="0"/>
              <w:rPr>
                <w:sz w:val="20"/>
                <w:szCs w:val="20"/>
                <w:color w:val="auto"/>
              </w:rPr>
            </w:pPr>
            <w:r>
              <w:rPr>
                <w:rFonts w:ascii="Arial" w:cs="Arial" w:eastAsia="Arial" w:hAnsi="Arial"/>
                <w:sz w:val="18"/>
                <w:szCs w:val="18"/>
                <w:color w:val="auto"/>
              </w:rPr>
              <w:t>Amortization of intangible assets</w:t>
            </w: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(798)</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(528)</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(3,297)</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(2,106)</w:t>
            </w:r>
          </w:p>
        </w:tc>
      </w:tr>
      <w:tr>
        <w:trPr>
          <w:trHeight w:val="230"/>
        </w:trPr>
        <w:tc>
          <w:tcPr>
            <w:tcW w:w="5260" w:type="dxa"/>
            <w:vAlign w:val="bottom"/>
          </w:tcPr>
          <w:p>
            <w:pPr>
              <w:ind w:left="220"/>
              <w:spacing w:after="0"/>
              <w:rPr>
                <w:sz w:val="20"/>
                <w:szCs w:val="20"/>
                <w:color w:val="auto"/>
              </w:rPr>
            </w:pPr>
            <w:r>
              <w:rPr>
                <w:rFonts w:ascii="Arial" w:cs="Arial" w:eastAsia="Arial" w:hAnsi="Arial"/>
                <w:sz w:val="18"/>
                <w:szCs w:val="18"/>
                <w:color w:val="auto"/>
              </w:rPr>
              <w:t>Stock-based compensation expense</w:t>
            </w: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(8,988)</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(7,135)</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(33,930)</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(31,631)</w:t>
            </w:r>
          </w:p>
        </w:tc>
      </w:tr>
      <w:tr>
        <w:trPr>
          <w:trHeight w:val="230"/>
        </w:trPr>
        <w:tc>
          <w:tcPr>
            <w:tcW w:w="5260" w:type="dxa"/>
            <w:vAlign w:val="bottom"/>
          </w:tcPr>
          <w:p>
            <w:pPr>
              <w:ind w:left="220"/>
              <w:spacing w:after="0"/>
              <w:rPr>
                <w:sz w:val="20"/>
                <w:szCs w:val="20"/>
                <w:color w:val="auto"/>
              </w:rPr>
            </w:pPr>
            <w:r>
              <w:rPr>
                <w:rFonts w:ascii="Arial" w:cs="Arial" w:eastAsia="Arial" w:hAnsi="Arial"/>
                <w:sz w:val="18"/>
                <w:szCs w:val="18"/>
                <w:color w:val="auto"/>
              </w:rPr>
              <w:t>Acquisition related expenses (1)</w:t>
            </w: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(961)</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(2,718)</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(6,571)</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(919)</w:t>
            </w:r>
          </w:p>
        </w:tc>
      </w:tr>
      <w:tr>
        <w:trPr>
          <w:trHeight w:val="235"/>
        </w:trPr>
        <w:tc>
          <w:tcPr>
            <w:tcW w:w="5260" w:type="dxa"/>
            <w:vAlign w:val="bottom"/>
          </w:tcPr>
          <w:p>
            <w:pPr>
              <w:ind w:left="220"/>
              <w:spacing w:after="0"/>
              <w:rPr>
                <w:sz w:val="20"/>
                <w:szCs w:val="20"/>
                <w:color w:val="auto"/>
              </w:rPr>
            </w:pPr>
            <w:r>
              <w:rPr>
                <w:rFonts w:ascii="Arial" w:cs="Arial" w:eastAsia="Arial" w:hAnsi="Arial"/>
                <w:sz w:val="18"/>
                <w:szCs w:val="18"/>
                <w:color w:val="auto"/>
              </w:rPr>
              <w:t>Other adjustments (2)</w:t>
            </w:r>
          </w:p>
        </w:tc>
        <w:tc>
          <w:tcPr>
            <w:tcW w:w="28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(5,917)</w:t>
            </w:r>
          </w:p>
        </w:tc>
        <w:tc>
          <w:tcPr>
            <w:tcW w:w="10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(32,039)</w:t>
            </w:r>
          </w:p>
        </w:tc>
        <w:tc>
          <w:tcPr>
            <w:tcW w:w="12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(10,643)</w:t>
            </w:r>
          </w:p>
        </w:tc>
        <w:tc>
          <w:tcPr>
            <w:tcW w:w="10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(68,283)</w:t>
            </w:r>
          </w:p>
        </w:tc>
      </w:tr>
      <w:tr>
        <w:trPr>
          <w:trHeight w:val="223"/>
        </w:trPr>
        <w:tc>
          <w:tcPr>
            <w:tcW w:w="5260" w:type="dxa"/>
            <w:vAlign w:val="bottom"/>
          </w:tcPr>
          <w:p>
            <w:pPr>
              <w:ind w:left="120"/>
              <w:spacing w:after="0"/>
              <w:rPr>
                <w:sz w:val="20"/>
                <w:szCs w:val="20"/>
                <w:color w:val="auto"/>
              </w:rPr>
            </w:pPr>
            <w:r>
              <w:rPr>
                <w:rFonts w:ascii="Arial" w:cs="Arial" w:eastAsia="Arial" w:hAnsi="Arial"/>
                <w:sz w:val="18"/>
                <w:szCs w:val="18"/>
                <w:color w:val="auto"/>
              </w:rPr>
              <w:t>Non-GAAP total operating expenses</w:t>
            </w:r>
          </w:p>
        </w:tc>
        <w:tc>
          <w:tcPr>
            <w:tcW w:w="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57,915</w:t>
            </w:r>
          </w:p>
        </w:tc>
        <w:tc>
          <w:tcPr>
            <w:tcW w:w="100" w:type="dxa"/>
            <w:vAlign w:val="bottom"/>
          </w:tcPr>
          <w:p>
            <w:pPr>
              <w:spacing w:after="0"/>
              <w:rPr>
                <w:sz w:val="19"/>
                <w:szCs w:val="19"/>
                <w:color w:val="auto"/>
              </w:rPr>
            </w:pP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57,875</w:t>
            </w:r>
          </w:p>
        </w:tc>
        <w:tc>
          <w:tcPr>
            <w:tcW w:w="120" w:type="dxa"/>
            <w:vAlign w:val="bottom"/>
          </w:tcPr>
          <w:p>
            <w:pPr>
              <w:spacing w:after="0"/>
              <w:rPr>
                <w:sz w:val="19"/>
                <w:szCs w:val="19"/>
                <w:color w:val="auto"/>
              </w:rPr>
            </w:pPr>
          </w:p>
        </w:tc>
        <w:tc>
          <w:tcPr>
            <w:tcW w:w="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227,562</w:t>
            </w:r>
          </w:p>
        </w:tc>
        <w:tc>
          <w:tcPr>
            <w:tcW w:w="100" w:type="dxa"/>
            <w:vAlign w:val="bottom"/>
          </w:tcPr>
          <w:p>
            <w:pPr>
              <w:spacing w:after="0"/>
              <w:rPr>
                <w:sz w:val="19"/>
                <w:szCs w:val="19"/>
                <w:color w:val="auto"/>
              </w:rPr>
            </w:pP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212,540</w:t>
            </w:r>
          </w:p>
        </w:tc>
      </w:tr>
    </w:tbl>
    <w:p>
      <w:pPr>
        <w:spacing w:after="0" w:line="22" w:lineRule="exact"/>
        <w:rPr>
          <w:sz w:val="20"/>
          <w:szCs w:val="20"/>
          <w:color w:val="auto"/>
        </w:rPr>
      </w:pPr>
    </w:p>
    <w:p>
      <w:pPr>
        <w:spacing w:after="0"/>
        <w:rPr>
          <w:sz w:val="20"/>
          <w:szCs w:val="20"/>
          <w:color w:val="auto"/>
        </w:rPr>
      </w:pPr>
      <w:r>
        <w:rPr>
          <w:rFonts w:ascii="Arial" w:cs="Arial" w:eastAsia="Arial" w:hAnsi="Arial"/>
          <w:sz w:val="18"/>
          <w:szCs w:val="18"/>
          <w:color w:val="auto"/>
        </w:rPr>
        <w:t>1.Includes transaction-related expenses and post-combination compensation expenses. For the three months ended December 31,</w:t>
      </w:r>
    </w:p>
    <w:p>
      <w:pPr>
        <w:ind w:left="160"/>
        <w:spacing w:after="0" w:line="219" w:lineRule="auto"/>
        <w:rPr>
          <w:sz w:val="20"/>
          <w:szCs w:val="20"/>
          <w:color w:val="auto"/>
        </w:rPr>
      </w:pPr>
      <w:r>
        <w:rPr>
          <w:rFonts w:ascii="Arial" w:cs="Arial" w:eastAsia="Arial" w:hAnsi="Arial"/>
          <w:sz w:val="18"/>
          <w:szCs w:val="18"/>
          <w:color w:val="auto"/>
        </w:rPr>
        <w:t>2024, adjustments consist primarily of transaction-related expenses associated with the acquisition of C2i Genomics ($1.0 million). For</w:t>
      </w:r>
    </w:p>
    <w:p>
      <w:pPr>
        <w:ind w:left="160" w:right="180"/>
        <w:spacing w:after="0" w:line="221" w:lineRule="auto"/>
        <w:rPr>
          <w:sz w:val="20"/>
          <w:szCs w:val="20"/>
          <w:color w:val="auto"/>
        </w:rPr>
      </w:pPr>
      <w:r>
        <w:rPr>
          <w:rFonts w:ascii="Arial" w:cs="Arial" w:eastAsia="Arial" w:hAnsi="Arial"/>
          <w:sz w:val="17"/>
          <w:szCs w:val="17"/>
          <w:color w:val="auto"/>
        </w:rPr>
        <w:t>the three months ended December 31, 2023, adjustments consist primarily of transaction-related expenses associated with the acquisition of C2i Genomics ($ 2.6 million) and remeasurement of contingent consideration related to our adoption of a multi-platform IVD strategy ($0.1 million). For the twelve months ended December 31, 2024, adjustments consist primarily of transaction-related</w:t>
      </w:r>
    </w:p>
    <w:p>
      <w:pPr>
        <w:ind w:left="160" w:right="200"/>
        <w:spacing w:after="0" w:line="208" w:lineRule="auto"/>
        <w:rPr>
          <w:sz w:val="20"/>
          <w:szCs w:val="20"/>
          <w:color w:val="auto"/>
        </w:rPr>
      </w:pPr>
      <w:r>
        <w:rPr>
          <w:rFonts w:ascii="Arial" w:cs="Arial" w:eastAsia="Arial" w:hAnsi="Arial"/>
          <w:sz w:val="18"/>
          <w:szCs w:val="18"/>
          <w:color w:val="auto"/>
        </w:rPr>
        <w:t>expenses associated with the acquisition of C2i Genomics. For the twelve months ended December 31, 2023, adjustments consist primarily of remeasurement of contingent consideration related to our adoption of a multi-platform IVD strategy, post-combination compensation expenses associated with the acquisition of HalioDx and transaction-related expenses associated with the acquisition</w:t>
      </w:r>
    </w:p>
    <w:p>
      <w:pPr>
        <w:spacing w:after="0" w:line="2" w:lineRule="exact"/>
        <w:rPr>
          <w:sz w:val="20"/>
          <w:szCs w:val="20"/>
          <w:color w:val="auto"/>
        </w:rPr>
      </w:pPr>
    </w:p>
    <w:p>
      <w:pPr>
        <w:ind w:left="160"/>
        <w:spacing w:after="0"/>
        <w:rPr>
          <w:sz w:val="20"/>
          <w:szCs w:val="20"/>
          <w:color w:val="auto"/>
        </w:rPr>
      </w:pPr>
      <w:r>
        <w:rPr>
          <w:rFonts w:ascii="Arial" w:cs="Arial" w:eastAsia="Arial" w:hAnsi="Arial"/>
          <w:sz w:val="18"/>
          <w:szCs w:val="18"/>
          <w:color w:val="auto"/>
        </w:rPr>
        <w:t>of C2i Genomics.</w:t>
      </w:r>
    </w:p>
    <w:p>
      <w:pPr>
        <w:spacing w:after="0" w:line="14" w:lineRule="exact"/>
        <w:rPr>
          <w:sz w:val="20"/>
          <w:szCs w:val="20"/>
          <w:color w:val="auto"/>
        </w:rPr>
      </w:pPr>
    </w:p>
    <w:p>
      <w:pPr>
        <w:ind w:left="160" w:right="20" w:hanging="161"/>
        <w:spacing w:after="0" w:line="229" w:lineRule="auto"/>
        <w:rPr>
          <w:sz w:val="20"/>
          <w:szCs w:val="20"/>
          <w:color w:val="auto"/>
        </w:rPr>
      </w:pPr>
      <w:r>
        <w:rPr>
          <w:rFonts w:ascii="Arial" w:cs="Arial" w:eastAsia="Arial" w:hAnsi="Arial"/>
          <w:sz w:val="17"/>
          <w:szCs w:val="17"/>
          <w:color w:val="auto"/>
        </w:rPr>
        <w:t>2.For the three months ended December 31, 2024, adjustments primarily include expense related to Veracyte SAS site investment review ($3.2 million) and expense related to the impairment charge associated with HalioDx ($2.7 million). For the three months ended</w:t>
      </w:r>
    </w:p>
    <w:p>
      <w:pPr>
        <w:ind w:left="160" w:right="360"/>
        <w:spacing w:after="0" w:line="221" w:lineRule="auto"/>
        <w:rPr>
          <w:sz w:val="20"/>
          <w:szCs w:val="20"/>
          <w:color w:val="auto"/>
        </w:rPr>
      </w:pPr>
      <w:r>
        <w:rPr>
          <w:rFonts w:ascii="Arial" w:cs="Arial" w:eastAsia="Arial" w:hAnsi="Arial"/>
          <w:sz w:val="17"/>
          <w:szCs w:val="17"/>
          <w:color w:val="auto"/>
        </w:rPr>
        <w:t>December 31, 2023, adjustments include $ 32.0 million expense related to the impairment charge associated with HalioDx. For the twelve months ended December 31, 2024, adjustments primarily include expense related to restructuring costs associated with a reduction in our Biopharmaceutical and Other segment and with portfolio prioritization, expense related to Veracyte SAS site</w:t>
      </w:r>
    </w:p>
    <w:p>
      <w:pPr>
        <w:ind w:left="160" w:right="160"/>
        <w:spacing w:after="0" w:line="208" w:lineRule="auto"/>
        <w:rPr>
          <w:sz w:val="20"/>
          <w:szCs w:val="20"/>
          <w:color w:val="auto"/>
        </w:rPr>
      </w:pPr>
      <w:r>
        <w:rPr>
          <w:rFonts w:ascii="Arial" w:cs="Arial" w:eastAsia="Arial" w:hAnsi="Arial"/>
          <w:sz w:val="18"/>
          <w:szCs w:val="18"/>
          <w:color w:val="auto"/>
        </w:rPr>
        <w:t>investment review and expense related to the impairment charge associated with HalioDx. For the twelve months ended December 31, 2023, adjustments primarily include $34.9 million expense related to the impairment charge associated with the nCounter license intangible assets, $32.0 million expense related to the impairment charge associated with HalioDx and $1.3 million related to other</w:t>
      </w:r>
    </w:p>
    <w:p>
      <w:pPr>
        <w:spacing w:after="0" w:line="2" w:lineRule="exact"/>
        <w:rPr>
          <w:sz w:val="20"/>
          <w:szCs w:val="20"/>
          <w:color w:val="auto"/>
        </w:rPr>
      </w:pPr>
    </w:p>
    <w:p>
      <w:pPr>
        <w:ind w:left="160"/>
        <w:spacing w:after="0"/>
        <w:rPr>
          <w:sz w:val="20"/>
          <w:szCs w:val="20"/>
          <w:color w:val="auto"/>
        </w:rPr>
      </w:pPr>
      <w:r>
        <w:rPr>
          <w:rFonts w:ascii="Arial" w:cs="Arial" w:eastAsia="Arial" w:hAnsi="Arial"/>
          <w:sz w:val="18"/>
          <w:szCs w:val="18"/>
          <w:color w:val="auto"/>
        </w:rPr>
        <w:t>impairment charges.</w:t>
      </w:r>
    </w:p>
    <w:p>
      <w:pPr>
        <w:sectPr>
          <w:pgSz w:w="11900" w:h="16838" w:orient="portrait"/>
          <w:cols w:equalWidth="0" w:num="1">
            <w:col w:w="10860"/>
          </w:cols>
          <w:pgMar w:left="340" w:top="931" w:right="699" w:bottom="1440" w:gutter="0" w:footer="0" w:header="0"/>
        </w:sectPr>
      </w:pPr>
    </w:p>
    <w:bookmarkStart w:id="16" w:name="page17"/>
    <w:bookmarkEnd w:id="16"/>
    <w:p>
      <w:pPr>
        <w:jc w:val="center"/>
        <w:spacing w:after="0"/>
        <w:rPr>
          <w:sz w:val="20"/>
          <w:szCs w:val="20"/>
          <w:color w:val="auto"/>
        </w:rPr>
      </w:pPr>
      <w:r>
        <w:rPr>
          <w:rFonts w:ascii="Arial" w:cs="Arial" w:eastAsia="Arial" w:hAnsi="Arial"/>
          <w:sz w:val="18"/>
          <w:szCs w:val="18"/>
          <w:color w:val="auto"/>
        </w:rPr>
        <w:t>VERACYTE, INC.</w:t>
      </w:r>
    </w:p>
    <w:p>
      <w:pPr>
        <w:spacing w:after="0" w:line="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RECONCILIATION OF U.S. GAAP to NON-GAAP FINANCIAL MEASURES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thousands)</w:t>
      </w:r>
    </w:p>
    <w:p>
      <w:pPr>
        <w:spacing w:after="0" w:line="270" w:lineRule="exact"/>
        <w:rPr>
          <w:sz w:val="20"/>
          <w:szCs w:val="20"/>
          <w:color w:val="auto"/>
        </w:rPr>
      </w:pPr>
    </w:p>
    <w:tbl>
      <w:tblPr>
        <w:tblLayout w:type="fixed"/>
        <w:tblInd w:w="0" w:type="dxa"/>
        <w:tblCellMar>
          <w:top w:w="0" w:type="dxa"/>
          <w:left w:w="0" w:type="dxa"/>
          <w:bottom w:w="0" w:type="dxa"/>
          <w:right w:w="0" w:type="dxa"/>
        </w:tblCellMar>
      </w:tblPr>
      <w:tr>
        <w:trPr>
          <w:trHeight w:val="242"/>
        </w:trPr>
        <w:tc>
          <w:tcPr>
            <w:tcW w:w="46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40" w:type="dxa"/>
            <w:vAlign w:val="bottom"/>
            <w:gridSpan w:val="5"/>
          </w:tcPr>
          <w:p>
            <w:pPr>
              <w:spacing w:after="0"/>
              <w:rPr>
                <w:sz w:val="20"/>
                <w:szCs w:val="20"/>
                <w:color w:val="auto"/>
              </w:rPr>
            </w:pPr>
            <w:r>
              <w:rPr>
                <w:rFonts w:ascii="Arial" w:cs="Arial" w:eastAsia="Arial" w:hAnsi="Arial"/>
                <w:sz w:val="18"/>
                <w:szCs w:val="18"/>
                <w:color w:val="auto"/>
              </w:rPr>
              <w:t>Three Months Ended December 31</w:t>
            </w:r>
          </w:p>
        </w:tc>
        <w:tc>
          <w:tcPr>
            <w:tcW w:w="3040" w:type="dxa"/>
            <w:vAlign w:val="bottom"/>
            <w:gridSpan w:val="5"/>
          </w:tcPr>
          <w:p>
            <w:pPr>
              <w:jc w:val="right"/>
              <w:spacing w:after="0"/>
              <w:rPr>
                <w:sz w:val="20"/>
                <w:szCs w:val="20"/>
                <w:color w:val="auto"/>
              </w:rPr>
            </w:pPr>
            <w:r>
              <w:rPr>
                <w:rFonts w:ascii="Arial" w:cs="Arial" w:eastAsia="Arial" w:hAnsi="Arial"/>
                <w:sz w:val="18"/>
                <w:szCs w:val="18"/>
                <w:color w:val="auto"/>
              </w:rPr>
              <w:t>Twelve Months Ended December 31</w:t>
            </w:r>
          </w:p>
        </w:tc>
      </w:tr>
      <w:tr>
        <w:trPr>
          <w:trHeight w:val="237"/>
        </w:trPr>
        <w:tc>
          <w:tcPr>
            <w:tcW w:w="4660" w:type="dxa"/>
            <w:vAlign w:val="bottom"/>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p>
        </w:tc>
        <w:tc>
          <w:tcPr>
            <w:tcW w:w="1320" w:type="dxa"/>
            <w:vAlign w:val="bottom"/>
            <w:tcBorders>
              <w:top w:val="single" w:sz="8" w:color="auto"/>
              <w:bottom w:val="single" w:sz="8" w:color="auto"/>
            </w:tcBorders>
          </w:tcPr>
          <w:p>
            <w:pPr>
              <w:jc w:val="right"/>
              <w:ind w:right="430"/>
              <w:spacing w:after="0"/>
              <w:rPr>
                <w:sz w:val="20"/>
                <w:szCs w:val="20"/>
                <w:color w:val="auto"/>
              </w:rPr>
            </w:pPr>
            <w:r>
              <w:rPr>
                <w:rFonts w:ascii="Arial" w:cs="Arial" w:eastAsia="Arial" w:hAnsi="Arial"/>
                <w:sz w:val="18"/>
                <w:szCs w:val="18"/>
                <w:color w:val="auto"/>
              </w:rPr>
              <w:t>2024</w:t>
            </w:r>
          </w:p>
        </w:tc>
        <w:tc>
          <w:tcPr>
            <w:tcW w:w="120" w:type="dxa"/>
            <w:vAlign w:val="bottom"/>
            <w:tcBorders>
              <w:top w:val="single" w:sz="8" w:color="auto"/>
            </w:tcBorders>
          </w:tcPr>
          <w:p>
            <w:pPr>
              <w:spacing w:after="0"/>
              <w:rPr>
                <w:sz w:val="20"/>
                <w:szCs w:val="20"/>
                <w:color w:val="auto"/>
              </w:rPr>
            </w:pPr>
          </w:p>
        </w:tc>
        <w:tc>
          <w:tcPr>
            <w:tcW w:w="200" w:type="dxa"/>
            <w:vAlign w:val="bottom"/>
            <w:tcBorders>
              <w:top w:val="single" w:sz="8" w:color="auto"/>
              <w:bottom w:val="single" w:sz="8" w:color="auto"/>
            </w:tcBorders>
          </w:tcPr>
          <w:p>
            <w:pPr>
              <w:spacing w:after="0"/>
              <w:rPr>
                <w:sz w:val="20"/>
                <w:szCs w:val="20"/>
                <w:color w:val="auto"/>
              </w:rPr>
            </w:pPr>
          </w:p>
        </w:tc>
        <w:tc>
          <w:tcPr>
            <w:tcW w:w="1280" w:type="dxa"/>
            <w:vAlign w:val="bottom"/>
            <w:tcBorders>
              <w:top w:val="single" w:sz="8" w:color="auto"/>
              <w:bottom w:val="single" w:sz="8" w:color="auto"/>
            </w:tcBorders>
          </w:tcPr>
          <w:p>
            <w:pPr>
              <w:jc w:val="right"/>
              <w:ind w:right="450"/>
              <w:spacing w:after="0"/>
              <w:rPr>
                <w:sz w:val="20"/>
                <w:szCs w:val="20"/>
                <w:color w:val="auto"/>
              </w:rPr>
            </w:pPr>
            <w:r>
              <w:rPr>
                <w:rFonts w:ascii="Arial" w:cs="Arial" w:eastAsia="Arial" w:hAnsi="Arial"/>
                <w:sz w:val="18"/>
                <w:szCs w:val="18"/>
                <w:color w:val="auto"/>
              </w:rPr>
              <w:t>2023</w:t>
            </w:r>
          </w:p>
        </w:tc>
        <w:tc>
          <w:tcPr>
            <w:tcW w:w="120" w:type="dxa"/>
            <w:vAlign w:val="bottom"/>
          </w:tcPr>
          <w:p>
            <w:pPr>
              <w:spacing w:after="0"/>
              <w:rPr>
                <w:sz w:val="20"/>
                <w:szCs w:val="20"/>
                <w:color w:val="auto"/>
              </w:rPr>
            </w:pPr>
          </w:p>
        </w:tc>
        <w:tc>
          <w:tcPr>
            <w:tcW w:w="200" w:type="dxa"/>
            <w:vAlign w:val="bottom"/>
            <w:tcBorders>
              <w:top w:val="single" w:sz="8" w:color="auto"/>
              <w:bottom w:val="single" w:sz="8" w:color="auto"/>
            </w:tcBorders>
          </w:tcPr>
          <w:p>
            <w:pPr>
              <w:spacing w:after="0"/>
              <w:rPr>
                <w:sz w:val="20"/>
                <w:szCs w:val="20"/>
                <w:color w:val="auto"/>
              </w:rPr>
            </w:pPr>
          </w:p>
        </w:tc>
        <w:tc>
          <w:tcPr>
            <w:tcW w:w="1240" w:type="dxa"/>
            <w:vAlign w:val="bottom"/>
            <w:tcBorders>
              <w:top w:val="single" w:sz="8" w:color="auto"/>
              <w:bottom w:val="single" w:sz="8" w:color="auto"/>
            </w:tcBorders>
          </w:tcPr>
          <w:p>
            <w:pPr>
              <w:jc w:val="right"/>
              <w:ind w:right="430"/>
              <w:spacing w:after="0"/>
              <w:rPr>
                <w:sz w:val="20"/>
                <w:szCs w:val="20"/>
                <w:color w:val="auto"/>
              </w:rPr>
            </w:pPr>
            <w:r>
              <w:rPr>
                <w:rFonts w:ascii="Arial" w:cs="Arial" w:eastAsia="Arial" w:hAnsi="Arial"/>
                <w:sz w:val="18"/>
                <w:szCs w:val="18"/>
                <w:color w:val="auto"/>
              </w:rPr>
              <w:t>2024</w:t>
            </w:r>
          </w:p>
        </w:tc>
        <w:tc>
          <w:tcPr>
            <w:tcW w:w="120" w:type="dxa"/>
            <w:vAlign w:val="bottom"/>
            <w:tcBorders>
              <w:top w:val="single" w:sz="8" w:color="auto"/>
            </w:tcBorders>
          </w:tcPr>
          <w:p>
            <w:pPr>
              <w:spacing w:after="0"/>
              <w:rPr>
                <w:sz w:val="20"/>
                <w:szCs w:val="20"/>
                <w:color w:val="auto"/>
              </w:rPr>
            </w:pPr>
          </w:p>
        </w:tc>
        <w:tc>
          <w:tcPr>
            <w:tcW w:w="200" w:type="dxa"/>
            <w:vAlign w:val="bottom"/>
            <w:tcBorders>
              <w:top w:val="single" w:sz="8" w:color="auto"/>
              <w:bottom w:val="single" w:sz="8" w:color="auto"/>
            </w:tcBorders>
          </w:tcPr>
          <w:p>
            <w:pPr>
              <w:spacing w:after="0"/>
              <w:rPr>
                <w:sz w:val="20"/>
                <w:szCs w:val="20"/>
                <w:color w:val="auto"/>
              </w:rPr>
            </w:pPr>
          </w:p>
        </w:tc>
        <w:tc>
          <w:tcPr>
            <w:tcW w:w="1280" w:type="dxa"/>
            <w:vAlign w:val="bottom"/>
            <w:tcBorders>
              <w:top w:val="single" w:sz="8" w:color="auto"/>
              <w:bottom w:val="single" w:sz="8" w:color="auto"/>
            </w:tcBorders>
          </w:tcPr>
          <w:p>
            <w:pPr>
              <w:jc w:val="right"/>
              <w:ind w:right="450"/>
              <w:spacing w:after="0"/>
              <w:rPr>
                <w:sz w:val="20"/>
                <w:szCs w:val="20"/>
                <w:color w:val="auto"/>
              </w:rPr>
            </w:pPr>
            <w:r>
              <w:rPr>
                <w:rFonts w:ascii="Arial" w:cs="Arial" w:eastAsia="Arial" w:hAnsi="Arial"/>
                <w:sz w:val="18"/>
                <w:szCs w:val="18"/>
                <w:color w:val="auto"/>
              </w:rPr>
              <w:t>2023</w:t>
            </w:r>
          </w:p>
        </w:tc>
      </w:tr>
      <w:tr>
        <w:trPr>
          <w:trHeight w:val="211"/>
        </w:trPr>
        <w:tc>
          <w:tcPr>
            <w:tcW w:w="4660" w:type="dxa"/>
            <w:vAlign w:val="bottom"/>
          </w:tcPr>
          <w:p>
            <w:pPr>
              <w:spacing w:after="0"/>
              <w:rPr>
                <w:sz w:val="20"/>
                <w:szCs w:val="20"/>
                <w:color w:val="auto"/>
              </w:rPr>
            </w:pPr>
            <w:r>
              <w:rPr>
                <w:rFonts w:ascii="Arial" w:cs="Arial" w:eastAsia="Arial" w:hAnsi="Arial"/>
                <w:sz w:val="18"/>
                <w:szCs w:val="18"/>
                <w:b w:val="1"/>
                <w:bCs w:val="1"/>
                <w:color w:val="auto"/>
              </w:rPr>
              <w:t>Reconciliation of Adjusted EBITDA:</w:t>
            </w:r>
          </w:p>
        </w:tc>
        <w:tc>
          <w:tcPr>
            <w:tcW w:w="1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80" w:type="dxa"/>
            <w:vAlign w:val="bottom"/>
          </w:tcPr>
          <w:p>
            <w:pPr>
              <w:spacing w:after="0"/>
              <w:rPr>
                <w:sz w:val="18"/>
                <w:szCs w:val="18"/>
                <w:color w:val="auto"/>
              </w:rPr>
            </w:pPr>
          </w:p>
        </w:tc>
      </w:tr>
      <w:tr>
        <w:trPr>
          <w:trHeight w:val="229"/>
        </w:trPr>
        <w:tc>
          <w:tcPr>
            <w:tcW w:w="4660" w:type="dxa"/>
            <w:vAlign w:val="bottom"/>
          </w:tcPr>
          <w:p>
            <w:pPr>
              <w:ind w:left="120"/>
              <w:spacing w:after="0"/>
              <w:rPr>
                <w:sz w:val="20"/>
                <w:szCs w:val="20"/>
                <w:color w:val="auto"/>
              </w:rPr>
            </w:pPr>
            <w:r>
              <w:rPr>
                <w:rFonts w:ascii="Arial" w:cs="Arial" w:eastAsia="Arial" w:hAnsi="Arial"/>
                <w:sz w:val="18"/>
                <w:szCs w:val="18"/>
                <w:color w:val="auto"/>
              </w:rPr>
              <w:t>GAAP Net Income (Loss)</w:t>
            </w: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Pr>
          <w:p>
            <w:pPr>
              <w:jc w:val="right"/>
              <w:ind w:right="150"/>
              <w:spacing w:after="0"/>
              <w:rPr>
                <w:sz w:val="20"/>
                <w:szCs w:val="20"/>
                <w:color w:val="auto"/>
              </w:rPr>
            </w:pPr>
            <w:r>
              <w:rPr>
                <w:rFonts w:ascii="Arial" w:cs="Arial" w:eastAsia="Arial" w:hAnsi="Arial"/>
                <w:sz w:val="18"/>
                <w:szCs w:val="18"/>
                <w:color w:val="auto"/>
              </w:rPr>
              <w:t>5,113</w:t>
            </w:r>
          </w:p>
        </w:tc>
        <w:tc>
          <w:tcPr>
            <w:tcW w:w="120" w:type="dxa"/>
            <w:vAlign w:val="bottom"/>
          </w:tcPr>
          <w:p>
            <w:pPr>
              <w:spacing w:after="0"/>
              <w:rPr>
                <w:sz w:val="19"/>
                <w:szCs w:val="19"/>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280" w:type="dxa"/>
            <w:vAlign w:val="bottom"/>
          </w:tcPr>
          <w:p>
            <w:pPr>
              <w:jc w:val="right"/>
              <w:ind w:right="150"/>
              <w:spacing w:after="0"/>
              <w:rPr>
                <w:sz w:val="20"/>
                <w:szCs w:val="20"/>
                <w:color w:val="auto"/>
              </w:rPr>
            </w:pPr>
            <w:r>
              <w:rPr>
                <w:rFonts w:ascii="Arial" w:cs="Arial" w:eastAsia="Arial" w:hAnsi="Arial"/>
                <w:sz w:val="18"/>
                <w:szCs w:val="18"/>
                <w:color w:val="auto"/>
              </w:rPr>
              <w:t>(28,293)</w:t>
            </w:r>
          </w:p>
        </w:tc>
        <w:tc>
          <w:tcPr>
            <w:tcW w:w="12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ind w:right="150"/>
              <w:spacing w:after="0"/>
              <w:rPr>
                <w:sz w:val="20"/>
                <w:szCs w:val="20"/>
                <w:color w:val="auto"/>
              </w:rPr>
            </w:pPr>
            <w:r>
              <w:rPr>
                <w:rFonts w:ascii="Arial" w:cs="Arial" w:eastAsia="Arial" w:hAnsi="Arial"/>
                <w:sz w:val="18"/>
                <w:szCs w:val="18"/>
                <w:color w:val="auto"/>
              </w:rPr>
              <w:t>24,138</w:t>
            </w:r>
          </w:p>
        </w:tc>
        <w:tc>
          <w:tcPr>
            <w:tcW w:w="120" w:type="dxa"/>
            <w:vAlign w:val="bottom"/>
          </w:tcPr>
          <w:p>
            <w:pPr>
              <w:spacing w:after="0"/>
              <w:rPr>
                <w:sz w:val="19"/>
                <w:szCs w:val="19"/>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280" w:type="dxa"/>
            <w:vAlign w:val="bottom"/>
          </w:tcPr>
          <w:p>
            <w:pPr>
              <w:jc w:val="right"/>
              <w:ind w:right="150"/>
              <w:spacing w:after="0"/>
              <w:rPr>
                <w:sz w:val="20"/>
                <w:szCs w:val="20"/>
                <w:color w:val="auto"/>
              </w:rPr>
            </w:pPr>
            <w:r>
              <w:rPr>
                <w:rFonts w:ascii="Arial" w:cs="Arial" w:eastAsia="Arial" w:hAnsi="Arial"/>
                <w:sz w:val="18"/>
                <w:szCs w:val="18"/>
                <w:color w:val="auto"/>
              </w:rPr>
              <w:t>(74,404)</w:t>
            </w:r>
          </w:p>
        </w:tc>
      </w:tr>
      <w:tr>
        <w:trPr>
          <w:trHeight w:val="229"/>
        </w:trPr>
        <w:tc>
          <w:tcPr>
            <w:tcW w:w="4660" w:type="dxa"/>
            <w:vAlign w:val="bottom"/>
          </w:tcPr>
          <w:p>
            <w:pPr>
              <w:ind w:left="120"/>
              <w:spacing w:after="0"/>
              <w:rPr>
                <w:sz w:val="20"/>
                <w:szCs w:val="20"/>
                <w:color w:val="auto"/>
              </w:rPr>
            </w:pPr>
            <w:r>
              <w:rPr>
                <w:rFonts w:ascii="Arial" w:cs="Arial" w:eastAsia="Arial" w:hAnsi="Arial"/>
                <w:sz w:val="18"/>
                <w:szCs w:val="18"/>
                <w:color w:val="auto"/>
              </w:rPr>
              <w:t>GAAP Net Income (Loss) as a % of Revenue</w:t>
            </w:r>
          </w:p>
        </w:tc>
        <w:tc>
          <w:tcPr>
            <w:tcW w:w="1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4.3 %</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(28.8 %)</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5.4 %</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(20.6 %)</w:t>
            </w:r>
          </w:p>
        </w:tc>
      </w:tr>
      <w:tr>
        <w:trPr>
          <w:trHeight w:val="230"/>
        </w:trPr>
        <w:tc>
          <w:tcPr>
            <w:tcW w:w="4660" w:type="dxa"/>
            <w:vAlign w:val="bottom"/>
          </w:tcPr>
          <w:p>
            <w:pPr>
              <w:ind w:left="220"/>
              <w:spacing w:after="0"/>
              <w:rPr>
                <w:sz w:val="20"/>
                <w:szCs w:val="20"/>
                <w:color w:val="auto"/>
              </w:rPr>
            </w:pPr>
            <w:r>
              <w:rPr>
                <w:rFonts w:ascii="Arial" w:cs="Arial" w:eastAsia="Arial" w:hAnsi="Arial"/>
                <w:sz w:val="18"/>
                <w:szCs w:val="18"/>
                <w:color w:val="auto"/>
              </w:rPr>
              <w:t>Amortization of intangible assets</w:t>
            </w:r>
          </w:p>
        </w:tc>
        <w:tc>
          <w:tcPr>
            <w:tcW w:w="120" w:type="dxa"/>
            <w:vAlign w:val="bottom"/>
          </w:tcPr>
          <w:p>
            <w:pPr>
              <w:spacing w:after="0"/>
              <w:rPr>
                <w:sz w:val="19"/>
                <w:szCs w:val="19"/>
                <w:color w:val="auto"/>
              </w:rPr>
            </w:pPr>
          </w:p>
        </w:tc>
        <w:tc>
          <w:tcPr>
            <w:tcW w:w="1320" w:type="dxa"/>
            <w:vAlign w:val="bottom"/>
          </w:tcPr>
          <w:p>
            <w:pPr>
              <w:jc w:val="right"/>
              <w:ind w:right="150"/>
              <w:spacing w:after="0"/>
              <w:rPr>
                <w:sz w:val="20"/>
                <w:szCs w:val="20"/>
                <w:color w:val="auto"/>
              </w:rPr>
            </w:pPr>
            <w:r>
              <w:rPr>
                <w:rFonts w:ascii="Arial" w:cs="Arial" w:eastAsia="Arial" w:hAnsi="Arial"/>
                <w:sz w:val="18"/>
                <w:szCs w:val="18"/>
                <w:color w:val="auto"/>
              </w:rPr>
              <w:t>3,609</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80" w:type="dxa"/>
            <w:vAlign w:val="bottom"/>
          </w:tcPr>
          <w:p>
            <w:pPr>
              <w:jc w:val="right"/>
              <w:ind w:right="190"/>
              <w:spacing w:after="0"/>
              <w:rPr>
                <w:sz w:val="20"/>
                <w:szCs w:val="20"/>
                <w:color w:val="auto"/>
              </w:rPr>
            </w:pPr>
            <w:r>
              <w:rPr>
                <w:rFonts w:ascii="Arial" w:cs="Arial" w:eastAsia="Arial" w:hAnsi="Arial"/>
                <w:sz w:val="18"/>
                <w:szCs w:val="18"/>
                <w:color w:val="auto"/>
              </w:rPr>
              <w:t>4,563</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40" w:type="dxa"/>
            <w:vAlign w:val="bottom"/>
          </w:tcPr>
          <w:p>
            <w:pPr>
              <w:jc w:val="right"/>
              <w:ind w:right="150"/>
              <w:spacing w:after="0"/>
              <w:rPr>
                <w:sz w:val="20"/>
                <w:szCs w:val="20"/>
                <w:color w:val="auto"/>
              </w:rPr>
            </w:pPr>
            <w:r>
              <w:rPr>
                <w:rFonts w:ascii="Arial" w:cs="Arial" w:eastAsia="Arial" w:hAnsi="Arial"/>
                <w:sz w:val="18"/>
                <w:szCs w:val="18"/>
                <w:color w:val="auto"/>
              </w:rPr>
              <w:t>14,849</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80" w:type="dxa"/>
            <w:vAlign w:val="bottom"/>
          </w:tcPr>
          <w:p>
            <w:pPr>
              <w:jc w:val="right"/>
              <w:ind w:right="190"/>
              <w:spacing w:after="0"/>
              <w:rPr>
                <w:sz w:val="20"/>
                <w:szCs w:val="20"/>
                <w:color w:val="auto"/>
              </w:rPr>
            </w:pPr>
            <w:r>
              <w:rPr>
                <w:rFonts w:ascii="Arial" w:cs="Arial" w:eastAsia="Arial" w:hAnsi="Arial"/>
                <w:sz w:val="18"/>
                <w:szCs w:val="18"/>
                <w:color w:val="auto"/>
              </w:rPr>
              <w:t>20,570</w:t>
            </w:r>
          </w:p>
        </w:tc>
      </w:tr>
      <w:tr>
        <w:trPr>
          <w:trHeight w:val="229"/>
        </w:trPr>
        <w:tc>
          <w:tcPr>
            <w:tcW w:w="4660" w:type="dxa"/>
            <w:vAlign w:val="bottom"/>
          </w:tcPr>
          <w:p>
            <w:pPr>
              <w:ind w:left="220"/>
              <w:spacing w:after="0"/>
              <w:rPr>
                <w:sz w:val="20"/>
                <w:szCs w:val="20"/>
                <w:color w:val="auto"/>
              </w:rPr>
            </w:pPr>
            <w:r>
              <w:rPr>
                <w:rFonts w:ascii="Arial" w:cs="Arial" w:eastAsia="Arial" w:hAnsi="Arial"/>
                <w:sz w:val="18"/>
                <w:szCs w:val="18"/>
                <w:color w:val="auto"/>
              </w:rPr>
              <w:t>Depreciation expense</w:t>
            </w:r>
          </w:p>
        </w:tc>
        <w:tc>
          <w:tcPr>
            <w:tcW w:w="120" w:type="dxa"/>
            <w:vAlign w:val="bottom"/>
          </w:tcPr>
          <w:p>
            <w:pPr>
              <w:spacing w:after="0"/>
              <w:rPr>
                <w:sz w:val="19"/>
                <w:szCs w:val="19"/>
                <w:color w:val="auto"/>
              </w:rPr>
            </w:pPr>
          </w:p>
        </w:tc>
        <w:tc>
          <w:tcPr>
            <w:tcW w:w="1320" w:type="dxa"/>
            <w:vAlign w:val="bottom"/>
          </w:tcPr>
          <w:p>
            <w:pPr>
              <w:jc w:val="right"/>
              <w:ind w:right="150"/>
              <w:spacing w:after="0"/>
              <w:rPr>
                <w:sz w:val="20"/>
                <w:szCs w:val="20"/>
                <w:color w:val="auto"/>
              </w:rPr>
            </w:pPr>
            <w:r>
              <w:rPr>
                <w:rFonts w:ascii="Arial" w:cs="Arial" w:eastAsia="Arial" w:hAnsi="Arial"/>
                <w:sz w:val="18"/>
                <w:szCs w:val="18"/>
                <w:color w:val="auto"/>
              </w:rPr>
              <w:t>2,643</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80" w:type="dxa"/>
            <w:vAlign w:val="bottom"/>
          </w:tcPr>
          <w:p>
            <w:pPr>
              <w:jc w:val="right"/>
              <w:ind w:right="190"/>
              <w:spacing w:after="0"/>
              <w:rPr>
                <w:sz w:val="20"/>
                <w:szCs w:val="20"/>
                <w:color w:val="auto"/>
              </w:rPr>
            </w:pPr>
            <w:r>
              <w:rPr>
                <w:rFonts w:ascii="Arial" w:cs="Arial" w:eastAsia="Arial" w:hAnsi="Arial"/>
                <w:sz w:val="18"/>
                <w:szCs w:val="18"/>
                <w:color w:val="auto"/>
              </w:rPr>
              <w:t>1,773</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40" w:type="dxa"/>
            <w:vAlign w:val="bottom"/>
          </w:tcPr>
          <w:p>
            <w:pPr>
              <w:jc w:val="right"/>
              <w:ind w:right="150"/>
              <w:spacing w:after="0"/>
              <w:rPr>
                <w:sz w:val="20"/>
                <w:szCs w:val="20"/>
                <w:color w:val="auto"/>
              </w:rPr>
            </w:pPr>
            <w:r>
              <w:rPr>
                <w:rFonts w:ascii="Arial" w:cs="Arial" w:eastAsia="Arial" w:hAnsi="Arial"/>
                <w:sz w:val="18"/>
                <w:szCs w:val="18"/>
                <w:color w:val="auto"/>
              </w:rPr>
              <w:t>8,610</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80" w:type="dxa"/>
            <w:vAlign w:val="bottom"/>
          </w:tcPr>
          <w:p>
            <w:pPr>
              <w:jc w:val="right"/>
              <w:ind w:right="190"/>
              <w:spacing w:after="0"/>
              <w:rPr>
                <w:sz w:val="20"/>
                <w:szCs w:val="20"/>
                <w:color w:val="auto"/>
              </w:rPr>
            </w:pPr>
            <w:r>
              <w:rPr>
                <w:rFonts w:ascii="Arial" w:cs="Arial" w:eastAsia="Arial" w:hAnsi="Arial"/>
                <w:sz w:val="18"/>
                <w:szCs w:val="18"/>
                <w:color w:val="auto"/>
              </w:rPr>
              <w:t>6,618</w:t>
            </w:r>
          </w:p>
        </w:tc>
      </w:tr>
      <w:tr>
        <w:trPr>
          <w:trHeight w:val="229"/>
        </w:trPr>
        <w:tc>
          <w:tcPr>
            <w:tcW w:w="4660" w:type="dxa"/>
            <w:vAlign w:val="bottom"/>
          </w:tcPr>
          <w:p>
            <w:pPr>
              <w:ind w:left="220"/>
              <w:spacing w:after="0"/>
              <w:rPr>
                <w:sz w:val="20"/>
                <w:szCs w:val="20"/>
                <w:color w:val="auto"/>
              </w:rPr>
            </w:pPr>
            <w:r>
              <w:rPr>
                <w:rFonts w:ascii="Arial" w:cs="Arial" w:eastAsia="Arial" w:hAnsi="Arial"/>
                <w:sz w:val="18"/>
                <w:szCs w:val="18"/>
                <w:color w:val="auto"/>
              </w:rPr>
              <w:t>Stock-based compensation expense</w:t>
            </w:r>
          </w:p>
        </w:tc>
        <w:tc>
          <w:tcPr>
            <w:tcW w:w="120" w:type="dxa"/>
            <w:vAlign w:val="bottom"/>
          </w:tcPr>
          <w:p>
            <w:pPr>
              <w:spacing w:after="0"/>
              <w:rPr>
                <w:sz w:val="19"/>
                <w:szCs w:val="19"/>
                <w:color w:val="auto"/>
              </w:rPr>
            </w:pPr>
          </w:p>
        </w:tc>
        <w:tc>
          <w:tcPr>
            <w:tcW w:w="1320" w:type="dxa"/>
            <w:vAlign w:val="bottom"/>
          </w:tcPr>
          <w:p>
            <w:pPr>
              <w:jc w:val="right"/>
              <w:ind w:right="150"/>
              <w:spacing w:after="0"/>
              <w:rPr>
                <w:sz w:val="20"/>
                <w:szCs w:val="20"/>
                <w:color w:val="auto"/>
              </w:rPr>
            </w:pPr>
            <w:r>
              <w:rPr>
                <w:rFonts w:ascii="Arial" w:cs="Arial" w:eastAsia="Arial" w:hAnsi="Arial"/>
                <w:sz w:val="18"/>
                <w:szCs w:val="18"/>
                <w:color w:val="auto"/>
              </w:rPr>
              <w:t>9,629</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80" w:type="dxa"/>
            <w:vAlign w:val="bottom"/>
          </w:tcPr>
          <w:p>
            <w:pPr>
              <w:jc w:val="right"/>
              <w:ind w:right="190"/>
              <w:spacing w:after="0"/>
              <w:rPr>
                <w:sz w:val="20"/>
                <w:szCs w:val="20"/>
                <w:color w:val="auto"/>
              </w:rPr>
            </w:pPr>
            <w:r>
              <w:rPr>
                <w:rFonts w:ascii="Arial" w:cs="Arial" w:eastAsia="Arial" w:hAnsi="Arial"/>
                <w:sz w:val="18"/>
                <w:szCs w:val="18"/>
                <w:color w:val="auto"/>
              </w:rPr>
              <w:t>7,607</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40" w:type="dxa"/>
            <w:vAlign w:val="bottom"/>
          </w:tcPr>
          <w:p>
            <w:pPr>
              <w:jc w:val="right"/>
              <w:ind w:right="150"/>
              <w:spacing w:after="0"/>
              <w:rPr>
                <w:sz w:val="20"/>
                <w:szCs w:val="20"/>
                <w:color w:val="auto"/>
              </w:rPr>
            </w:pPr>
            <w:r>
              <w:rPr>
                <w:rFonts w:ascii="Arial" w:cs="Arial" w:eastAsia="Arial" w:hAnsi="Arial"/>
                <w:sz w:val="18"/>
                <w:szCs w:val="18"/>
                <w:color w:val="auto"/>
              </w:rPr>
              <w:t>36,249</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80" w:type="dxa"/>
            <w:vAlign w:val="bottom"/>
          </w:tcPr>
          <w:p>
            <w:pPr>
              <w:jc w:val="right"/>
              <w:ind w:right="190"/>
              <w:spacing w:after="0"/>
              <w:rPr>
                <w:sz w:val="20"/>
                <w:szCs w:val="20"/>
                <w:color w:val="auto"/>
              </w:rPr>
            </w:pPr>
            <w:r>
              <w:rPr>
                <w:rFonts w:ascii="Arial" w:cs="Arial" w:eastAsia="Arial" w:hAnsi="Arial"/>
                <w:sz w:val="18"/>
                <w:szCs w:val="18"/>
                <w:color w:val="auto"/>
              </w:rPr>
              <w:t>33,489</w:t>
            </w:r>
          </w:p>
        </w:tc>
      </w:tr>
      <w:tr>
        <w:trPr>
          <w:trHeight w:val="230"/>
        </w:trPr>
        <w:tc>
          <w:tcPr>
            <w:tcW w:w="4660" w:type="dxa"/>
            <w:vAlign w:val="bottom"/>
          </w:tcPr>
          <w:p>
            <w:pPr>
              <w:ind w:left="220"/>
              <w:spacing w:after="0"/>
              <w:rPr>
                <w:sz w:val="20"/>
                <w:szCs w:val="20"/>
                <w:color w:val="auto"/>
              </w:rPr>
            </w:pPr>
            <w:r>
              <w:rPr>
                <w:rFonts w:ascii="Arial" w:cs="Arial" w:eastAsia="Arial" w:hAnsi="Arial"/>
                <w:sz w:val="18"/>
                <w:szCs w:val="18"/>
                <w:color w:val="auto"/>
              </w:rPr>
              <w:t>Acquisition related expenses (1)</w:t>
            </w:r>
          </w:p>
        </w:tc>
        <w:tc>
          <w:tcPr>
            <w:tcW w:w="120" w:type="dxa"/>
            <w:vAlign w:val="bottom"/>
          </w:tcPr>
          <w:p>
            <w:pPr>
              <w:spacing w:after="0"/>
              <w:rPr>
                <w:sz w:val="19"/>
                <w:szCs w:val="19"/>
                <w:color w:val="auto"/>
              </w:rPr>
            </w:pPr>
          </w:p>
        </w:tc>
        <w:tc>
          <w:tcPr>
            <w:tcW w:w="1320" w:type="dxa"/>
            <w:vAlign w:val="bottom"/>
          </w:tcPr>
          <w:p>
            <w:pPr>
              <w:jc w:val="right"/>
              <w:ind w:right="150"/>
              <w:spacing w:after="0"/>
              <w:rPr>
                <w:sz w:val="20"/>
                <w:szCs w:val="20"/>
                <w:color w:val="auto"/>
              </w:rPr>
            </w:pPr>
            <w:r>
              <w:rPr>
                <w:rFonts w:ascii="Arial" w:cs="Arial" w:eastAsia="Arial" w:hAnsi="Arial"/>
                <w:sz w:val="18"/>
                <w:szCs w:val="18"/>
                <w:color w:val="auto"/>
              </w:rPr>
              <w:t>961</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80" w:type="dxa"/>
            <w:vAlign w:val="bottom"/>
          </w:tcPr>
          <w:p>
            <w:pPr>
              <w:jc w:val="right"/>
              <w:ind w:right="190"/>
              <w:spacing w:after="0"/>
              <w:rPr>
                <w:sz w:val="20"/>
                <w:szCs w:val="20"/>
                <w:color w:val="auto"/>
              </w:rPr>
            </w:pPr>
            <w:r>
              <w:rPr>
                <w:rFonts w:ascii="Arial" w:cs="Arial" w:eastAsia="Arial" w:hAnsi="Arial"/>
                <w:sz w:val="18"/>
                <w:szCs w:val="18"/>
                <w:color w:val="auto"/>
              </w:rPr>
              <w:t>2,718</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40" w:type="dxa"/>
            <w:vAlign w:val="bottom"/>
          </w:tcPr>
          <w:p>
            <w:pPr>
              <w:jc w:val="right"/>
              <w:ind w:right="150"/>
              <w:spacing w:after="0"/>
              <w:rPr>
                <w:sz w:val="20"/>
                <w:szCs w:val="20"/>
                <w:color w:val="auto"/>
              </w:rPr>
            </w:pPr>
            <w:r>
              <w:rPr>
                <w:rFonts w:ascii="Arial" w:cs="Arial" w:eastAsia="Arial" w:hAnsi="Arial"/>
                <w:sz w:val="18"/>
                <w:szCs w:val="18"/>
                <w:color w:val="auto"/>
              </w:rPr>
              <w:t>6,631</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80" w:type="dxa"/>
            <w:vAlign w:val="bottom"/>
          </w:tcPr>
          <w:p>
            <w:pPr>
              <w:jc w:val="right"/>
              <w:ind w:right="190"/>
              <w:spacing w:after="0"/>
              <w:rPr>
                <w:sz w:val="20"/>
                <w:szCs w:val="20"/>
                <w:color w:val="auto"/>
              </w:rPr>
            </w:pPr>
            <w:r>
              <w:rPr>
                <w:rFonts w:ascii="Arial" w:cs="Arial" w:eastAsia="Arial" w:hAnsi="Arial"/>
                <w:sz w:val="18"/>
                <w:szCs w:val="18"/>
                <w:color w:val="auto"/>
              </w:rPr>
              <w:t>993</w:t>
            </w:r>
          </w:p>
        </w:tc>
      </w:tr>
      <w:tr>
        <w:trPr>
          <w:trHeight w:val="229"/>
        </w:trPr>
        <w:tc>
          <w:tcPr>
            <w:tcW w:w="4660" w:type="dxa"/>
            <w:vAlign w:val="bottom"/>
          </w:tcPr>
          <w:p>
            <w:pPr>
              <w:ind w:left="220"/>
              <w:spacing w:after="0"/>
              <w:rPr>
                <w:sz w:val="20"/>
                <w:szCs w:val="20"/>
                <w:color w:val="auto"/>
              </w:rPr>
            </w:pPr>
            <w:r>
              <w:rPr>
                <w:rFonts w:ascii="Arial" w:cs="Arial" w:eastAsia="Arial" w:hAnsi="Arial"/>
                <w:sz w:val="18"/>
                <w:szCs w:val="18"/>
                <w:color w:val="auto"/>
              </w:rPr>
              <w:t>Other expense (income), net (2)</w:t>
            </w:r>
          </w:p>
        </w:tc>
        <w:tc>
          <w:tcPr>
            <w:tcW w:w="120" w:type="dxa"/>
            <w:vAlign w:val="bottom"/>
          </w:tcPr>
          <w:p>
            <w:pPr>
              <w:spacing w:after="0"/>
              <w:rPr>
                <w:sz w:val="19"/>
                <w:szCs w:val="19"/>
                <w:color w:val="auto"/>
              </w:rPr>
            </w:pPr>
          </w:p>
        </w:tc>
        <w:tc>
          <w:tcPr>
            <w:tcW w:w="1320" w:type="dxa"/>
            <w:vAlign w:val="bottom"/>
          </w:tcPr>
          <w:p>
            <w:pPr>
              <w:jc w:val="right"/>
              <w:ind w:right="90"/>
              <w:spacing w:after="0"/>
              <w:rPr>
                <w:sz w:val="20"/>
                <w:szCs w:val="20"/>
                <w:color w:val="auto"/>
              </w:rPr>
            </w:pPr>
            <w:r>
              <w:rPr>
                <w:rFonts w:ascii="Arial" w:cs="Arial" w:eastAsia="Arial" w:hAnsi="Arial"/>
                <w:sz w:val="18"/>
                <w:szCs w:val="18"/>
                <w:color w:val="auto"/>
              </w:rPr>
              <w:t>(1,967)</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80" w:type="dxa"/>
            <w:vAlign w:val="bottom"/>
          </w:tcPr>
          <w:p>
            <w:pPr>
              <w:jc w:val="right"/>
              <w:ind w:right="150"/>
              <w:spacing w:after="0"/>
              <w:rPr>
                <w:sz w:val="20"/>
                <w:szCs w:val="20"/>
                <w:color w:val="auto"/>
              </w:rPr>
            </w:pPr>
            <w:r>
              <w:rPr>
                <w:rFonts w:ascii="Arial" w:cs="Arial" w:eastAsia="Arial" w:hAnsi="Arial"/>
                <w:sz w:val="18"/>
                <w:szCs w:val="18"/>
                <w:color w:val="auto"/>
              </w:rPr>
              <w:t>(3,399)</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40" w:type="dxa"/>
            <w:vAlign w:val="bottom"/>
          </w:tcPr>
          <w:p>
            <w:pPr>
              <w:jc w:val="right"/>
              <w:ind w:right="90"/>
              <w:spacing w:after="0"/>
              <w:rPr>
                <w:sz w:val="20"/>
                <w:szCs w:val="20"/>
                <w:color w:val="auto"/>
              </w:rPr>
            </w:pPr>
            <w:r>
              <w:rPr>
                <w:rFonts w:ascii="Arial" w:cs="Arial" w:eastAsia="Arial" w:hAnsi="Arial"/>
                <w:sz w:val="18"/>
                <w:szCs w:val="18"/>
                <w:color w:val="auto"/>
              </w:rPr>
              <w:t>(11,647)</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80" w:type="dxa"/>
            <w:vAlign w:val="bottom"/>
          </w:tcPr>
          <w:p>
            <w:pPr>
              <w:jc w:val="right"/>
              <w:ind w:right="150"/>
              <w:spacing w:after="0"/>
              <w:rPr>
                <w:sz w:val="20"/>
                <w:szCs w:val="20"/>
                <w:color w:val="auto"/>
              </w:rPr>
            </w:pPr>
            <w:r>
              <w:rPr>
                <w:rFonts w:ascii="Arial" w:cs="Arial" w:eastAsia="Arial" w:hAnsi="Arial"/>
                <w:sz w:val="18"/>
                <w:szCs w:val="18"/>
                <w:color w:val="auto"/>
              </w:rPr>
              <w:t>(7,922)</w:t>
            </w:r>
          </w:p>
        </w:tc>
      </w:tr>
      <w:tr>
        <w:trPr>
          <w:trHeight w:val="230"/>
        </w:trPr>
        <w:tc>
          <w:tcPr>
            <w:tcW w:w="4660" w:type="dxa"/>
            <w:vAlign w:val="bottom"/>
          </w:tcPr>
          <w:p>
            <w:pPr>
              <w:ind w:left="220"/>
              <w:spacing w:after="0"/>
              <w:rPr>
                <w:sz w:val="20"/>
                <w:szCs w:val="20"/>
                <w:color w:val="auto"/>
              </w:rPr>
            </w:pPr>
            <w:r>
              <w:rPr>
                <w:rFonts w:ascii="Arial" w:cs="Arial" w:eastAsia="Arial" w:hAnsi="Arial"/>
                <w:sz w:val="18"/>
                <w:szCs w:val="18"/>
                <w:color w:val="auto"/>
              </w:rPr>
              <w:t>Other adjustments (3)</w:t>
            </w:r>
          </w:p>
        </w:tc>
        <w:tc>
          <w:tcPr>
            <w:tcW w:w="120" w:type="dxa"/>
            <w:vAlign w:val="bottom"/>
          </w:tcPr>
          <w:p>
            <w:pPr>
              <w:spacing w:after="0"/>
              <w:rPr>
                <w:sz w:val="19"/>
                <w:szCs w:val="19"/>
                <w:color w:val="auto"/>
              </w:rPr>
            </w:pPr>
          </w:p>
        </w:tc>
        <w:tc>
          <w:tcPr>
            <w:tcW w:w="1320" w:type="dxa"/>
            <w:vAlign w:val="bottom"/>
          </w:tcPr>
          <w:p>
            <w:pPr>
              <w:jc w:val="right"/>
              <w:ind w:right="150"/>
              <w:spacing w:after="0"/>
              <w:rPr>
                <w:sz w:val="20"/>
                <w:szCs w:val="20"/>
                <w:color w:val="auto"/>
              </w:rPr>
            </w:pPr>
            <w:r>
              <w:rPr>
                <w:rFonts w:ascii="Arial" w:cs="Arial" w:eastAsia="Arial" w:hAnsi="Arial"/>
                <w:sz w:val="18"/>
                <w:szCs w:val="18"/>
                <w:color w:val="auto"/>
              </w:rPr>
              <w:t>7,807</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80" w:type="dxa"/>
            <w:vAlign w:val="bottom"/>
          </w:tcPr>
          <w:p>
            <w:pPr>
              <w:jc w:val="right"/>
              <w:ind w:right="190"/>
              <w:spacing w:after="0"/>
              <w:rPr>
                <w:sz w:val="20"/>
                <w:szCs w:val="20"/>
                <w:color w:val="auto"/>
              </w:rPr>
            </w:pPr>
            <w:r>
              <w:rPr>
                <w:rFonts w:ascii="Arial" w:cs="Arial" w:eastAsia="Arial" w:hAnsi="Arial"/>
                <w:sz w:val="18"/>
                <w:szCs w:val="18"/>
                <w:color w:val="auto"/>
              </w:rPr>
              <w:t>32,039</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40" w:type="dxa"/>
            <w:vAlign w:val="bottom"/>
          </w:tcPr>
          <w:p>
            <w:pPr>
              <w:jc w:val="right"/>
              <w:ind w:right="150"/>
              <w:spacing w:after="0"/>
              <w:rPr>
                <w:sz w:val="20"/>
                <w:szCs w:val="20"/>
                <w:color w:val="auto"/>
              </w:rPr>
            </w:pPr>
            <w:r>
              <w:rPr>
                <w:rFonts w:ascii="Arial" w:cs="Arial" w:eastAsia="Arial" w:hAnsi="Arial"/>
                <w:sz w:val="18"/>
                <w:szCs w:val="18"/>
                <w:color w:val="auto"/>
              </w:rPr>
              <w:t>11,450</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80" w:type="dxa"/>
            <w:vAlign w:val="bottom"/>
          </w:tcPr>
          <w:p>
            <w:pPr>
              <w:jc w:val="right"/>
              <w:ind w:right="190"/>
              <w:spacing w:after="0"/>
              <w:rPr>
                <w:sz w:val="20"/>
                <w:szCs w:val="20"/>
                <w:color w:val="auto"/>
              </w:rPr>
            </w:pPr>
            <w:r>
              <w:rPr>
                <w:rFonts w:ascii="Arial" w:cs="Arial" w:eastAsia="Arial" w:hAnsi="Arial"/>
                <w:sz w:val="18"/>
                <w:szCs w:val="18"/>
                <w:color w:val="auto"/>
              </w:rPr>
              <w:t>68,283</w:t>
            </w:r>
          </w:p>
        </w:tc>
      </w:tr>
      <w:tr>
        <w:trPr>
          <w:trHeight w:val="235"/>
        </w:trPr>
        <w:tc>
          <w:tcPr>
            <w:tcW w:w="4660" w:type="dxa"/>
            <w:vAlign w:val="bottom"/>
          </w:tcPr>
          <w:p>
            <w:pPr>
              <w:ind w:left="220"/>
              <w:spacing w:after="0"/>
              <w:rPr>
                <w:sz w:val="20"/>
                <w:szCs w:val="20"/>
                <w:color w:val="auto"/>
              </w:rPr>
            </w:pPr>
            <w:r>
              <w:rPr>
                <w:rFonts w:ascii="Arial" w:cs="Arial" w:eastAsia="Arial" w:hAnsi="Arial"/>
                <w:sz w:val="18"/>
                <w:szCs w:val="18"/>
                <w:color w:val="auto"/>
              </w:rPr>
              <w:t>Income tax expense (benefit)</w:t>
            </w:r>
          </w:p>
        </w:tc>
        <w:tc>
          <w:tcPr>
            <w:tcW w:w="12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(1,670)</w:t>
            </w:r>
          </w:p>
        </w:tc>
        <w:tc>
          <w:tcPr>
            <w:tcW w:w="12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(2,179)</w:t>
            </w:r>
          </w:p>
        </w:tc>
        <w:tc>
          <w:tcPr>
            <w:tcW w:w="12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1,606</w:t>
            </w:r>
          </w:p>
        </w:tc>
        <w:tc>
          <w:tcPr>
            <w:tcW w:w="12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(2,208)</w:t>
            </w:r>
          </w:p>
        </w:tc>
      </w:tr>
      <w:tr>
        <w:trPr>
          <w:trHeight w:val="223"/>
        </w:trPr>
        <w:tc>
          <w:tcPr>
            <w:tcW w:w="4660" w:type="dxa"/>
            <w:vAlign w:val="bottom"/>
          </w:tcPr>
          <w:p>
            <w:pPr>
              <w:ind w:left="120"/>
              <w:spacing w:after="0"/>
              <w:rPr>
                <w:sz w:val="20"/>
                <w:szCs w:val="20"/>
                <w:color w:val="auto"/>
              </w:rPr>
            </w:pPr>
            <w:r>
              <w:rPr>
                <w:rFonts w:ascii="Arial" w:cs="Arial" w:eastAsia="Arial" w:hAnsi="Arial"/>
                <w:sz w:val="18"/>
                <w:szCs w:val="18"/>
                <w:color w:val="auto"/>
              </w:rPr>
              <w:t>Adjusted EBITDA</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26,125</w:t>
            </w:r>
          </w:p>
        </w:tc>
        <w:tc>
          <w:tcPr>
            <w:tcW w:w="120" w:type="dxa"/>
            <w:vAlign w:val="bottom"/>
          </w:tcPr>
          <w:p>
            <w:pPr>
              <w:spacing w:after="0"/>
              <w:rPr>
                <w:sz w:val="19"/>
                <w:szCs w:val="19"/>
                <w:color w:val="auto"/>
              </w:rPr>
            </w:pPr>
          </w:p>
        </w:tc>
        <w:tc>
          <w:tcPr>
            <w:tcW w:w="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28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rPr>
              <w:t>14,829</w:t>
            </w:r>
          </w:p>
        </w:tc>
        <w:tc>
          <w:tcPr>
            <w:tcW w:w="120" w:type="dxa"/>
            <w:vAlign w:val="bottom"/>
          </w:tcPr>
          <w:p>
            <w:pPr>
              <w:spacing w:after="0"/>
              <w:rPr>
                <w:sz w:val="19"/>
                <w:szCs w:val="19"/>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91,886</w:t>
            </w:r>
          </w:p>
        </w:tc>
        <w:tc>
          <w:tcPr>
            <w:tcW w:w="120" w:type="dxa"/>
            <w:vAlign w:val="bottom"/>
          </w:tcPr>
          <w:p>
            <w:pPr>
              <w:spacing w:after="0"/>
              <w:rPr>
                <w:sz w:val="19"/>
                <w:szCs w:val="19"/>
                <w:color w:val="auto"/>
              </w:rPr>
            </w:pPr>
          </w:p>
        </w:tc>
        <w:tc>
          <w:tcPr>
            <w:tcW w:w="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28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rPr>
              <w:t>45,419</w:t>
            </w:r>
          </w:p>
        </w:tc>
      </w:tr>
      <w:tr>
        <w:trPr>
          <w:trHeight w:val="232"/>
        </w:trPr>
        <w:tc>
          <w:tcPr>
            <w:tcW w:w="4660" w:type="dxa"/>
            <w:vAlign w:val="bottom"/>
          </w:tcPr>
          <w:p>
            <w:pPr>
              <w:ind w:left="120"/>
              <w:spacing w:after="0"/>
              <w:rPr>
                <w:sz w:val="20"/>
                <w:szCs w:val="20"/>
                <w:color w:val="auto"/>
              </w:rPr>
            </w:pPr>
            <w:r>
              <w:rPr>
                <w:rFonts w:ascii="Arial" w:cs="Arial" w:eastAsia="Arial" w:hAnsi="Arial"/>
                <w:sz w:val="18"/>
                <w:szCs w:val="18"/>
                <w:color w:val="auto"/>
              </w:rPr>
              <w:t>Adjusted EBITDA as a % of Revenue</w:t>
            </w:r>
          </w:p>
        </w:tc>
        <w:tc>
          <w:tcPr>
            <w:tcW w:w="12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22.0 %</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15.1 %</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20.6 %</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12.6 %</w:t>
            </w:r>
          </w:p>
        </w:tc>
      </w:tr>
      <w:tr>
        <w:trPr>
          <w:trHeight w:val="471"/>
        </w:trPr>
        <w:tc>
          <w:tcPr>
            <w:tcW w:w="4660" w:type="dxa"/>
            <w:vAlign w:val="bottom"/>
          </w:tcPr>
          <w:p>
            <w:pPr>
              <w:spacing w:after="0"/>
              <w:rPr>
                <w:sz w:val="20"/>
                <w:szCs w:val="20"/>
                <w:color w:val="auto"/>
              </w:rPr>
            </w:pPr>
            <w:r>
              <w:rPr>
                <w:rFonts w:ascii="Arial" w:cs="Arial" w:eastAsia="Arial" w:hAnsi="Arial"/>
                <w:sz w:val="18"/>
                <w:szCs w:val="18"/>
                <w:b w:val="1"/>
                <w:bCs w:val="1"/>
                <w:color w:val="auto"/>
              </w:rPr>
              <w:t>Reconciliation of Non-GAAP Net Income (Loss)</w:t>
            </w:r>
          </w:p>
        </w:tc>
        <w:tc>
          <w:tcPr>
            <w:tcW w:w="1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80" w:type="dxa"/>
            <w:vAlign w:val="bottom"/>
          </w:tcPr>
          <w:p>
            <w:pPr>
              <w:spacing w:after="0"/>
              <w:rPr>
                <w:sz w:val="24"/>
                <w:szCs w:val="24"/>
                <w:color w:val="auto"/>
              </w:rPr>
            </w:pPr>
          </w:p>
        </w:tc>
      </w:tr>
      <w:tr>
        <w:trPr>
          <w:trHeight w:val="230"/>
        </w:trPr>
        <w:tc>
          <w:tcPr>
            <w:tcW w:w="4660" w:type="dxa"/>
            <w:vAlign w:val="bottom"/>
          </w:tcPr>
          <w:p>
            <w:pPr>
              <w:ind w:left="120"/>
              <w:spacing w:after="0"/>
              <w:rPr>
                <w:sz w:val="20"/>
                <w:szCs w:val="20"/>
                <w:color w:val="auto"/>
              </w:rPr>
            </w:pPr>
            <w:r>
              <w:rPr>
                <w:rFonts w:ascii="Arial" w:cs="Arial" w:eastAsia="Arial" w:hAnsi="Arial"/>
                <w:sz w:val="18"/>
                <w:szCs w:val="18"/>
                <w:color w:val="auto"/>
              </w:rPr>
              <w:t>GAAP Net Income (Loss)</w:t>
            </w: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Pr>
          <w:p>
            <w:pPr>
              <w:jc w:val="right"/>
              <w:ind w:right="150"/>
              <w:spacing w:after="0"/>
              <w:rPr>
                <w:sz w:val="20"/>
                <w:szCs w:val="20"/>
                <w:color w:val="auto"/>
              </w:rPr>
            </w:pPr>
            <w:r>
              <w:rPr>
                <w:rFonts w:ascii="Arial" w:cs="Arial" w:eastAsia="Arial" w:hAnsi="Arial"/>
                <w:sz w:val="18"/>
                <w:szCs w:val="18"/>
                <w:color w:val="auto"/>
              </w:rPr>
              <w:t>5,113</w:t>
            </w:r>
          </w:p>
        </w:tc>
        <w:tc>
          <w:tcPr>
            <w:tcW w:w="120" w:type="dxa"/>
            <w:vAlign w:val="bottom"/>
          </w:tcPr>
          <w:p>
            <w:pPr>
              <w:spacing w:after="0"/>
              <w:rPr>
                <w:sz w:val="19"/>
                <w:szCs w:val="19"/>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280" w:type="dxa"/>
            <w:vAlign w:val="bottom"/>
          </w:tcPr>
          <w:p>
            <w:pPr>
              <w:jc w:val="right"/>
              <w:ind w:right="150"/>
              <w:spacing w:after="0"/>
              <w:rPr>
                <w:sz w:val="20"/>
                <w:szCs w:val="20"/>
                <w:color w:val="auto"/>
              </w:rPr>
            </w:pPr>
            <w:r>
              <w:rPr>
                <w:rFonts w:ascii="Arial" w:cs="Arial" w:eastAsia="Arial" w:hAnsi="Arial"/>
                <w:sz w:val="18"/>
                <w:szCs w:val="18"/>
                <w:color w:val="auto"/>
              </w:rPr>
              <w:t>(28,293)</w:t>
            </w:r>
          </w:p>
        </w:tc>
        <w:tc>
          <w:tcPr>
            <w:tcW w:w="12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ind w:right="150"/>
              <w:spacing w:after="0"/>
              <w:rPr>
                <w:sz w:val="20"/>
                <w:szCs w:val="20"/>
                <w:color w:val="auto"/>
              </w:rPr>
            </w:pPr>
            <w:r>
              <w:rPr>
                <w:rFonts w:ascii="Arial" w:cs="Arial" w:eastAsia="Arial" w:hAnsi="Arial"/>
                <w:sz w:val="18"/>
                <w:szCs w:val="18"/>
                <w:color w:val="auto"/>
              </w:rPr>
              <w:t>24,138</w:t>
            </w:r>
          </w:p>
        </w:tc>
        <w:tc>
          <w:tcPr>
            <w:tcW w:w="120" w:type="dxa"/>
            <w:vAlign w:val="bottom"/>
          </w:tcPr>
          <w:p>
            <w:pPr>
              <w:spacing w:after="0"/>
              <w:rPr>
                <w:sz w:val="19"/>
                <w:szCs w:val="19"/>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280" w:type="dxa"/>
            <w:vAlign w:val="bottom"/>
          </w:tcPr>
          <w:p>
            <w:pPr>
              <w:jc w:val="right"/>
              <w:ind w:right="150"/>
              <w:spacing w:after="0"/>
              <w:rPr>
                <w:sz w:val="20"/>
                <w:szCs w:val="20"/>
                <w:color w:val="auto"/>
              </w:rPr>
            </w:pPr>
            <w:r>
              <w:rPr>
                <w:rFonts w:ascii="Arial" w:cs="Arial" w:eastAsia="Arial" w:hAnsi="Arial"/>
                <w:sz w:val="18"/>
                <w:szCs w:val="18"/>
                <w:color w:val="auto"/>
              </w:rPr>
              <w:t>(74,404)</w:t>
            </w:r>
          </w:p>
        </w:tc>
      </w:tr>
      <w:tr>
        <w:trPr>
          <w:trHeight w:val="229"/>
        </w:trPr>
        <w:tc>
          <w:tcPr>
            <w:tcW w:w="4660" w:type="dxa"/>
            <w:vAlign w:val="bottom"/>
          </w:tcPr>
          <w:p>
            <w:pPr>
              <w:ind w:left="220"/>
              <w:spacing w:after="0"/>
              <w:rPr>
                <w:sz w:val="20"/>
                <w:szCs w:val="20"/>
                <w:color w:val="auto"/>
              </w:rPr>
            </w:pPr>
            <w:r>
              <w:rPr>
                <w:rFonts w:ascii="Arial" w:cs="Arial" w:eastAsia="Arial" w:hAnsi="Arial"/>
                <w:sz w:val="18"/>
                <w:szCs w:val="18"/>
                <w:color w:val="auto"/>
              </w:rPr>
              <w:t>Amortization of intangible assets</w:t>
            </w:r>
          </w:p>
        </w:tc>
        <w:tc>
          <w:tcPr>
            <w:tcW w:w="120" w:type="dxa"/>
            <w:vAlign w:val="bottom"/>
          </w:tcPr>
          <w:p>
            <w:pPr>
              <w:spacing w:after="0"/>
              <w:rPr>
                <w:sz w:val="19"/>
                <w:szCs w:val="19"/>
                <w:color w:val="auto"/>
              </w:rPr>
            </w:pPr>
          </w:p>
        </w:tc>
        <w:tc>
          <w:tcPr>
            <w:tcW w:w="1320" w:type="dxa"/>
            <w:vAlign w:val="bottom"/>
          </w:tcPr>
          <w:p>
            <w:pPr>
              <w:jc w:val="right"/>
              <w:ind w:right="150"/>
              <w:spacing w:after="0"/>
              <w:rPr>
                <w:sz w:val="20"/>
                <w:szCs w:val="20"/>
                <w:color w:val="auto"/>
              </w:rPr>
            </w:pPr>
            <w:r>
              <w:rPr>
                <w:rFonts w:ascii="Arial" w:cs="Arial" w:eastAsia="Arial" w:hAnsi="Arial"/>
                <w:sz w:val="18"/>
                <w:szCs w:val="18"/>
                <w:color w:val="auto"/>
              </w:rPr>
              <w:t>3,609</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80" w:type="dxa"/>
            <w:vAlign w:val="bottom"/>
          </w:tcPr>
          <w:p>
            <w:pPr>
              <w:jc w:val="right"/>
              <w:ind w:right="190"/>
              <w:spacing w:after="0"/>
              <w:rPr>
                <w:sz w:val="20"/>
                <w:szCs w:val="20"/>
                <w:color w:val="auto"/>
              </w:rPr>
            </w:pPr>
            <w:r>
              <w:rPr>
                <w:rFonts w:ascii="Arial" w:cs="Arial" w:eastAsia="Arial" w:hAnsi="Arial"/>
                <w:sz w:val="18"/>
                <w:szCs w:val="18"/>
                <w:color w:val="auto"/>
              </w:rPr>
              <w:t>4,563</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40" w:type="dxa"/>
            <w:vAlign w:val="bottom"/>
          </w:tcPr>
          <w:p>
            <w:pPr>
              <w:jc w:val="right"/>
              <w:ind w:right="150"/>
              <w:spacing w:after="0"/>
              <w:rPr>
                <w:sz w:val="20"/>
                <w:szCs w:val="20"/>
                <w:color w:val="auto"/>
              </w:rPr>
            </w:pPr>
            <w:r>
              <w:rPr>
                <w:rFonts w:ascii="Arial" w:cs="Arial" w:eastAsia="Arial" w:hAnsi="Arial"/>
                <w:sz w:val="18"/>
                <w:szCs w:val="18"/>
                <w:color w:val="auto"/>
              </w:rPr>
              <w:t>14,849</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80" w:type="dxa"/>
            <w:vAlign w:val="bottom"/>
          </w:tcPr>
          <w:p>
            <w:pPr>
              <w:jc w:val="right"/>
              <w:ind w:right="190"/>
              <w:spacing w:after="0"/>
              <w:rPr>
                <w:sz w:val="20"/>
                <w:szCs w:val="20"/>
                <w:color w:val="auto"/>
              </w:rPr>
            </w:pPr>
            <w:r>
              <w:rPr>
                <w:rFonts w:ascii="Arial" w:cs="Arial" w:eastAsia="Arial" w:hAnsi="Arial"/>
                <w:sz w:val="18"/>
                <w:szCs w:val="18"/>
                <w:color w:val="auto"/>
              </w:rPr>
              <w:t>20,570</w:t>
            </w:r>
          </w:p>
        </w:tc>
      </w:tr>
      <w:tr>
        <w:trPr>
          <w:trHeight w:val="229"/>
        </w:trPr>
        <w:tc>
          <w:tcPr>
            <w:tcW w:w="4660" w:type="dxa"/>
            <w:vAlign w:val="bottom"/>
          </w:tcPr>
          <w:p>
            <w:pPr>
              <w:ind w:left="220"/>
              <w:spacing w:after="0"/>
              <w:rPr>
                <w:sz w:val="20"/>
                <w:szCs w:val="20"/>
                <w:color w:val="auto"/>
              </w:rPr>
            </w:pPr>
            <w:r>
              <w:rPr>
                <w:rFonts w:ascii="Arial" w:cs="Arial" w:eastAsia="Arial" w:hAnsi="Arial"/>
                <w:sz w:val="18"/>
                <w:szCs w:val="18"/>
                <w:color w:val="auto"/>
              </w:rPr>
              <w:t>Stock-based compensation expense</w:t>
            </w:r>
          </w:p>
        </w:tc>
        <w:tc>
          <w:tcPr>
            <w:tcW w:w="120" w:type="dxa"/>
            <w:vAlign w:val="bottom"/>
          </w:tcPr>
          <w:p>
            <w:pPr>
              <w:spacing w:after="0"/>
              <w:rPr>
                <w:sz w:val="19"/>
                <w:szCs w:val="19"/>
                <w:color w:val="auto"/>
              </w:rPr>
            </w:pPr>
          </w:p>
        </w:tc>
        <w:tc>
          <w:tcPr>
            <w:tcW w:w="1320" w:type="dxa"/>
            <w:vAlign w:val="bottom"/>
          </w:tcPr>
          <w:p>
            <w:pPr>
              <w:jc w:val="right"/>
              <w:ind w:right="150"/>
              <w:spacing w:after="0"/>
              <w:rPr>
                <w:sz w:val="20"/>
                <w:szCs w:val="20"/>
                <w:color w:val="auto"/>
              </w:rPr>
            </w:pPr>
            <w:r>
              <w:rPr>
                <w:rFonts w:ascii="Arial" w:cs="Arial" w:eastAsia="Arial" w:hAnsi="Arial"/>
                <w:sz w:val="18"/>
                <w:szCs w:val="18"/>
                <w:color w:val="auto"/>
              </w:rPr>
              <w:t>9,629</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80" w:type="dxa"/>
            <w:vAlign w:val="bottom"/>
          </w:tcPr>
          <w:p>
            <w:pPr>
              <w:jc w:val="right"/>
              <w:ind w:right="190"/>
              <w:spacing w:after="0"/>
              <w:rPr>
                <w:sz w:val="20"/>
                <w:szCs w:val="20"/>
                <w:color w:val="auto"/>
              </w:rPr>
            </w:pPr>
            <w:r>
              <w:rPr>
                <w:rFonts w:ascii="Arial" w:cs="Arial" w:eastAsia="Arial" w:hAnsi="Arial"/>
                <w:sz w:val="18"/>
                <w:szCs w:val="18"/>
                <w:color w:val="auto"/>
              </w:rPr>
              <w:t>7,607</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40" w:type="dxa"/>
            <w:vAlign w:val="bottom"/>
          </w:tcPr>
          <w:p>
            <w:pPr>
              <w:jc w:val="right"/>
              <w:ind w:right="150"/>
              <w:spacing w:after="0"/>
              <w:rPr>
                <w:sz w:val="20"/>
                <w:szCs w:val="20"/>
                <w:color w:val="auto"/>
              </w:rPr>
            </w:pPr>
            <w:r>
              <w:rPr>
                <w:rFonts w:ascii="Arial" w:cs="Arial" w:eastAsia="Arial" w:hAnsi="Arial"/>
                <w:sz w:val="18"/>
                <w:szCs w:val="18"/>
                <w:color w:val="auto"/>
              </w:rPr>
              <w:t>36,249</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80" w:type="dxa"/>
            <w:vAlign w:val="bottom"/>
          </w:tcPr>
          <w:p>
            <w:pPr>
              <w:jc w:val="right"/>
              <w:ind w:right="190"/>
              <w:spacing w:after="0"/>
              <w:rPr>
                <w:sz w:val="20"/>
                <w:szCs w:val="20"/>
                <w:color w:val="auto"/>
              </w:rPr>
            </w:pPr>
            <w:r>
              <w:rPr>
                <w:rFonts w:ascii="Arial" w:cs="Arial" w:eastAsia="Arial" w:hAnsi="Arial"/>
                <w:sz w:val="18"/>
                <w:szCs w:val="18"/>
                <w:color w:val="auto"/>
              </w:rPr>
              <w:t>33,489</w:t>
            </w:r>
          </w:p>
        </w:tc>
      </w:tr>
      <w:tr>
        <w:trPr>
          <w:trHeight w:val="230"/>
        </w:trPr>
        <w:tc>
          <w:tcPr>
            <w:tcW w:w="4660" w:type="dxa"/>
            <w:vAlign w:val="bottom"/>
          </w:tcPr>
          <w:p>
            <w:pPr>
              <w:ind w:left="220"/>
              <w:spacing w:after="0"/>
              <w:rPr>
                <w:sz w:val="20"/>
                <w:szCs w:val="20"/>
                <w:color w:val="auto"/>
              </w:rPr>
            </w:pPr>
            <w:r>
              <w:rPr>
                <w:rFonts w:ascii="Arial" w:cs="Arial" w:eastAsia="Arial" w:hAnsi="Arial"/>
                <w:sz w:val="18"/>
                <w:szCs w:val="18"/>
                <w:color w:val="auto"/>
              </w:rPr>
              <w:t>Acquisition related expenses (1)</w:t>
            </w:r>
          </w:p>
        </w:tc>
        <w:tc>
          <w:tcPr>
            <w:tcW w:w="120" w:type="dxa"/>
            <w:vAlign w:val="bottom"/>
          </w:tcPr>
          <w:p>
            <w:pPr>
              <w:spacing w:after="0"/>
              <w:rPr>
                <w:sz w:val="19"/>
                <w:szCs w:val="19"/>
                <w:color w:val="auto"/>
              </w:rPr>
            </w:pPr>
          </w:p>
        </w:tc>
        <w:tc>
          <w:tcPr>
            <w:tcW w:w="1320" w:type="dxa"/>
            <w:vAlign w:val="bottom"/>
          </w:tcPr>
          <w:p>
            <w:pPr>
              <w:jc w:val="right"/>
              <w:ind w:right="150"/>
              <w:spacing w:after="0"/>
              <w:rPr>
                <w:sz w:val="20"/>
                <w:szCs w:val="20"/>
                <w:color w:val="auto"/>
              </w:rPr>
            </w:pPr>
            <w:r>
              <w:rPr>
                <w:rFonts w:ascii="Arial" w:cs="Arial" w:eastAsia="Arial" w:hAnsi="Arial"/>
                <w:sz w:val="18"/>
                <w:szCs w:val="18"/>
                <w:color w:val="auto"/>
              </w:rPr>
              <w:t>961</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80" w:type="dxa"/>
            <w:vAlign w:val="bottom"/>
          </w:tcPr>
          <w:p>
            <w:pPr>
              <w:jc w:val="right"/>
              <w:ind w:right="190"/>
              <w:spacing w:after="0"/>
              <w:rPr>
                <w:sz w:val="20"/>
                <w:szCs w:val="20"/>
                <w:color w:val="auto"/>
              </w:rPr>
            </w:pPr>
            <w:r>
              <w:rPr>
                <w:rFonts w:ascii="Arial" w:cs="Arial" w:eastAsia="Arial" w:hAnsi="Arial"/>
                <w:sz w:val="18"/>
                <w:szCs w:val="18"/>
                <w:color w:val="auto"/>
              </w:rPr>
              <w:t>2,718</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40" w:type="dxa"/>
            <w:vAlign w:val="bottom"/>
          </w:tcPr>
          <w:p>
            <w:pPr>
              <w:jc w:val="right"/>
              <w:ind w:right="150"/>
              <w:spacing w:after="0"/>
              <w:rPr>
                <w:sz w:val="20"/>
                <w:szCs w:val="20"/>
                <w:color w:val="auto"/>
              </w:rPr>
            </w:pPr>
            <w:r>
              <w:rPr>
                <w:rFonts w:ascii="Arial" w:cs="Arial" w:eastAsia="Arial" w:hAnsi="Arial"/>
                <w:sz w:val="18"/>
                <w:szCs w:val="18"/>
                <w:color w:val="auto"/>
              </w:rPr>
              <w:t>6,631</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80" w:type="dxa"/>
            <w:vAlign w:val="bottom"/>
          </w:tcPr>
          <w:p>
            <w:pPr>
              <w:jc w:val="right"/>
              <w:ind w:right="190"/>
              <w:spacing w:after="0"/>
              <w:rPr>
                <w:sz w:val="20"/>
                <w:szCs w:val="20"/>
                <w:color w:val="auto"/>
              </w:rPr>
            </w:pPr>
            <w:r>
              <w:rPr>
                <w:rFonts w:ascii="Arial" w:cs="Arial" w:eastAsia="Arial" w:hAnsi="Arial"/>
                <w:sz w:val="18"/>
                <w:szCs w:val="18"/>
                <w:color w:val="auto"/>
              </w:rPr>
              <w:t>993</w:t>
            </w:r>
          </w:p>
        </w:tc>
      </w:tr>
      <w:tr>
        <w:trPr>
          <w:trHeight w:val="229"/>
        </w:trPr>
        <w:tc>
          <w:tcPr>
            <w:tcW w:w="4660" w:type="dxa"/>
            <w:vAlign w:val="bottom"/>
          </w:tcPr>
          <w:p>
            <w:pPr>
              <w:ind w:left="220"/>
              <w:spacing w:after="0"/>
              <w:rPr>
                <w:sz w:val="20"/>
                <w:szCs w:val="20"/>
                <w:color w:val="auto"/>
              </w:rPr>
            </w:pPr>
            <w:r>
              <w:rPr>
                <w:rFonts w:ascii="Arial" w:cs="Arial" w:eastAsia="Arial" w:hAnsi="Arial"/>
                <w:sz w:val="18"/>
                <w:szCs w:val="18"/>
                <w:color w:val="auto"/>
              </w:rPr>
              <w:t>Other adjustments (3)</w:t>
            </w:r>
          </w:p>
        </w:tc>
        <w:tc>
          <w:tcPr>
            <w:tcW w:w="120" w:type="dxa"/>
            <w:vAlign w:val="bottom"/>
          </w:tcPr>
          <w:p>
            <w:pPr>
              <w:spacing w:after="0"/>
              <w:rPr>
                <w:sz w:val="19"/>
                <w:szCs w:val="19"/>
                <w:color w:val="auto"/>
              </w:rPr>
            </w:pPr>
          </w:p>
        </w:tc>
        <w:tc>
          <w:tcPr>
            <w:tcW w:w="1320" w:type="dxa"/>
            <w:vAlign w:val="bottom"/>
          </w:tcPr>
          <w:p>
            <w:pPr>
              <w:jc w:val="right"/>
              <w:ind w:right="150"/>
              <w:spacing w:after="0"/>
              <w:rPr>
                <w:sz w:val="20"/>
                <w:szCs w:val="20"/>
                <w:color w:val="auto"/>
              </w:rPr>
            </w:pPr>
            <w:r>
              <w:rPr>
                <w:rFonts w:ascii="Arial" w:cs="Arial" w:eastAsia="Arial" w:hAnsi="Arial"/>
                <w:sz w:val="18"/>
                <w:szCs w:val="18"/>
                <w:color w:val="auto"/>
              </w:rPr>
              <w:t>7,807</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80" w:type="dxa"/>
            <w:vAlign w:val="bottom"/>
          </w:tcPr>
          <w:p>
            <w:pPr>
              <w:jc w:val="right"/>
              <w:ind w:right="190"/>
              <w:spacing w:after="0"/>
              <w:rPr>
                <w:sz w:val="20"/>
                <w:szCs w:val="20"/>
                <w:color w:val="auto"/>
              </w:rPr>
            </w:pPr>
            <w:r>
              <w:rPr>
                <w:rFonts w:ascii="Arial" w:cs="Arial" w:eastAsia="Arial" w:hAnsi="Arial"/>
                <w:sz w:val="18"/>
                <w:szCs w:val="18"/>
                <w:color w:val="auto"/>
              </w:rPr>
              <w:t>32,039</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40" w:type="dxa"/>
            <w:vAlign w:val="bottom"/>
          </w:tcPr>
          <w:p>
            <w:pPr>
              <w:jc w:val="right"/>
              <w:ind w:right="150"/>
              <w:spacing w:after="0"/>
              <w:rPr>
                <w:sz w:val="20"/>
                <w:szCs w:val="20"/>
                <w:color w:val="auto"/>
              </w:rPr>
            </w:pPr>
            <w:r>
              <w:rPr>
                <w:rFonts w:ascii="Arial" w:cs="Arial" w:eastAsia="Arial" w:hAnsi="Arial"/>
                <w:sz w:val="18"/>
                <w:szCs w:val="18"/>
                <w:color w:val="auto"/>
              </w:rPr>
              <w:t>11,450</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80" w:type="dxa"/>
            <w:vAlign w:val="bottom"/>
          </w:tcPr>
          <w:p>
            <w:pPr>
              <w:jc w:val="right"/>
              <w:ind w:right="190"/>
              <w:spacing w:after="0"/>
              <w:rPr>
                <w:sz w:val="20"/>
                <w:szCs w:val="20"/>
                <w:color w:val="auto"/>
              </w:rPr>
            </w:pPr>
            <w:r>
              <w:rPr>
                <w:rFonts w:ascii="Arial" w:cs="Arial" w:eastAsia="Arial" w:hAnsi="Arial"/>
                <w:sz w:val="18"/>
                <w:szCs w:val="18"/>
                <w:color w:val="auto"/>
              </w:rPr>
              <w:t>68,283</w:t>
            </w:r>
          </w:p>
        </w:tc>
      </w:tr>
      <w:tr>
        <w:trPr>
          <w:trHeight w:val="235"/>
        </w:trPr>
        <w:tc>
          <w:tcPr>
            <w:tcW w:w="4660" w:type="dxa"/>
            <w:vAlign w:val="bottom"/>
          </w:tcPr>
          <w:p>
            <w:pPr>
              <w:ind w:left="220"/>
              <w:spacing w:after="0"/>
              <w:rPr>
                <w:sz w:val="20"/>
                <w:szCs w:val="20"/>
                <w:color w:val="auto"/>
              </w:rPr>
            </w:pPr>
            <w:r>
              <w:rPr>
                <w:rFonts w:ascii="Arial" w:cs="Arial" w:eastAsia="Arial" w:hAnsi="Arial"/>
                <w:sz w:val="18"/>
                <w:szCs w:val="18"/>
                <w:color w:val="auto"/>
              </w:rPr>
              <w:t>Tax adjustments (4)</w:t>
            </w:r>
          </w:p>
        </w:tc>
        <w:tc>
          <w:tcPr>
            <w:tcW w:w="12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1,830</w:t>
            </w:r>
          </w:p>
        </w:tc>
        <w:tc>
          <w:tcPr>
            <w:tcW w:w="12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(3,387)</w:t>
            </w:r>
          </w:p>
        </w:tc>
        <w:tc>
          <w:tcPr>
            <w:tcW w:w="12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(349)</w:t>
            </w:r>
          </w:p>
        </w:tc>
        <w:tc>
          <w:tcPr>
            <w:tcW w:w="12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(5,638)</w:t>
            </w:r>
          </w:p>
        </w:tc>
      </w:tr>
      <w:tr>
        <w:trPr>
          <w:trHeight w:val="223"/>
        </w:trPr>
        <w:tc>
          <w:tcPr>
            <w:tcW w:w="4660" w:type="dxa"/>
            <w:vAlign w:val="bottom"/>
          </w:tcPr>
          <w:p>
            <w:pPr>
              <w:ind w:left="120"/>
              <w:spacing w:after="0"/>
              <w:rPr>
                <w:sz w:val="20"/>
                <w:szCs w:val="20"/>
                <w:color w:val="auto"/>
              </w:rPr>
            </w:pPr>
            <w:r>
              <w:rPr>
                <w:rFonts w:ascii="Arial" w:cs="Arial" w:eastAsia="Arial" w:hAnsi="Arial"/>
                <w:sz w:val="18"/>
                <w:szCs w:val="18"/>
                <w:color w:val="auto"/>
              </w:rPr>
              <w:t>Non-GAAP Net Income</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28,949</w:t>
            </w:r>
          </w:p>
        </w:tc>
        <w:tc>
          <w:tcPr>
            <w:tcW w:w="120" w:type="dxa"/>
            <w:vAlign w:val="bottom"/>
          </w:tcPr>
          <w:p>
            <w:pPr>
              <w:spacing w:after="0"/>
              <w:rPr>
                <w:sz w:val="19"/>
                <w:szCs w:val="19"/>
                <w:color w:val="auto"/>
              </w:rPr>
            </w:pPr>
          </w:p>
        </w:tc>
        <w:tc>
          <w:tcPr>
            <w:tcW w:w="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28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rPr>
              <w:t>15,247</w:t>
            </w:r>
          </w:p>
        </w:tc>
        <w:tc>
          <w:tcPr>
            <w:tcW w:w="120" w:type="dxa"/>
            <w:vAlign w:val="bottom"/>
          </w:tcPr>
          <w:p>
            <w:pPr>
              <w:spacing w:after="0"/>
              <w:rPr>
                <w:sz w:val="19"/>
                <w:szCs w:val="19"/>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92,968</w:t>
            </w:r>
          </w:p>
        </w:tc>
        <w:tc>
          <w:tcPr>
            <w:tcW w:w="120" w:type="dxa"/>
            <w:vAlign w:val="bottom"/>
          </w:tcPr>
          <w:p>
            <w:pPr>
              <w:spacing w:after="0"/>
              <w:rPr>
                <w:sz w:val="19"/>
                <w:szCs w:val="19"/>
                <w:color w:val="auto"/>
              </w:rPr>
            </w:pPr>
          </w:p>
        </w:tc>
        <w:tc>
          <w:tcPr>
            <w:tcW w:w="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28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rPr>
              <w:t>43,293</w:t>
            </w:r>
          </w:p>
        </w:tc>
      </w:tr>
      <w:tr>
        <w:trPr>
          <w:trHeight w:val="461"/>
        </w:trPr>
        <w:tc>
          <w:tcPr>
            <w:tcW w:w="4660" w:type="dxa"/>
            <w:vAlign w:val="bottom"/>
          </w:tcPr>
          <w:p>
            <w:pPr>
              <w:spacing w:after="0"/>
              <w:rPr>
                <w:sz w:val="20"/>
                <w:szCs w:val="20"/>
                <w:color w:val="auto"/>
              </w:rPr>
            </w:pPr>
            <w:r>
              <w:rPr>
                <w:rFonts w:ascii="Arial" w:cs="Arial" w:eastAsia="Arial" w:hAnsi="Arial"/>
                <w:sz w:val="18"/>
                <w:szCs w:val="18"/>
                <w:b w:val="1"/>
                <w:bCs w:val="1"/>
                <w:color w:val="auto"/>
              </w:rPr>
              <w:t>Reconciliation of Non-GAAP Earnings per Share</w:t>
            </w:r>
          </w:p>
        </w:tc>
        <w:tc>
          <w:tcPr>
            <w:tcW w:w="1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80" w:type="dxa"/>
            <w:vAlign w:val="bottom"/>
          </w:tcPr>
          <w:p>
            <w:pPr>
              <w:spacing w:after="0"/>
              <w:rPr>
                <w:sz w:val="24"/>
                <w:szCs w:val="24"/>
                <w:color w:val="auto"/>
              </w:rPr>
            </w:pPr>
          </w:p>
        </w:tc>
      </w:tr>
      <w:tr>
        <w:trPr>
          <w:trHeight w:val="229"/>
        </w:trPr>
        <w:tc>
          <w:tcPr>
            <w:tcW w:w="4660" w:type="dxa"/>
            <w:vAlign w:val="bottom"/>
          </w:tcPr>
          <w:p>
            <w:pPr>
              <w:ind w:left="120"/>
              <w:spacing w:after="0"/>
              <w:rPr>
                <w:sz w:val="20"/>
                <w:szCs w:val="20"/>
                <w:color w:val="auto"/>
              </w:rPr>
            </w:pPr>
            <w:r>
              <w:rPr>
                <w:rFonts w:ascii="Arial" w:cs="Arial" w:eastAsia="Arial" w:hAnsi="Arial"/>
                <w:sz w:val="18"/>
                <w:szCs w:val="18"/>
                <w:color w:val="auto"/>
              </w:rPr>
              <w:t>Diluted earnings per share, GAAP</w:t>
            </w: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Pr>
          <w:p>
            <w:pPr>
              <w:jc w:val="right"/>
              <w:ind w:right="150"/>
              <w:spacing w:after="0"/>
              <w:rPr>
                <w:sz w:val="20"/>
                <w:szCs w:val="20"/>
                <w:color w:val="auto"/>
              </w:rPr>
            </w:pPr>
            <w:r>
              <w:rPr>
                <w:rFonts w:ascii="Arial" w:cs="Arial" w:eastAsia="Arial" w:hAnsi="Arial"/>
                <w:sz w:val="18"/>
                <w:szCs w:val="18"/>
                <w:color w:val="auto"/>
              </w:rPr>
              <w:t>0.06</w:t>
            </w:r>
          </w:p>
        </w:tc>
        <w:tc>
          <w:tcPr>
            <w:tcW w:w="120" w:type="dxa"/>
            <w:vAlign w:val="bottom"/>
          </w:tcPr>
          <w:p>
            <w:pPr>
              <w:spacing w:after="0"/>
              <w:rPr>
                <w:sz w:val="19"/>
                <w:szCs w:val="19"/>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280" w:type="dxa"/>
            <w:vAlign w:val="bottom"/>
          </w:tcPr>
          <w:p>
            <w:pPr>
              <w:jc w:val="right"/>
              <w:ind w:right="150"/>
              <w:spacing w:after="0"/>
              <w:rPr>
                <w:sz w:val="20"/>
                <w:szCs w:val="20"/>
                <w:color w:val="auto"/>
              </w:rPr>
            </w:pPr>
            <w:r>
              <w:rPr>
                <w:rFonts w:ascii="Arial" w:cs="Arial" w:eastAsia="Arial" w:hAnsi="Arial"/>
                <w:sz w:val="18"/>
                <w:szCs w:val="18"/>
                <w:color w:val="auto"/>
              </w:rPr>
              <w:t>(0.39)</w:t>
            </w:r>
          </w:p>
        </w:tc>
        <w:tc>
          <w:tcPr>
            <w:tcW w:w="12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ind w:right="150"/>
              <w:spacing w:after="0"/>
              <w:rPr>
                <w:sz w:val="20"/>
                <w:szCs w:val="20"/>
                <w:color w:val="auto"/>
              </w:rPr>
            </w:pPr>
            <w:r>
              <w:rPr>
                <w:rFonts w:ascii="Arial" w:cs="Arial" w:eastAsia="Arial" w:hAnsi="Arial"/>
                <w:sz w:val="18"/>
                <w:szCs w:val="18"/>
                <w:color w:val="auto"/>
              </w:rPr>
              <w:t>0.31</w:t>
            </w:r>
          </w:p>
        </w:tc>
        <w:tc>
          <w:tcPr>
            <w:tcW w:w="120" w:type="dxa"/>
            <w:vAlign w:val="bottom"/>
          </w:tcPr>
          <w:p>
            <w:pPr>
              <w:spacing w:after="0"/>
              <w:rPr>
                <w:sz w:val="19"/>
                <w:szCs w:val="19"/>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280" w:type="dxa"/>
            <w:vAlign w:val="bottom"/>
          </w:tcPr>
          <w:p>
            <w:pPr>
              <w:jc w:val="right"/>
              <w:ind w:right="150"/>
              <w:spacing w:after="0"/>
              <w:rPr>
                <w:sz w:val="20"/>
                <w:szCs w:val="20"/>
                <w:color w:val="auto"/>
              </w:rPr>
            </w:pPr>
            <w:r>
              <w:rPr>
                <w:rFonts w:ascii="Arial" w:cs="Arial" w:eastAsia="Arial" w:hAnsi="Arial"/>
                <w:sz w:val="18"/>
                <w:szCs w:val="18"/>
                <w:color w:val="auto"/>
              </w:rPr>
              <w:t>(1.02)</w:t>
            </w:r>
          </w:p>
        </w:tc>
      </w:tr>
      <w:tr>
        <w:trPr>
          <w:trHeight w:val="230"/>
        </w:trPr>
        <w:tc>
          <w:tcPr>
            <w:tcW w:w="4660" w:type="dxa"/>
            <w:vAlign w:val="bottom"/>
          </w:tcPr>
          <w:p>
            <w:pPr>
              <w:ind w:left="220"/>
              <w:spacing w:after="0"/>
              <w:rPr>
                <w:sz w:val="20"/>
                <w:szCs w:val="20"/>
                <w:color w:val="auto"/>
              </w:rPr>
            </w:pPr>
            <w:r>
              <w:rPr>
                <w:rFonts w:ascii="Arial" w:cs="Arial" w:eastAsia="Arial" w:hAnsi="Arial"/>
                <w:sz w:val="18"/>
                <w:szCs w:val="18"/>
                <w:color w:val="auto"/>
              </w:rPr>
              <w:t>Amortization of intangible assets</w:t>
            </w:r>
          </w:p>
        </w:tc>
        <w:tc>
          <w:tcPr>
            <w:tcW w:w="120" w:type="dxa"/>
            <w:vAlign w:val="bottom"/>
          </w:tcPr>
          <w:p>
            <w:pPr>
              <w:spacing w:after="0"/>
              <w:rPr>
                <w:sz w:val="19"/>
                <w:szCs w:val="19"/>
                <w:color w:val="auto"/>
              </w:rPr>
            </w:pPr>
          </w:p>
        </w:tc>
        <w:tc>
          <w:tcPr>
            <w:tcW w:w="1320" w:type="dxa"/>
            <w:vAlign w:val="bottom"/>
          </w:tcPr>
          <w:p>
            <w:pPr>
              <w:jc w:val="right"/>
              <w:ind w:right="150"/>
              <w:spacing w:after="0"/>
              <w:rPr>
                <w:sz w:val="20"/>
                <w:szCs w:val="20"/>
                <w:color w:val="auto"/>
              </w:rPr>
            </w:pPr>
            <w:r>
              <w:rPr>
                <w:rFonts w:ascii="Arial" w:cs="Arial" w:eastAsia="Arial" w:hAnsi="Arial"/>
                <w:sz w:val="18"/>
                <w:szCs w:val="18"/>
                <w:color w:val="auto"/>
              </w:rPr>
              <w:t>0.05</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80" w:type="dxa"/>
            <w:vAlign w:val="bottom"/>
          </w:tcPr>
          <w:p>
            <w:pPr>
              <w:jc w:val="right"/>
              <w:ind w:right="190"/>
              <w:spacing w:after="0"/>
              <w:rPr>
                <w:sz w:val="20"/>
                <w:szCs w:val="20"/>
                <w:color w:val="auto"/>
              </w:rPr>
            </w:pPr>
            <w:r>
              <w:rPr>
                <w:rFonts w:ascii="Arial" w:cs="Arial" w:eastAsia="Arial" w:hAnsi="Arial"/>
                <w:sz w:val="18"/>
                <w:szCs w:val="18"/>
                <w:color w:val="auto"/>
              </w:rPr>
              <w:t>0.06</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40" w:type="dxa"/>
            <w:vAlign w:val="bottom"/>
          </w:tcPr>
          <w:p>
            <w:pPr>
              <w:jc w:val="right"/>
              <w:ind w:right="150"/>
              <w:spacing w:after="0"/>
              <w:rPr>
                <w:sz w:val="20"/>
                <w:szCs w:val="20"/>
                <w:color w:val="auto"/>
              </w:rPr>
            </w:pPr>
            <w:r>
              <w:rPr>
                <w:rFonts w:ascii="Arial" w:cs="Arial" w:eastAsia="Arial" w:hAnsi="Arial"/>
                <w:sz w:val="18"/>
                <w:szCs w:val="18"/>
                <w:color w:val="auto"/>
              </w:rPr>
              <w:t>0.19</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80" w:type="dxa"/>
            <w:vAlign w:val="bottom"/>
          </w:tcPr>
          <w:p>
            <w:pPr>
              <w:jc w:val="right"/>
              <w:ind w:right="190"/>
              <w:spacing w:after="0"/>
              <w:rPr>
                <w:sz w:val="20"/>
                <w:szCs w:val="20"/>
                <w:color w:val="auto"/>
              </w:rPr>
            </w:pPr>
            <w:r>
              <w:rPr>
                <w:rFonts w:ascii="Arial" w:cs="Arial" w:eastAsia="Arial" w:hAnsi="Arial"/>
                <w:sz w:val="18"/>
                <w:szCs w:val="18"/>
                <w:color w:val="auto"/>
              </w:rPr>
              <w:t>0.28</w:t>
            </w:r>
          </w:p>
        </w:tc>
      </w:tr>
      <w:tr>
        <w:trPr>
          <w:trHeight w:val="230"/>
        </w:trPr>
        <w:tc>
          <w:tcPr>
            <w:tcW w:w="4660" w:type="dxa"/>
            <w:vAlign w:val="bottom"/>
          </w:tcPr>
          <w:p>
            <w:pPr>
              <w:ind w:left="220"/>
              <w:spacing w:after="0"/>
              <w:rPr>
                <w:sz w:val="20"/>
                <w:szCs w:val="20"/>
                <w:color w:val="auto"/>
              </w:rPr>
            </w:pPr>
            <w:r>
              <w:rPr>
                <w:rFonts w:ascii="Arial" w:cs="Arial" w:eastAsia="Arial" w:hAnsi="Arial"/>
                <w:sz w:val="18"/>
                <w:szCs w:val="18"/>
                <w:color w:val="auto"/>
              </w:rPr>
              <w:t>Stock-based compensation expense</w:t>
            </w:r>
          </w:p>
        </w:tc>
        <w:tc>
          <w:tcPr>
            <w:tcW w:w="120" w:type="dxa"/>
            <w:vAlign w:val="bottom"/>
          </w:tcPr>
          <w:p>
            <w:pPr>
              <w:spacing w:after="0"/>
              <w:rPr>
                <w:sz w:val="19"/>
                <w:szCs w:val="19"/>
                <w:color w:val="auto"/>
              </w:rPr>
            </w:pPr>
          </w:p>
        </w:tc>
        <w:tc>
          <w:tcPr>
            <w:tcW w:w="1320" w:type="dxa"/>
            <w:vAlign w:val="bottom"/>
          </w:tcPr>
          <w:p>
            <w:pPr>
              <w:jc w:val="right"/>
              <w:ind w:right="150"/>
              <w:spacing w:after="0"/>
              <w:rPr>
                <w:sz w:val="20"/>
                <w:szCs w:val="20"/>
                <w:color w:val="auto"/>
              </w:rPr>
            </w:pPr>
            <w:r>
              <w:rPr>
                <w:rFonts w:ascii="Arial" w:cs="Arial" w:eastAsia="Arial" w:hAnsi="Arial"/>
                <w:sz w:val="18"/>
                <w:szCs w:val="18"/>
                <w:color w:val="auto"/>
              </w:rPr>
              <w:t>0.12</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80" w:type="dxa"/>
            <w:vAlign w:val="bottom"/>
          </w:tcPr>
          <w:p>
            <w:pPr>
              <w:jc w:val="right"/>
              <w:ind w:right="190"/>
              <w:spacing w:after="0"/>
              <w:rPr>
                <w:sz w:val="20"/>
                <w:szCs w:val="20"/>
                <w:color w:val="auto"/>
              </w:rPr>
            </w:pPr>
            <w:r>
              <w:rPr>
                <w:rFonts w:ascii="Arial" w:cs="Arial" w:eastAsia="Arial" w:hAnsi="Arial"/>
                <w:sz w:val="18"/>
                <w:szCs w:val="18"/>
                <w:color w:val="auto"/>
              </w:rPr>
              <w:t>0.10</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40" w:type="dxa"/>
            <w:vAlign w:val="bottom"/>
          </w:tcPr>
          <w:p>
            <w:pPr>
              <w:jc w:val="right"/>
              <w:ind w:right="150"/>
              <w:spacing w:after="0"/>
              <w:rPr>
                <w:sz w:val="20"/>
                <w:szCs w:val="20"/>
                <w:color w:val="auto"/>
              </w:rPr>
            </w:pPr>
            <w:r>
              <w:rPr>
                <w:rFonts w:ascii="Arial" w:cs="Arial" w:eastAsia="Arial" w:hAnsi="Arial"/>
                <w:sz w:val="18"/>
                <w:szCs w:val="18"/>
                <w:color w:val="auto"/>
              </w:rPr>
              <w:t>0.46</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80" w:type="dxa"/>
            <w:vAlign w:val="bottom"/>
          </w:tcPr>
          <w:p>
            <w:pPr>
              <w:jc w:val="right"/>
              <w:ind w:right="190"/>
              <w:spacing w:after="0"/>
              <w:rPr>
                <w:sz w:val="20"/>
                <w:szCs w:val="20"/>
                <w:color w:val="auto"/>
              </w:rPr>
            </w:pPr>
            <w:r>
              <w:rPr>
                <w:rFonts w:ascii="Arial" w:cs="Arial" w:eastAsia="Arial" w:hAnsi="Arial"/>
                <w:sz w:val="18"/>
                <w:szCs w:val="18"/>
                <w:color w:val="auto"/>
              </w:rPr>
              <w:t>0.46</w:t>
            </w:r>
          </w:p>
        </w:tc>
      </w:tr>
      <w:tr>
        <w:trPr>
          <w:trHeight w:val="230"/>
        </w:trPr>
        <w:tc>
          <w:tcPr>
            <w:tcW w:w="4660" w:type="dxa"/>
            <w:vAlign w:val="bottom"/>
          </w:tcPr>
          <w:p>
            <w:pPr>
              <w:ind w:left="220"/>
              <w:spacing w:after="0"/>
              <w:rPr>
                <w:sz w:val="20"/>
                <w:szCs w:val="20"/>
                <w:color w:val="auto"/>
              </w:rPr>
            </w:pPr>
            <w:r>
              <w:rPr>
                <w:rFonts w:ascii="Arial" w:cs="Arial" w:eastAsia="Arial" w:hAnsi="Arial"/>
                <w:sz w:val="18"/>
                <w:szCs w:val="18"/>
                <w:color w:val="auto"/>
              </w:rPr>
              <w:t>Acquisition related expenses (1)</w:t>
            </w:r>
          </w:p>
        </w:tc>
        <w:tc>
          <w:tcPr>
            <w:tcW w:w="120" w:type="dxa"/>
            <w:vAlign w:val="bottom"/>
          </w:tcPr>
          <w:p>
            <w:pPr>
              <w:spacing w:after="0"/>
              <w:rPr>
                <w:sz w:val="19"/>
                <w:szCs w:val="19"/>
                <w:color w:val="auto"/>
              </w:rPr>
            </w:pPr>
          </w:p>
        </w:tc>
        <w:tc>
          <w:tcPr>
            <w:tcW w:w="1320" w:type="dxa"/>
            <w:vAlign w:val="bottom"/>
          </w:tcPr>
          <w:p>
            <w:pPr>
              <w:jc w:val="right"/>
              <w:ind w:right="150"/>
              <w:spacing w:after="0"/>
              <w:rPr>
                <w:sz w:val="20"/>
                <w:szCs w:val="20"/>
                <w:color w:val="auto"/>
              </w:rPr>
            </w:pPr>
            <w:r>
              <w:rPr>
                <w:rFonts w:ascii="Arial" w:cs="Arial" w:eastAsia="Arial" w:hAnsi="Arial"/>
                <w:sz w:val="18"/>
                <w:szCs w:val="18"/>
                <w:color w:val="auto"/>
              </w:rPr>
              <w:t>0.01</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80" w:type="dxa"/>
            <w:vAlign w:val="bottom"/>
          </w:tcPr>
          <w:p>
            <w:pPr>
              <w:jc w:val="right"/>
              <w:ind w:right="190"/>
              <w:spacing w:after="0"/>
              <w:rPr>
                <w:sz w:val="20"/>
                <w:szCs w:val="20"/>
                <w:color w:val="auto"/>
              </w:rPr>
            </w:pPr>
            <w:r>
              <w:rPr>
                <w:rFonts w:ascii="Arial" w:cs="Arial" w:eastAsia="Arial" w:hAnsi="Arial"/>
                <w:sz w:val="18"/>
                <w:szCs w:val="18"/>
                <w:color w:val="auto"/>
              </w:rPr>
              <w:t>0.04</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40" w:type="dxa"/>
            <w:vAlign w:val="bottom"/>
          </w:tcPr>
          <w:p>
            <w:pPr>
              <w:jc w:val="right"/>
              <w:ind w:right="150"/>
              <w:spacing w:after="0"/>
              <w:rPr>
                <w:sz w:val="20"/>
                <w:szCs w:val="20"/>
                <w:color w:val="auto"/>
              </w:rPr>
            </w:pPr>
            <w:r>
              <w:rPr>
                <w:rFonts w:ascii="Arial" w:cs="Arial" w:eastAsia="Arial" w:hAnsi="Arial"/>
                <w:sz w:val="18"/>
                <w:szCs w:val="18"/>
                <w:color w:val="auto"/>
              </w:rPr>
              <w:t>0.08</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80" w:type="dxa"/>
            <w:vAlign w:val="bottom"/>
          </w:tcPr>
          <w:p>
            <w:pPr>
              <w:jc w:val="right"/>
              <w:ind w:right="190"/>
              <w:spacing w:after="0"/>
              <w:rPr>
                <w:sz w:val="20"/>
                <w:szCs w:val="20"/>
                <w:color w:val="auto"/>
              </w:rPr>
            </w:pPr>
            <w:r>
              <w:rPr>
                <w:rFonts w:ascii="Arial" w:cs="Arial" w:eastAsia="Arial" w:hAnsi="Arial"/>
                <w:sz w:val="18"/>
                <w:szCs w:val="18"/>
                <w:color w:val="auto"/>
              </w:rPr>
              <w:t>0.01</w:t>
            </w:r>
          </w:p>
        </w:tc>
      </w:tr>
      <w:tr>
        <w:trPr>
          <w:trHeight w:val="229"/>
        </w:trPr>
        <w:tc>
          <w:tcPr>
            <w:tcW w:w="4660" w:type="dxa"/>
            <w:vAlign w:val="bottom"/>
          </w:tcPr>
          <w:p>
            <w:pPr>
              <w:ind w:left="220"/>
              <w:spacing w:after="0"/>
              <w:rPr>
                <w:sz w:val="20"/>
                <w:szCs w:val="20"/>
                <w:color w:val="auto"/>
              </w:rPr>
            </w:pPr>
            <w:r>
              <w:rPr>
                <w:rFonts w:ascii="Arial" w:cs="Arial" w:eastAsia="Arial" w:hAnsi="Arial"/>
                <w:sz w:val="18"/>
                <w:szCs w:val="18"/>
                <w:color w:val="auto"/>
              </w:rPr>
              <w:t>Other adjustments (3)</w:t>
            </w:r>
          </w:p>
        </w:tc>
        <w:tc>
          <w:tcPr>
            <w:tcW w:w="120" w:type="dxa"/>
            <w:vAlign w:val="bottom"/>
          </w:tcPr>
          <w:p>
            <w:pPr>
              <w:spacing w:after="0"/>
              <w:rPr>
                <w:sz w:val="19"/>
                <w:szCs w:val="19"/>
                <w:color w:val="auto"/>
              </w:rPr>
            </w:pPr>
          </w:p>
        </w:tc>
        <w:tc>
          <w:tcPr>
            <w:tcW w:w="1320" w:type="dxa"/>
            <w:vAlign w:val="bottom"/>
          </w:tcPr>
          <w:p>
            <w:pPr>
              <w:jc w:val="right"/>
              <w:ind w:right="150"/>
              <w:spacing w:after="0"/>
              <w:rPr>
                <w:sz w:val="20"/>
                <w:szCs w:val="20"/>
                <w:color w:val="auto"/>
              </w:rPr>
            </w:pPr>
            <w:r>
              <w:rPr>
                <w:rFonts w:ascii="Arial" w:cs="Arial" w:eastAsia="Arial" w:hAnsi="Arial"/>
                <w:sz w:val="18"/>
                <w:szCs w:val="18"/>
                <w:color w:val="auto"/>
              </w:rPr>
              <w:t>0.10</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80" w:type="dxa"/>
            <w:vAlign w:val="bottom"/>
          </w:tcPr>
          <w:p>
            <w:pPr>
              <w:jc w:val="right"/>
              <w:ind w:right="190"/>
              <w:spacing w:after="0"/>
              <w:rPr>
                <w:sz w:val="20"/>
                <w:szCs w:val="20"/>
                <w:color w:val="auto"/>
              </w:rPr>
            </w:pPr>
            <w:r>
              <w:rPr>
                <w:rFonts w:ascii="Arial" w:cs="Arial" w:eastAsia="Arial" w:hAnsi="Arial"/>
                <w:sz w:val="18"/>
                <w:szCs w:val="18"/>
                <w:color w:val="auto"/>
              </w:rPr>
              <w:t>0.44</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40" w:type="dxa"/>
            <w:vAlign w:val="bottom"/>
          </w:tcPr>
          <w:p>
            <w:pPr>
              <w:jc w:val="right"/>
              <w:ind w:right="150"/>
              <w:spacing w:after="0"/>
              <w:rPr>
                <w:sz w:val="20"/>
                <w:szCs w:val="20"/>
                <w:color w:val="auto"/>
              </w:rPr>
            </w:pPr>
            <w:r>
              <w:rPr>
                <w:rFonts w:ascii="Arial" w:cs="Arial" w:eastAsia="Arial" w:hAnsi="Arial"/>
                <w:sz w:val="18"/>
                <w:szCs w:val="18"/>
                <w:color w:val="auto"/>
              </w:rPr>
              <w:t>0.15</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80" w:type="dxa"/>
            <w:vAlign w:val="bottom"/>
          </w:tcPr>
          <w:p>
            <w:pPr>
              <w:jc w:val="right"/>
              <w:ind w:right="190"/>
              <w:spacing w:after="0"/>
              <w:rPr>
                <w:sz w:val="20"/>
                <w:szCs w:val="20"/>
                <w:color w:val="auto"/>
              </w:rPr>
            </w:pPr>
            <w:r>
              <w:rPr>
                <w:rFonts w:ascii="Arial" w:cs="Arial" w:eastAsia="Arial" w:hAnsi="Arial"/>
                <w:sz w:val="18"/>
                <w:szCs w:val="18"/>
                <w:color w:val="auto"/>
              </w:rPr>
              <w:t>0.94</w:t>
            </w:r>
          </w:p>
        </w:tc>
      </w:tr>
      <w:tr>
        <w:trPr>
          <w:trHeight w:val="230"/>
        </w:trPr>
        <w:tc>
          <w:tcPr>
            <w:tcW w:w="4660" w:type="dxa"/>
            <w:vAlign w:val="bottom"/>
          </w:tcPr>
          <w:p>
            <w:pPr>
              <w:ind w:left="220"/>
              <w:spacing w:after="0"/>
              <w:rPr>
                <w:sz w:val="20"/>
                <w:szCs w:val="20"/>
                <w:color w:val="auto"/>
              </w:rPr>
            </w:pPr>
            <w:r>
              <w:rPr>
                <w:rFonts w:ascii="Arial" w:cs="Arial" w:eastAsia="Arial" w:hAnsi="Arial"/>
                <w:sz w:val="18"/>
                <w:szCs w:val="18"/>
                <w:color w:val="auto"/>
              </w:rPr>
              <w:t>Tax adjustments (4)</w:t>
            </w:r>
          </w:p>
        </w:tc>
        <w:tc>
          <w:tcPr>
            <w:tcW w:w="120" w:type="dxa"/>
            <w:vAlign w:val="bottom"/>
          </w:tcPr>
          <w:p>
            <w:pPr>
              <w:spacing w:after="0"/>
              <w:rPr>
                <w:sz w:val="19"/>
                <w:szCs w:val="19"/>
                <w:color w:val="auto"/>
              </w:rPr>
            </w:pPr>
          </w:p>
        </w:tc>
        <w:tc>
          <w:tcPr>
            <w:tcW w:w="1320" w:type="dxa"/>
            <w:vAlign w:val="bottom"/>
          </w:tcPr>
          <w:p>
            <w:pPr>
              <w:jc w:val="right"/>
              <w:ind w:right="150"/>
              <w:spacing w:after="0"/>
              <w:rPr>
                <w:sz w:val="20"/>
                <w:szCs w:val="20"/>
                <w:color w:val="auto"/>
              </w:rPr>
            </w:pPr>
            <w:r>
              <w:rPr>
                <w:rFonts w:ascii="Arial" w:cs="Arial" w:eastAsia="Arial" w:hAnsi="Arial"/>
                <w:sz w:val="18"/>
                <w:szCs w:val="18"/>
                <w:color w:val="auto"/>
              </w:rPr>
              <w:t>0.02</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80" w:type="dxa"/>
            <w:vAlign w:val="bottom"/>
          </w:tcPr>
          <w:p>
            <w:pPr>
              <w:jc w:val="right"/>
              <w:ind w:right="150"/>
              <w:spacing w:after="0"/>
              <w:rPr>
                <w:sz w:val="20"/>
                <w:szCs w:val="20"/>
                <w:color w:val="auto"/>
              </w:rPr>
            </w:pPr>
            <w:r>
              <w:rPr>
                <w:rFonts w:ascii="Arial" w:cs="Arial" w:eastAsia="Arial" w:hAnsi="Arial"/>
                <w:sz w:val="18"/>
                <w:szCs w:val="18"/>
                <w:color w:val="auto"/>
              </w:rPr>
              <w:t>(0.05)</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6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280" w:type="dxa"/>
            <w:vAlign w:val="bottom"/>
          </w:tcPr>
          <w:p>
            <w:pPr>
              <w:jc w:val="right"/>
              <w:ind w:right="150"/>
              <w:spacing w:after="0"/>
              <w:rPr>
                <w:sz w:val="20"/>
                <w:szCs w:val="20"/>
                <w:color w:val="auto"/>
              </w:rPr>
            </w:pPr>
            <w:r>
              <w:rPr>
                <w:rFonts w:ascii="Arial" w:cs="Arial" w:eastAsia="Arial" w:hAnsi="Arial"/>
                <w:sz w:val="18"/>
                <w:szCs w:val="18"/>
                <w:color w:val="auto"/>
              </w:rPr>
              <w:t>(0.08)</w:t>
            </w:r>
          </w:p>
        </w:tc>
      </w:tr>
      <w:tr>
        <w:trPr>
          <w:trHeight w:val="235"/>
        </w:trPr>
        <w:tc>
          <w:tcPr>
            <w:tcW w:w="4660" w:type="dxa"/>
            <w:vAlign w:val="bottom"/>
          </w:tcPr>
          <w:p>
            <w:pPr>
              <w:ind w:left="220"/>
              <w:spacing w:after="0"/>
              <w:rPr>
                <w:sz w:val="20"/>
                <w:szCs w:val="20"/>
                <w:color w:val="auto"/>
              </w:rPr>
            </w:pPr>
            <w:r>
              <w:rPr>
                <w:rFonts w:ascii="Arial" w:cs="Arial" w:eastAsia="Arial" w:hAnsi="Arial"/>
                <w:sz w:val="18"/>
                <w:szCs w:val="18"/>
                <w:color w:val="auto"/>
              </w:rPr>
              <w:t>Rounding and impact of dilutive shares</w:t>
            </w:r>
          </w:p>
        </w:tc>
        <w:tc>
          <w:tcPr>
            <w:tcW w:w="120" w:type="dxa"/>
            <w:vAlign w:val="bottom"/>
          </w:tcPr>
          <w:p>
            <w:pPr>
              <w:spacing w:after="0"/>
              <w:rPr>
                <w:sz w:val="20"/>
                <w:szCs w:val="20"/>
                <w:color w:val="auto"/>
              </w:rPr>
            </w:pPr>
          </w:p>
        </w:tc>
        <w:tc>
          <w:tcPr>
            <w:tcW w:w="144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1280" w:type="dxa"/>
            <w:vAlign w:val="bottom"/>
          </w:tcPr>
          <w:p>
            <w:pPr>
              <w:jc w:val="right"/>
              <w:ind w:right="190"/>
              <w:spacing w:after="0"/>
              <w:rPr>
                <w:sz w:val="20"/>
                <w:szCs w:val="20"/>
                <w:color w:val="auto"/>
              </w:rPr>
            </w:pPr>
            <w:r>
              <w:rPr>
                <w:rFonts w:ascii="Arial" w:cs="Arial" w:eastAsia="Arial" w:hAnsi="Arial"/>
                <w:sz w:val="18"/>
                <w:szCs w:val="18"/>
                <w:color w:val="auto"/>
              </w:rPr>
              <w:t>0.01</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6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1280" w:type="dxa"/>
            <w:vAlign w:val="bottom"/>
          </w:tcPr>
          <w:p>
            <w:pPr>
              <w:jc w:val="right"/>
              <w:ind w:right="190"/>
              <w:spacing w:after="0"/>
              <w:rPr>
                <w:sz w:val="20"/>
                <w:szCs w:val="20"/>
                <w:color w:val="auto"/>
              </w:rPr>
            </w:pPr>
            <w:r>
              <w:rPr>
                <w:rFonts w:ascii="Arial" w:cs="Arial" w:eastAsia="Arial" w:hAnsi="Arial"/>
                <w:sz w:val="18"/>
                <w:szCs w:val="18"/>
                <w:color w:val="auto"/>
              </w:rPr>
              <w:t>—</w:t>
            </w:r>
          </w:p>
        </w:tc>
      </w:tr>
      <w:tr>
        <w:trPr>
          <w:trHeight w:val="223"/>
        </w:trPr>
        <w:tc>
          <w:tcPr>
            <w:tcW w:w="4660" w:type="dxa"/>
            <w:vAlign w:val="bottom"/>
          </w:tcPr>
          <w:p>
            <w:pPr>
              <w:ind w:left="120"/>
              <w:spacing w:after="0"/>
              <w:rPr>
                <w:sz w:val="20"/>
                <w:szCs w:val="20"/>
                <w:color w:val="auto"/>
              </w:rPr>
            </w:pPr>
            <w:r>
              <w:rPr>
                <w:rFonts w:ascii="Arial" w:cs="Arial" w:eastAsia="Arial" w:hAnsi="Arial"/>
                <w:sz w:val="18"/>
                <w:szCs w:val="18"/>
                <w:color w:val="auto"/>
              </w:rPr>
              <w:t>Diluted earnings per share, non-GAAP</w:t>
            </w: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rPr>
              <w:t>0.36</w:t>
            </w:r>
          </w:p>
        </w:tc>
        <w:tc>
          <w:tcPr>
            <w:tcW w:w="12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280" w:type="dxa"/>
            <w:vAlign w:val="bottom"/>
            <w:tcBorders>
              <w:top w:val="single" w:sz="8" w:color="auto"/>
              <w:bottom w:val="single" w:sz="8" w:color="auto"/>
            </w:tcBorders>
          </w:tcPr>
          <w:p>
            <w:pPr>
              <w:jc w:val="right"/>
              <w:ind w:right="190"/>
              <w:spacing w:after="0"/>
              <w:rPr>
                <w:sz w:val="20"/>
                <w:szCs w:val="20"/>
                <w:color w:val="auto"/>
              </w:rPr>
            </w:pPr>
            <w:r>
              <w:rPr>
                <w:rFonts w:ascii="Arial" w:cs="Arial" w:eastAsia="Arial" w:hAnsi="Arial"/>
                <w:sz w:val="18"/>
                <w:szCs w:val="18"/>
                <w:color w:val="auto"/>
              </w:rPr>
              <w:t>0.21</w:t>
            </w:r>
          </w:p>
        </w:tc>
        <w:tc>
          <w:tcPr>
            <w:tcW w:w="12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rPr>
              <w:t>1.19</w:t>
            </w:r>
          </w:p>
        </w:tc>
        <w:tc>
          <w:tcPr>
            <w:tcW w:w="12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280" w:type="dxa"/>
            <w:vAlign w:val="bottom"/>
            <w:tcBorders>
              <w:top w:val="single" w:sz="8" w:color="auto"/>
              <w:bottom w:val="single" w:sz="8" w:color="auto"/>
            </w:tcBorders>
          </w:tcPr>
          <w:p>
            <w:pPr>
              <w:jc w:val="right"/>
              <w:ind w:right="190"/>
              <w:spacing w:after="0"/>
              <w:rPr>
                <w:sz w:val="20"/>
                <w:szCs w:val="20"/>
                <w:color w:val="auto"/>
              </w:rPr>
            </w:pPr>
            <w:r>
              <w:rPr>
                <w:rFonts w:ascii="Arial" w:cs="Arial" w:eastAsia="Arial" w:hAnsi="Arial"/>
                <w:sz w:val="18"/>
                <w:szCs w:val="18"/>
                <w:color w:val="auto"/>
              </w:rPr>
              <w:t>0.58</w:t>
            </w:r>
          </w:p>
        </w:tc>
      </w:tr>
      <w:tr>
        <w:trPr>
          <w:trHeight w:val="412"/>
        </w:trPr>
        <w:tc>
          <w:tcPr>
            <w:tcW w:w="4660" w:type="dxa"/>
            <w:vAlign w:val="bottom"/>
          </w:tcPr>
          <w:p>
            <w:pPr>
              <w:ind w:left="120"/>
              <w:spacing w:after="0"/>
              <w:rPr>
                <w:sz w:val="20"/>
                <w:szCs w:val="20"/>
                <w:color w:val="auto"/>
              </w:rPr>
            </w:pPr>
            <w:r>
              <w:rPr>
                <w:rFonts w:ascii="Arial" w:cs="Arial" w:eastAsia="Arial" w:hAnsi="Arial"/>
                <w:sz w:val="18"/>
                <w:szCs w:val="18"/>
                <w:color w:val="auto"/>
              </w:rPr>
              <w:t>Weighted average shares outstanding used in</w:t>
            </w:r>
          </w:p>
        </w:tc>
        <w:tc>
          <w:tcPr>
            <w:tcW w:w="1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80" w:type="dxa"/>
            <w:vAlign w:val="bottom"/>
          </w:tcPr>
          <w:p>
            <w:pPr>
              <w:spacing w:after="0"/>
              <w:rPr>
                <w:sz w:val="24"/>
                <w:szCs w:val="24"/>
                <w:color w:val="auto"/>
              </w:rPr>
            </w:pPr>
          </w:p>
        </w:tc>
      </w:tr>
      <w:tr>
        <w:trPr>
          <w:trHeight w:val="238"/>
        </w:trPr>
        <w:tc>
          <w:tcPr>
            <w:tcW w:w="4660" w:type="dxa"/>
            <w:vAlign w:val="bottom"/>
          </w:tcPr>
          <w:p>
            <w:pPr>
              <w:ind w:left="120"/>
              <w:spacing w:after="0"/>
              <w:rPr>
                <w:sz w:val="20"/>
                <w:szCs w:val="20"/>
                <w:color w:val="auto"/>
              </w:rPr>
            </w:pPr>
            <w:r>
              <w:rPr>
                <w:rFonts w:ascii="Arial" w:cs="Arial" w:eastAsia="Arial" w:hAnsi="Arial"/>
                <w:sz w:val="18"/>
                <w:szCs w:val="18"/>
                <w:color w:val="auto"/>
              </w:rPr>
              <w:t>computing diluted earnings per share</w:t>
            </w:r>
          </w:p>
        </w:tc>
        <w:tc>
          <w:tcPr>
            <w:tcW w:w="12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80" w:type="dxa"/>
            <w:vAlign w:val="bottom"/>
          </w:tcPr>
          <w:p>
            <w:pPr>
              <w:spacing w:after="0"/>
              <w:rPr>
                <w:sz w:val="20"/>
                <w:szCs w:val="20"/>
                <w:color w:val="auto"/>
              </w:rPr>
            </w:pPr>
          </w:p>
        </w:tc>
      </w:tr>
      <w:tr>
        <w:trPr>
          <w:trHeight w:val="230"/>
        </w:trPr>
        <w:tc>
          <w:tcPr>
            <w:tcW w:w="4660" w:type="dxa"/>
            <w:vAlign w:val="bottom"/>
          </w:tcPr>
          <w:p>
            <w:pPr>
              <w:ind w:left="220"/>
              <w:spacing w:after="0"/>
              <w:rPr>
                <w:sz w:val="20"/>
                <w:szCs w:val="20"/>
                <w:color w:val="auto"/>
              </w:rPr>
            </w:pPr>
            <w:r>
              <w:rPr>
                <w:rFonts w:ascii="Arial" w:cs="Arial" w:eastAsia="Arial" w:hAnsi="Arial"/>
                <w:sz w:val="18"/>
                <w:szCs w:val="18"/>
                <w:color w:val="auto"/>
              </w:rPr>
              <w:t>Diluted, GAAP</w:t>
            </w:r>
          </w:p>
        </w:tc>
        <w:tc>
          <w:tcPr>
            <w:tcW w:w="120" w:type="dxa"/>
            <w:vAlign w:val="bottom"/>
          </w:tcPr>
          <w:p>
            <w:pPr>
              <w:spacing w:after="0"/>
              <w:rPr>
                <w:sz w:val="19"/>
                <w:szCs w:val="19"/>
                <w:color w:val="auto"/>
              </w:rPr>
            </w:pPr>
          </w:p>
        </w:tc>
        <w:tc>
          <w:tcPr>
            <w:tcW w:w="1320" w:type="dxa"/>
            <w:vAlign w:val="bottom"/>
          </w:tcPr>
          <w:p>
            <w:pPr>
              <w:jc w:val="right"/>
              <w:ind w:right="150"/>
              <w:spacing w:after="0"/>
              <w:rPr>
                <w:sz w:val="20"/>
                <w:szCs w:val="20"/>
                <w:color w:val="auto"/>
              </w:rPr>
            </w:pPr>
            <w:r>
              <w:rPr>
                <w:rFonts w:ascii="Arial" w:cs="Arial" w:eastAsia="Arial" w:hAnsi="Arial"/>
                <w:sz w:val="18"/>
                <w:szCs w:val="18"/>
                <w:color w:val="auto"/>
              </w:rPr>
              <w:t>79,905,412</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80" w:type="dxa"/>
            <w:vAlign w:val="bottom"/>
          </w:tcPr>
          <w:p>
            <w:pPr>
              <w:jc w:val="right"/>
              <w:ind w:right="190"/>
              <w:spacing w:after="0"/>
              <w:rPr>
                <w:sz w:val="20"/>
                <w:szCs w:val="20"/>
                <w:color w:val="auto"/>
              </w:rPr>
            </w:pPr>
            <w:r>
              <w:rPr>
                <w:rFonts w:ascii="Arial" w:cs="Arial" w:eastAsia="Arial" w:hAnsi="Arial"/>
                <w:sz w:val="18"/>
                <w:szCs w:val="18"/>
                <w:color w:val="auto"/>
              </w:rPr>
              <w:t>73,107,059</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40" w:type="dxa"/>
            <w:vAlign w:val="bottom"/>
          </w:tcPr>
          <w:p>
            <w:pPr>
              <w:jc w:val="right"/>
              <w:ind w:right="150"/>
              <w:spacing w:after="0"/>
              <w:rPr>
                <w:sz w:val="20"/>
                <w:szCs w:val="20"/>
                <w:color w:val="auto"/>
              </w:rPr>
            </w:pPr>
            <w:r>
              <w:rPr>
                <w:rFonts w:ascii="Arial" w:cs="Arial" w:eastAsia="Arial" w:hAnsi="Arial"/>
                <w:sz w:val="18"/>
                <w:szCs w:val="18"/>
                <w:color w:val="auto"/>
              </w:rPr>
              <w:t>78,163,217</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80" w:type="dxa"/>
            <w:vAlign w:val="bottom"/>
          </w:tcPr>
          <w:p>
            <w:pPr>
              <w:jc w:val="right"/>
              <w:ind w:right="190"/>
              <w:spacing w:after="0"/>
              <w:rPr>
                <w:sz w:val="20"/>
                <w:szCs w:val="20"/>
                <w:color w:val="auto"/>
              </w:rPr>
            </w:pPr>
            <w:r>
              <w:rPr>
                <w:rFonts w:ascii="Arial" w:cs="Arial" w:eastAsia="Arial" w:hAnsi="Arial"/>
                <w:sz w:val="18"/>
                <w:szCs w:val="18"/>
                <w:color w:val="auto"/>
              </w:rPr>
              <w:t>72,644,487</w:t>
            </w:r>
          </w:p>
        </w:tc>
      </w:tr>
      <w:tr>
        <w:trPr>
          <w:trHeight w:val="235"/>
        </w:trPr>
        <w:tc>
          <w:tcPr>
            <w:tcW w:w="4660" w:type="dxa"/>
            <w:vAlign w:val="bottom"/>
          </w:tcPr>
          <w:p>
            <w:pPr>
              <w:ind w:left="220"/>
              <w:spacing w:after="0"/>
              <w:rPr>
                <w:sz w:val="20"/>
                <w:szCs w:val="20"/>
                <w:color w:val="auto"/>
              </w:rPr>
            </w:pPr>
            <w:r>
              <w:rPr>
                <w:rFonts w:ascii="Arial" w:cs="Arial" w:eastAsia="Arial" w:hAnsi="Arial"/>
                <w:sz w:val="18"/>
                <w:szCs w:val="18"/>
                <w:color w:val="auto"/>
              </w:rPr>
              <w:t>Dilutive effect of equity awards (5)</w:t>
            </w:r>
          </w:p>
        </w:tc>
        <w:tc>
          <w:tcPr>
            <w:tcW w:w="120" w:type="dxa"/>
            <w:vAlign w:val="bottom"/>
          </w:tcPr>
          <w:p>
            <w:pPr>
              <w:spacing w:after="0"/>
              <w:rPr>
                <w:sz w:val="20"/>
                <w:szCs w:val="20"/>
                <w:color w:val="auto"/>
              </w:rPr>
            </w:pPr>
          </w:p>
        </w:tc>
        <w:tc>
          <w:tcPr>
            <w:tcW w:w="144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1280" w:type="dxa"/>
            <w:vAlign w:val="bottom"/>
          </w:tcPr>
          <w:p>
            <w:pPr>
              <w:jc w:val="right"/>
              <w:ind w:right="190"/>
              <w:spacing w:after="0"/>
              <w:rPr>
                <w:sz w:val="20"/>
                <w:szCs w:val="20"/>
                <w:color w:val="auto"/>
              </w:rPr>
            </w:pPr>
            <w:r>
              <w:rPr>
                <w:rFonts w:ascii="Arial" w:cs="Arial" w:eastAsia="Arial" w:hAnsi="Arial"/>
                <w:sz w:val="18"/>
                <w:szCs w:val="18"/>
                <w:color w:val="auto"/>
              </w:rPr>
              <w:t>1,117,195</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6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1280" w:type="dxa"/>
            <w:vAlign w:val="bottom"/>
          </w:tcPr>
          <w:p>
            <w:pPr>
              <w:jc w:val="right"/>
              <w:ind w:right="190"/>
              <w:spacing w:after="0"/>
              <w:rPr>
                <w:sz w:val="20"/>
                <w:szCs w:val="20"/>
                <w:color w:val="auto"/>
              </w:rPr>
            </w:pPr>
            <w:r>
              <w:rPr>
                <w:rFonts w:ascii="Arial" w:cs="Arial" w:eastAsia="Arial" w:hAnsi="Arial"/>
                <w:sz w:val="18"/>
                <w:szCs w:val="18"/>
                <w:color w:val="auto"/>
              </w:rPr>
              <w:t>1,384,916</w:t>
            </w:r>
          </w:p>
        </w:tc>
      </w:tr>
      <w:tr>
        <w:trPr>
          <w:trHeight w:val="223"/>
        </w:trPr>
        <w:tc>
          <w:tcPr>
            <w:tcW w:w="4660" w:type="dxa"/>
            <w:vAlign w:val="bottom"/>
          </w:tcPr>
          <w:p>
            <w:pPr>
              <w:ind w:left="220"/>
              <w:spacing w:after="0"/>
              <w:rPr>
                <w:sz w:val="20"/>
                <w:szCs w:val="20"/>
                <w:color w:val="auto"/>
              </w:rPr>
            </w:pPr>
            <w:r>
              <w:rPr>
                <w:rFonts w:ascii="Arial" w:cs="Arial" w:eastAsia="Arial" w:hAnsi="Arial"/>
                <w:sz w:val="18"/>
                <w:szCs w:val="18"/>
                <w:color w:val="auto"/>
              </w:rPr>
              <w:t>Diluted, non-GAAP</w:t>
            </w:r>
          </w:p>
        </w:tc>
        <w:tc>
          <w:tcPr>
            <w:tcW w:w="120" w:type="dxa"/>
            <w:vAlign w:val="bottom"/>
            <w:tcBorders>
              <w:top w:val="single" w:sz="8" w:color="auto"/>
              <w:bottom w:val="single" w:sz="8" w:color="auto"/>
            </w:tcBorders>
          </w:tcPr>
          <w:p>
            <w:pPr>
              <w:spacing w:after="0"/>
              <w:rPr>
                <w:sz w:val="19"/>
                <w:szCs w:val="19"/>
                <w:color w:val="auto"/>
              </w:rPr>
            </w:pPr>
          </w:p>
        </w:tc>
        <w:tc>
          <w:tcPr>
            <w:tcW w:w="132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rPr>
              <w:t>79,905,412</w:t>
            </w:r>
          </w:p>
        </w:tc>
        <w:tc>
          <w:tcPr>
            <w:tcW w:w="120" w:type="dxa"/>
            <w:vAlign w:val="bottom"/>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1280" w:type="dxa"/>
            <w:vAlign w:val="bottom"/>
            <w:tcBorders>
              <w:top w:val="single" w:sz="8" w:color="auto"/>
              <w:bottom w:val="single" w:sz="8" w:color="auto"/>
            </w:tcBorders>
          </w:tcPr>
          <w:p>
            <w:pPr>
              <w:jc w:val="right"/>
              <w:ind w:right="190"/>
              <w:spacing w:after="0"/>
              <w:rPr>
                <w:sz w:val="20"/>
                <w:szCs w:val="20"/>
                <w:color w:val="auto"/>
              </w:rPr>
            </w:pPr>
            <w:r>
              <w:rPr>
                <w:rFonts w:ascii="Arial" w:cs="Arial" w:eastAsia="Arial" w:hAnsi="Arial"/>
                <w:sz w:val="18"/>
                <w:szCs w:val="18"/>
                <w:color w:val="auto"/>
              </w:rPr>
              <w:t>74,224,254</w:t>
            </w:r>
          </w:p>
        </w:tc>
        <w:tc>
          <w:tcPr>
            <w:tcW w:w="120" w:type="dxa"/>
            <w:vAlign w:val="bottom"/>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124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rPr>
              <w:t>78,163,217</w:t>
            </w:r>
          </w:p>
        </w:tc>
        <w:tc>
          <w:tcPr>
            <w:tcW w:w="120" w:type="dxa"/>
            <w:vAlign w:val="bottom"/>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1280" w:type="dxa"/>
            <w:vAlign w:val="bottom"/>
            <w:tcBorders>
              <w:top w:val="single" w:sz="8" w:color="auto"/>
              <w:bottom w:val="single" w:sz="8" w:color="auto"/>
            </w:tcBorders>
          </w:tcPr>
          <w:p>
            <w:pPr>
              <w:jc w:val="right"/>
              <w:ind w:right="190"/>
              <w:spacing w:after="0"/>
              <w:rPr>
                <w:sz w:val="20"/>
                <w:szCs w:val="20"/>
                <w:color w:val="auto"/>
              </w:rPr>
            </w:pPr>
            <w:r>
              <w:rPr>
                <w:rFonts w:ascii="Arial" w:cs="Arial" w:eastAsia="Arial" w:hAnsi="Arial"/>
                <w:sz w:val="18"/>
                <w:szCs w:val="18"/>
                <w:color w:val="auto"/>
              </w:rPr>
              <w:t>74,029,403</w:t>
            </w:r>
          </w:p>
        </w:tc>
      </w:tr>
    </w:tbl>
    <w:p>
      <w:pPr>
        <w:sectPr>
          <w:pgSz w:w="11900" w:h="16838" w:orient="portrait"/>
          <w:cols w:equalWidth="0" w:num="1">
            <w:col w:w="10860"/>
          </w:cols>
          <w:pgMar w:left="340" w:top="931" w:right="699" w:bottom="1440" w:gutter="0" w:footer="0" w:header="0"/>
        </w:sectPr>
      </w:pPr>
    </w:p>
    <w:bookmarkStart w:id="17" w:name="page18"/>
    <w:bookmarkEnd w:id="17"/>
    <w:p>
      <w:pPr>
        <w:ind w:left="20"/>
        <w:spacing w:after="0"/>
        <w:rPr>
          <w:sz w:val="20"/>
          <w:szCs w:val="20"/>
          <w:color w:val="auto"/>
        </w:rPr>
      </w:pPr>
      <w:r>
        <w:rPr>
          <w:rFonts w:ascii="Arial" w:cs="Arial" w:eastAsia="Arial" w:hAnsi="Arial"/>
          <w:sz w:val="18"/>
          <w:szCs w:val="18"/>
          <w:color w:val="auto"/>
        </w:rPr>
        <w:t>1.Includes transaction-related expenses and post-combination compensation expenses. For the three months ended December 31,</w:t>
      </w:r>
    </w:p>
    <w:p>
      <w:pPr>
        <w:ind w:left="180"/>
        <w:spacing w:after="0" w:line="232" w:lineRule="auto"/>
        <w:rPr>
          <w:sz w:val="20"/>
          <w:szCs w:val="20"/>
          <w:color w:val="auto"/>
        </w:rPr>
      </w:pPr>
      <w:r>
        <w:rPr>
          <w:rFonts w:ascii="Arial" w:cs="Arial" w:eastAsia="Arial" w:hAnsi="Arial"/>
          <w:sz w:val="17"/>
          <w:szCs w:val="17"/>
          <w:color w:val="auto"/>
        </w:rPr>
        <w:t>2024, adjustments consist primarily of transaction-related expenses associated with the acquisition of C2i Genomics ($1.0 million). For</w:t>
      </w:r>
    </w:p>
    <w:p>
      <w:pPr>
        <w:ind w:left="180" w:right="160"/>
        <w:spacing w:after="0" w:line="221" w:lineRule="auto"/>
        <w:rPr>
          <w:sz w:val="20"/>
          <w:szCs w:val="20"/>
          <w:color w:val="auto"/>
        </w:rPr>
      </w:pPr>
      <w:r>
        <w:rPr>
          <w:rFonts w:ascii="Arial" w:cs="Arial" w:eastAsia="Arial" w:hAnsi="Arial"/>
          <w:sz w:val="17"/>
          <w:szCs w:val="17"/>
          <w:color w:val="auto"/>
        </w:rPr>
        <w:t>the three months ended December 31, 2023, adjustments consist primarily of transaction-related expenses associated with the acquisition of C2i Genomics ($ 2.6 million) and remeasurement of contingent consideration related to our adoption of a multi-platform IVD strategy ($0.1 million). For the twelve months ended December 31, 2024, adjustments consist primarily of transaction-related</w:t>
      </w:r>
    </w:p>
    <w:p>
      <w:pPr>
        <w:ind w:left="180" w:right="180"/>
        <w:spacing w:after="0" w:line="208" w:lineRule="auto"/>
        <w:rPr>
          <w:sz w:val="20"/>
          <w:szCs w:val="20"/>
          <w:color w:val="auto"/>
        </w:rPr>
      </w:pPr>
      <w:r>
        <w:rPr>
          <w:rFonts w:ascii="Arial" w:cs="Arial" w:eastAsia="Arial" w:hAnsi="Arial"/>
          <w:sz w:val="18"/>
          <w:szCs w:val="18"/>
          <w:color w:val="auto"/>
        </w:rPr>
        <w:t>expenses associated with the acquisition of C2i Genomics. For the twelve months ended December 31, 2023, adjustments consist primarily of remeasurement of contingent consideration related to our adoption of a multi-platform IVD strategy, post-combination compensation expenses associated with the acquisition of HalioDx and transaction-related expenses associated with the acquisition</w:t>
      </w:r>
    </w:p>
    <w:p>
      <w:pPr>
        <w:spacing w:after="0" w:line="2" w:lineRule="exact"/>
        <w:rPr>
          <w:sz w:val="20"/>
          <w:szCs w:val="20"/>
          <w:color w:val="auto"/>
        </w:rPr>
      </w:pPr>
    </w:p>
    <w:p>
      <w:pPr>
        <w:ind w:left="180"/>
        <w:spacing w:after="0"/>
        <w:rPr>
          <w:sz w:val="20"/>
          <w:szCs w:val="20"/>
          <w:color w:val="auto"/>
        </w:rPr>
      </w:pPr>
      <w:r>
        <w:rPr>
          <w:rFonts w:ascii="Arial" w:cs="Arial" w:eastAsia="Arial" w:hAnsi="Arial"/>
          <w:sz w:val="18"/>
          <w:szCs w:val="18"/>
          <w:color w:val="auto"/>
        </w:rPr>
        <w:t>of C2i Genomics.</w:t>
      </w:r>
    </w:p>
    <w:p>
      <w:pPr>
        <w:spacing w:after="0" w:line="14" w:lineRule="exact"/>
        <w:rPr>
          <w:sz w:val="20"/>
          <w:szCs w:val="20"/>
          <w:color w:val="auto"/>
        </w:rPr>
      </w:pPr>
    </w:p>
    <w:p>
      <w:pPr>
        <w:ind w:left="20"/>
        <w:spacing w:after="0"/>
        <w:rPr>
          <w:sz w:val="20"/>
          <w:szCs w:val="20"/>
          <w:color w:val="auto"/>
        </w:rPr>
      </w:pPr>
      <w:r>
        <w:rPr>
          <w:rFonts w:ascii="Arial" w:cs="Arial" w:eastAsia="Arial" w:hAnsi="Arial"/>
          <w:sz w:val="18"/>
          <w:szCs w:val="18"/>
          <w:color w:val="auto"/>
        </w:rPr>
        <w:t>2.Includes interest income and income related to research tax credits.</w:t>
      </w:r>
    </w:p>
    <w:p>
      <w:pPr>
        <w:spacing w:after="0" w:line="23" w:lineRule="exact"/>
        <w:rPr>
          <w:sz w:val="20"/>
          <w:szCs w:val="20"/>
          <w:color w:val="auto"/>
        </w:rPr>
      </w:pPr>
    </w:p>
    <w:p>
      <w:pPr>
        <w:ind w:left="180" w:right="80" w:hanging="161"/>
        <w:spacing w:after="0" w:line="229" w:lineRule="auto"/>
        <w:rPr>
          <w:sz w:val="20"/>
          <w:szCs w:val="20"/>
          <w:color w:val="auto"/>
        </w:rPr>
      </w:pPr>
      <w:r>
        <w:rPr>
          <w:rFonts w:ascii="Arial" w:cs="Arial" w:eastAsia="Arial" w:hAnsi="Arial"/>
          <w:sz w:val="17"/>
          <w:szCs w:val="17"/>
          <w:color w:val="auto"/>
        </w:rPr>
        <w:t>3.For the three months ended December 31, 2024, adjustments primarily include the exclusion of unrealized losses associated with foreign exchange impacts on stock-based compensation and intercompany loans ($1.9 million), expense related to Veracyte SAS site</w:t>
      </w:r>
    </w:p>
    <w:p>
      <w:pPr>
        <w:ind w:left="180" w:right="260"/>
        <w:spacing w:after="0" w:line="208" w:lineRule="auto"/>
        <w:rPr>
          <w:sz w:val="20"/>
          <w:szCs w:val="20"/>
          <w:color w:val="auto"/>
        </w:rPr>
      </w:pPr>
      <w:r>
        <w:rPr>
          <w:rFonts w:ascii="Arial" w:cs="Arial" w:eastAsia="Arial" w:hAnsi="Arial"/>
          <w:sz w:val="18"/>
          <w:szCs w:val="18"/>
          <w:color w:val="auto"/>
        </w:rPr>
        <w:t>investment review ($3.2 million) and expense related to the impairment charge associated with HalioDx ($2.7 million). For the three months ended December 31, 2023, adjustments include $32.0 million expense related to the impairment charge associated with HalioDx. For the twelve months ended December 31, 2024, adjustments primarily include expense related to restructuring costs</w:t>
      </w:r>
    </w:p>
    <w:p>
      <w:pPr>
        <w:spacing w:after="0" w:line="2" w:lineRule="exact"/>
        <w:rPr>
          <w:sz w:val="20"/>
          <w:szCs w:val="20"/>
          <w:color w:val="auto"/>
        </w:rPr>
      </w:pPr>
    </w:p>
    <w:p>
      <w:pPr>
        <w:jc w:val="both"/>
        <w:ind w:left="180" w:right="40"/>
        <w:spacing w:after="0" w:line="221" w:lineRule="auto"/>
        <w:rPr>
          <w:sz w:val="20"/>
          <w:szCs w:val="20"/>
          <w:color w:val="auto"/>
        </w:rPr>
      </w:pPr>
      <w:r>
        <w:rPr>
          <w:rFonts w:ascii="Arial" w:cs="Arial" w:eastAsia="Arial" w:hAnsi="Arial"/>
          <w:sz w:val="17"/>
          <w:szCs w:val="17"/>
          <w:color w:val="auto"/>
        </w:rPr>
        <w:t>associated with a reduction in our Biopharmaceutical and Other segment and with portfolio prioritization, expense related to Veracyte SAS site investment review, expense related to the impairment charge associated with HalioDx and the exclusion of unrealized losses associated with foreign exchange impacts on stock-based compensation and intercompany loans. For the twelve months ended</w:t>
      </w:r>
    </w:p>
    <w:p>
      <w:pPr>
        <w:ind w:left="180" w:right="180"/>
        <w:spacing w:after="0" w:line="221" w:lineRule="auto"/>
        <w:rPr>
          <w:sz w:val="20"/>
          <w:szCs w:val="20"/>
          <w:color w:val="auto"/>
        </w:rPr>
      </w:pPr>
      <w:r>
        <w:rPr>
          <w:rFonts w:ascii="Arial" w:cs="Arial" w:eastAsia="Arial" w:hAnsi="Arial"/>
          <w:sz w:val="18"/>
          <w:szCs w:val="18"/>
          <w:color w:val="auto"/>
        </w:rPr>
        <w:t>December 31, 2023, adjustments primarily include $34.9 million expense related to the impairment charge associated with the nCounter license intangible assets, $32.0 million expense related to the impairment charge associated with HalioDx and $1.3 million related to other impairment charges.</w:t>
      </w:r>
    </w:p>
    <w:p>
      <w:pPr>
        <w:spacing w:after="0" w:line="4" w:lineRule="exact"/>
        <w:rPr>
          <w:sz w:val="20"/>
          <w:szCs w:val="20"/>
          <w:color w:val="auto"/>
        </w:rPr>
      </w:pPr>
    </w:p>
    <w:p>
      <w:pPr>
        <w:ind w:left="20"/>
        <w:spacing w:after="0"/>
        <w:rPr>
          <w:sz w:val="20"/>
          <w:szCs w:val="20"/>
          <w:color w:val="auto"/>
        </w:rPr>
      </w:pPr>
      <w:r>
        <w:rPr>
          <w:rFonts w:ascii="Arial" w:cs="Arial" w:eastAsia="Arial" w:hAnsi="Arial"/>
          <w:sz w:val="18"/>
          <w:szCs w:val="18"/>
          <w:color w:val="auto"/>
        </w:rPr>
        <w:t>4.Incremental non-GAAP tax expense reflects the tax impact of the non-GAAP adjustments listed.</w:t>
      </w:r>
    </w:p>
    <w:p>
      <w:pPr>
        <w:spacing w:after="0" w:line="32" w:lineRule="exact"/>
        <w:rPr>
          <w:sz w:val="20"/>
          <w:szCs w:val="20"/>
          <w:color w:val="auto"/>
        </w:rPr>
      </w:pPr>
    </w:p>
    <w:p>
      <w:pPr>
        <w:ind w:left="180" w:hanging="161"/>
        <w:spacing w:after="0" w:line="229" w:lineRule="auto"/>
        <w:rPr>
          <w:sz w:val="20"/>
          <w:szCs w:val="20"/>
          <w:color w:val="auto"/>
        </w:rPr>
      </w:pPr>
      <w:r>
        <w:rPr>
          <w:rFonts w:ascii="Arial" w:cs="Arial" w:eastAsia="Arial" w:hAnsi="Arial"/>
          <w:sz w:val="17"/>
          <w:szCs w:val="17"/>
          <w:color w:val="auto"/>
        </w:rPr>
        <w:t>5.In those periods in which GAAP net (loss) income is negative and non-GAAP net (loss) income is positive, non-GAAP diluted weighted average shares outstanding includes potentially dilutive common shares from equity awards as determined using the treasury stock</w:t>
      </w:r>
    </w:p>
    <w:p>
      <w:pPr>
        <w:ind w:left="180"/>
        <w:spacing w:after="0"/>
        <w:rPr>
          <w:sz w:val="20"/>
          <w:szCs w:val="20"/>
          <w:color w:val="auto"/>
        </w:rPr>
      </w:pPr>
      <w:r>
        <w:rPr>
          <w:rFonts w:ascii="Arial" w:cs="Arial" w:eastAsia="Arial" w:hAnsi="Arial"/>
          <w:sz w:val="18"/>
          <w:szCs w:val="18"/>
          <w:color w:val="auto"/>
        </w:rPr>
        <w:t>method.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jc w:val="center"/>
        <w:ind w:right="-379"/>
        <w:spacing w:after="0"/>
        <w:rPr>
          <w:sz w:val="20"/>
          <w:szCs w:val="20"/>
          <w:color w:val="auto"/>
        </w:rPr>
      </w:pPr>
      <w:r>
        <w:rPr>
          <w:rFonts w:ascii="Arial" w:cs="Arial" w:eastAsia="Arial" w:hAnsi="Arial"/>
          <w:sz w:val="18"/>
          <w:szCs w:val="18"/>
          <w:color w:val="auto"/>
        </w:rPr>
        <w:t># # #</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Investors: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Shayla Gorman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investors@veracyte.com</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619-393-1545</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Media:</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Tracy Morris</w:t>
      </w:r>
    </w:p>
    <w:p>
      <w:pPr>
        <w:spacing w:after="0" w:line="5" w:lineRule="exact"/>
        <w:rPr>
          <w:sz w:val="20"/>
          <w:szCs w:val="20"/>
          <w:color w:val="auto"/>
        </w:rPr>
      </w:pPr>
    </w:p>
    <w:p>
      <w:pPr>
        <w:spacing w:after="0"/>
        <w:rPr>
          <w:sz w:val="20"/>
          <w:szCs w:val="20"/>
          <w:color w:val="auto"/>
        </w:rPr>
      </w:pPr>
      <w:r>
        <w:rPr>
          <w:rFonts w:ascii="Arial" w:cs="Arial" w:eastAsia="Arial" w:hAnsi="Arial"/>
          <w:sz w:val="18"/>
          <w:szCs w:val="18"/>
          <w:color w:val="auto"/>
        </w:rPr>
        <w:t>media@veracyte.com</w:t>
      </w:r>
    </w:p>
    <w:p>
      <w:pPr>
        <w:spacing w:after="0"/>
        <w:rPr>
          <w:sz w:val="20"/>
          <w:szCs w:val="20"/>
          <w:color w:val="auto"/>
        </w:rPr>
      </w:pPr>
      <w:r>
        <w:rPr>
          <w:rFonts w:ascii="Arial" w:cs="Arial" w:eastAsia="Arial" w:hAnsi="Arial"/>
          <w:sz w:val="18"/>
          <w:szCs w:val="18"/>
          <w:color w:val="auto"/>
        </w:rPr>
        <w:t>650-380-4413</w:t>
      </w:r>
    </w:p>
    <w:sectPr>
      <w:pgSz w:w="11900" w:h="16838" w:orient="portrait"/>
      <w:cols w:equalWidth="0" w:num="1">
        <w:col w:w="10860"/>
      </w:cols>
      <w:pgMar w:left="320" w:top="917" w:right="7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2AE8944A"/>
    <w:multiLevelType w:val="hybridMultilevel"/>
    <w:lvl w:ilvl="0">
      <w:lvlJc w:val="left"/>
      <w:lvlText w:val="☐"/>
      <w:numFmt w:val="bullet"/>
      <w:start w:val="1"/>
    </w:lvl>
  </w:abstractNum>
  <w:abstractNum w:abstractNumId="1">
    <w:nsid w:val="625558EC"/>
    <w:multiLevelType w:val="hybridMultilevel"/>
    <w:lvl w:ilvl="0">
      <w:lvlJc w:val="left"/>
      <w:lvlText w:val="•"/>
      <w:numFmt w:val="bullet"/>
      <w:start w:val="1"/>
    </w:lvl>
  </w:abstractNum>
  <w:abstractNum w:abstractNumId="2">
    <w:nsid w:val="238E1F29"/>
    <w:multiLevelType w:val="hybridMultilevel"/>
    <w:lvl w:ilvl="0">
      <w:lvlJc w:val="left"/>
      <w:lvlText w:val="•"/>
      <w:numFmt w:val="bullet"/>
      <w:start w:val="1"/>
    </w:lvl>
  </w:abstractNum>
  <w:abstractNum w:abstractNumId="3">
    <w:nsid w:val="46E87CCD"/>
    <w:multiLevelType w:val="hybridMultilevel"/>
    <w:lvl w:ilvl="0">
      <w:lvlJc w:val="left"/>
      <w:lvlText w:val="%1"/>
      <w:numFmt w:val="decimal"/>
      <w:start w:val="1"/>
    </w:lvl>
    <w:lvl w:ilvl="1">
      <w:lvlJc w:val="left"/>
      <w:lvlText w:val="•"/>
      <w:numFmt w:val="bullet"/>
      <w:start w:val="1"/>
    </w:lvl>
  </w:abstractNum>
  <w:abstractNum w:abstractNumId="4">
    <w:nsid w:val="3D1B58BA"/>
    <w:multiLevelType w:val="hybridMultilevel"/>
    <w:lvl w:ilvl="0">
      <w:lvlJc w:val="left"/>
      <w:lvlText w:val="%1."/>
      <w:numFmt w:val="decimal"/>
      <w:start w:val="1"/>
    </w:lvl>
  </w:abstractNum>
  <w:abstractNum w:abstractNumId="5">
    <w:nsid w:val="507ED7AB"/>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2025-02-24T15:46:01Z</dcterms:created>
  <dcterms:modified xsi:type="dcterms:W3CDTF">2025-02-24T15:46:01Z</dcterms:modified>
</cp:coreProperties>
</file>