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668020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2"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73"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3"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32"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8"/>
          <w:szCs w:val="18"/>
          <w:color w:val="auto"/>
        </w:rPr>
        <w:t>Date of Report (Date of earliest event reported): April 30, 2019</w:t>
      </w:r>
    </w:p>
    <w:p>
      <w:pPr>
        <w:spacing w:after="0" w:line="253"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36"/>
          <w:szCs w:val="36"/>
          <w:b w:val="1"/>
          <w:bCs w:val="1"/>
          <w:color w:val="auto"/>
        </w:rPr>
        <w:t>VERACYTE, INC.</w:t>
      </w:r>
    </w:p>
    <w:p>
      <w:pPr>
        <w:spacing w:after="0" w:line="43"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9"/>
          <w:szCs w:val="19"/>
          <w:color w:val="auto"/>
        </w:rPr>
        <w:t>(Exact name of registrant as specified in its charter)</w:t>
      </w:r>
    </w:p>
    <w:p>
      <w:pPr>
        <w:spacing w:after="0" w:line="360" w:lineRule="exact"/>
        <w:rPr>
          <w:sz w:val="24"/>
          <w:szCs w:val="24"/>
          <w:color w:val="auto"/>
        </w:rPr>
      </w:pPr>
    </w:p>
    <w:tbl>
      <w:tblPr>
        <w:tblLayout w:type="fixed"/>
        <w:tblInd w:w="771" w:type="dxa"/>
        <w:tblCellMar>
          <w:top w:w="0" w:type="dxa"/>
          <w:left w:w="0" w:type="dxa"/>
          <w:bottom w:w="0" w:type="dxa"/>
          <w:right w:w="0" w:type="dxa"/>
        </w:tblCellMar>
      </w:tblPr>
      <w:tr>
        <w:trPr>
          <w:trHeight w:val="238"/>
        </w:trPr>
        <w:tc>
          <w:tcPr>
            <w:tcW w:w="3020" w:type="dxa"/>
            <w:vAlign w:val="bottom"/>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72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001-36156</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20-5455398</w:t>
            </w:r>
          </w:p>
        </w:tc>
      </w:tr>
      <w:tr>
        <w:trPr>
          <w:trHeight w:val="306"/>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9"/>
              </w:rPr>
              <w:t>(IRS Employer Identification</w:t>
            </w:r>
          </w:p>
        </w:tc>
      </w:tr>
      <w:tr>
        <w:trPr>
          <w:trHeight w:val="234"/>
        </w:trPr>
        <w:tc>
          <w:tcPr>
            <w:tcW w:w="302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rPr>
              <w:t>incorporation)</w:t>
            </w:r>
          </w:p>
        </w:tc>
        <w:tc>
          <w:tcPr>
            <w:tcW w:w="3720" w:type="dxa"/>
            <w:vAlign w:val="bottom"/>
          </w:tcPr>
          <w:p>
            <w:pPr>
              <w:spacing w:after="0"/>
              <w:rPr>
                <w:sz w:val="20"/>
                <w:szCs w:val="20"/>
                <w:color w:val="auto"/>
              </w:rPr>
            </w:pPr>
          </w:p>
        </w:tc>
        <w:tc>
          <w:tcPr>
            <w:tcW w:w="30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No.)</w:t>
            </w:r>
          </w:p>
        </w:tc>
      </w:tr>
      <w:tr>
        <w:trPr>
          <w:trHeight w:val="648"/>
        </w:trPr>
        <w:tc>
          <w:tcPr>
            <w:tcW w:w="674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6000 Shoreline Court, Suite 300, South San Francisco, California</w:t>
            </w:r>
          </w:p>
        </w:tc>
        <w:tc>
          <w:tcPr>
            <w:tcW w:w="304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297"/>
        </w:trPr>
        <w:tc>
          <w:tcPr>
            <w:tcW w:w="674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4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48"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(650) 243-6300</w:t>
      </w:r>
    </w:p>
    <w:p>
      <w:pPr>
        <w:spacing w:after="0" w:line="225"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29" w:lineRule="exact"/>
        <w:rPr>
          <w:sz w:val="24"/>
          <w:szCs w:val="24"/>
          <w:color w:val="auto"/>
        </w:rPr>
      </w:pPr>
    </w:p>
    <w:p>
      <w:pPr>
        <w:jc w:val="center"/>
        <w:ind w:right="-11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84" w:lineRule="exact"/>
        <w:rPr>
          <w:sz w:val="24"/>
          <w:szCs w:val="24"/>
          <w:color w:val="auto"/>
        </w:rPr>
      </w:pPr>
    </w:p>
    <w:p>
      <w:pPr>
        <w:ind w:left="51" w:right="360"/>
        <w:spacing w:after="0" w:line="281" w:lineRule="auto"/>
        <w:rPr>
          <w:sz w:val="20"/>
          <w:szCs w:val="20"/>
          <w:color w:val="auto"/>
        </w:rPr>
      </w:pPr>
      <w:r>
        <w:rPr>
          <w:rFonts w:ascii="Times New Roman" w:cs="Times New Roman" w:eastAsia="Times New Roman" w:hAnsi="Times New Roman"/>
          <w:sz w:val="17"/>
          <w:szCs w:val="17"/>
          <w:color w:val="auto"/>
        </w:rPr>
        <w:t>Check the appropriate box below if the Form 8-K filing is intended to simultaneously satisfy the filing obligation of the registrant under any of the following provisions:</w:t>
      </w:r>
    </w:p>
    <w:p>
      <w:pPr>
        <w:spacing w:after="0" w:line="28" w:lineRule="exact"/>
        <w:rPr>
          <w:sz w:val="24"/>
          <w:szCs w:val="24"/>
          <w:color w:val="auto"/>
        </w:rPr>
      </w:pPr>
    </w:p>
    <w:p>
      <w:pPr>
        <w:ind w:left="631" w:hanging="631"/>
        <w:spacing w:after="0"/>
        <w:tabs>
          <w:tab w:leader="none" w:pos="63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Written communications pursuant to Rule 425 under the Securities Act (17 CFR 230.425)</w:t>
      </w:r>
    </w:p>
    <w:p>
      <w:pPr>
        <w:spacing w:after="0" w:line="88" w:lineRule="exact"/>
        <w:rPr>
          <w:rFonts w:ascii="Times New Roman" w:cs="Times New Roman" w:eastAsia="Times New Roman" w:hAnsi="Times New Roman"/>
          <w:sz w:val="17"/>
          <w:szCs w:val="17"/>
          <w:color w:val="auto"/>
        </w:rPr>
      </w:pPr>
    </w:p>
    <w:p>
      <w:pPr>
        <w:ind w:left="631" w:hanging="631"/>
        <w:spacing w:after="0"/>
        <w:tabs>
          <w:tab w:leader="none" w:pos="63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Soliciting material pursuant to Rule 14a-12 under the Exchange Act (17 CFR 240.14a-12)</w:t>
      </w:r>
    </w:p>
    <w:p>
      <w:pPr>
        <w:spacing w:after="0" w:line="88" w:lineRule="exact"/>
        <w:rPr>
          <w:rFonts w:ascii="Times New Roman" w:cs="Times New Roman" w:eastAsia="Times New Roman" w:hAnsi="Times New Roman"/>
          <w:sz w:val="17"/>
          <w:szCs w:val="17"/>
          <w:color w:val="auto"/>
        </w:rPr>
      </w:pPr>
    </w:p>
    <w:p>
      <w:pPr>
        <w:ind w:left="631" w:hanging="631"/>
        <w:spacing w:after="0"/>
        <w:tabs>
          <w:tab w:leader="none" w:pos="63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88" w:lineRule="exact"/>
        <w:rPr>
          <w:rFonts w:ascii="Times New Roman" w:cs="Times New Roman" w:eastAsia="Times New Roman" w:hAnsi="Times New Roman"/>
          <w:sz w:val="17"/>
          <w:szCs w:val="17"/>
          <w:color w:val="auto"/>
        </w:rPr>
      </w:pPr>
    </w:p>
    <w:p>
      <w:pPr>
        <w:ind w:left="631" w:hanging="631"/>
        <w:spacing w:after="0"/>
        <w:tabs>
          <w:tab w:leader="none" w:pos="631"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200" w:lineRule="exact"/>
        <w:rPr>
          <w:sz w:val="24"/>
          <w:szCs w:val="24"/>
          <w:color w:val="auto"/>
        </w:rPr>
      </w:pPr>
    </w:p>
    <w:p>
      <w:pPr>
        <w:spacing w:after="0" w:line="243" w:lineRule="exact"/>
        <w:rPr>
          <w:sz w:val="24"/>
          <w:szCs w:val="24"/>
          <w:color w:val="auto"/>
        </w:rPr>
      </w:pPr>
    </w:p>
    <w:p>
      <w:pPr>
        <w:ind w:left="71" w:right="12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2" w:lineRule="exact"/>
        <w:rPr>
          <w:sz w:val="24"/>
          <w:szCs w:val="24"/>
          <w:color w:val="auto"/>
        </w:rPr>
      </w:pPr>
    </w:p>
    <w:p>
      <w:pPr>
        <w:ind w:left="71"/>
        <w:spacing w:after="0"/>
        <w:rPr>
          <w:sz w:val="20"/>
          <w:szCs w:val="20"/>
          <w:color w:val="auto"/>
        </w:rPr>
      </w:pPr>
      <w:r>
        <w:rPr>
          <w:rFonts w:ascii="Times New Roman" w:cs="Times New Roman" w:eastAsia="Times New Roman" w:hAnsi="Times New Roman"/>
          <w:sz w:val="18"/>
          <w:szCs w:val="18"/>
          <w:color w:val="auto"/>
        </w:rPr>
        <w:t>Emerging growth company o</w:t>
      </w:r>
    </w:p>
    <w:p>
      <w:pPr>
        <w:spacing w:after="0" w:line="63" w:lineRule="exact"/>
        <w:rPr>
          <w:sz w:val="24"/>
          <w:szCs w:val="24"/>
          <w:color w:val="auto"/>
        </w:rPr>
      </w:pPr>
    </w:p>
    <w:p>
      <w:pPr>
        <w:ind w:left="71"/>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-63500</wp:posOffset>
            </wp:positionH>
            <wp:positionV relativeFrom="paragraph">
              <wp:posOffset>324485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487680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131"/>
          </w:cols>
          <w:pgMar w:left="329" w:top="1418"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30, 2019, Veracyte, Inc. issued a press release announcing its financial results for the quarter ended March 31, 2019. The full text of the press release is furnished as Exhibit 99.1 to this report.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5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4"/>
        </w:trPr>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60" w:type="dxa"/>
            <w:vAlign w:val="bottom"/>
            <w:tcBorders>
              <w:bottom w:val="single" w:sz="8" w:color="auto"/>
            </w:tcBorders>
          </w:tcPr>
          <w:p>
            <w:pPr>
              <w:spacing w:after="0"/>
              <w:rPr>
                <w:sz w:val="4"/>
                <w:szCs w:val="4"/>
                <w:color w:val="auto"/>
              </w:rPr>
            </w:pPr>
          </w:p>
        </w:tc>
        <w:tc>
          <w:tcPr>
            <w:tcW w:w="5580" w:type="dxa"/>
            <w:vAlign w:val="bottom"/>
            <w:tcBorders>
              <w:bottom w:val="single" w:sz="8" w:color="auto"/>
            </w:tcBorders>
          </w:tcPr>
          <w:p>
            <w:pPr>
              <w:spacing w:after="0"/>
              <w:rPr>
                <w:sz w:val="4"/>
                <w:szCs w:val="4"/>
                <w:color w:val="auto"/>
              </w:rPr>
            </w:pPr>
          </w:p>
        </w:tc>
      </w:tr>
      <w:tr>
        <w:trPr>
          <w:trHeight w:val="493"/>
        </w:trPr>
        <w:tc>
          <w:tcPr>
            <w:tcW w:w="860" w:type="dxa"/>
            <w:vAlign w:val="bottom"/>
            <w:gridSpan w:val="2"/>
          </w:tcPr>
          <w:p>
            <w:pPr>
              <w:jc w:val="right"/>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hyperlink>
          </w:p>
        </w:tc>
        <w:tc>
          <w:tcPr>
            <w:tcW w:w="420" w:type="dxa"/>
            <w:vAlign w:val="bottom"/>
          </w:tcPr>
          <w:p>
            <w:pPr>
              <w:spacing w:after="0"/>
              <w:rPr>
                <w:sz w:val="24"/>
                <w:szCs w:val="24"/>
                <w:color w:val="auto"/>
              </w:rPr>
            </w:pPr>
          </w:p>
        </w:tc>
        <w:tc>
          <w:tcPr>
            <w:tcW w:w="10140" w:type="dxa"/>
            <w:vAlign w:val="bottom"/>
            <w:gridSpan w:val="3"/>
          </w:tcPr>
          <w:p>
            <w:pPr>
              <w:ind w:left="30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color w:val="0000FF"/>
                </w:rPr>
                <w:t>Press release issued by Veracyte, Inc. dated April 30, 2019.</w:t>
              </w:r>
            </w:hyperlink>
          </w:p>
        </w:tc>
      </w:tr>
      <w:tr>
        <w:trPr>
          <w:trHeight w:val="20"/>
        </w:trPr>
        <w:tc>
          <w:tcPr>
            <w:tcW w:w="5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60" w:type="dxa"/>
            <w:vAlign w:val="bottom"/>
            <w:shd w:val="clear" w:color="auto" w:fill="0000FF"/>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bl>
    <w:p>
      <w:pPr>
        <w:sectPr>
          <w:pgSz w:w="11900" w:h="16838" w:orient="portrait"/>
          <w:cols w:equalWidth="0" w:num="1">
            <w:col w:w="11420"/>
          </w:cols>
          <w:pgMar w:left="240" w:top="576" w:right="2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37" w:lineRule="exact"/>
        <w:rPr>
          <w:sz w:val="20"/>
          <w:szCs w:val="20"/>
          <w:color w:val="auto"/>
        </w:rPr>
      </w:pPr>
    </w:p>
    <w:p>
      <w:pPr>
        <w:ind w:right="580"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40"/>
        <w:spacing w:after="0"/>
        <w:tabs>
          <w:tab w:leader="none" w:pos="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April 30, 2019</w:t>
      </w:r>
    </w:p>
    <w:p>
      <w:pPr>
        <w:spacing w:after="0" w:line="38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VERACYTE, INC.</w:t>
      </w:r>
    </w:p>
    <w:p>
      <w:pPr>
        <w:spacing w:after="0" w:line="387" w:lineRule="exact"/>
        <w:rPr>
          <w:sz w:val="20"/>
          <w:szCs w:val="20"/>
          <w:color w:val="auto"/>
        </w:rPr>
      </w:pPr>
    </w:p>
    <w:tbl>
      <w:tblPr>
        <w:tblLayout w:type="fixed"/>
        <w:tblInd w:w="43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 Keith Kennedy</w:t>
            </w:r>
          </w:p>
        </w:tc>
        <w:tc>
          <w:tcPr>
            <w:tcW w:w="0" w:type="dxa"/>
            <w:vAlign w:val="bottom"/>
          </w:tcPr>
          <w:p>
            <w:pPr>
              <w:spacing w:after="0"/>
              <w:rPr>
                <w:sz w:val="1"/>
                <w:szCs w:val="1"/>
                <w:color w:val="auto"/>
              </w:rPr>
            </w:pPr>
          </w:p>
        </w:tc>
      </w:tr>
      <w:tr>
        <w:trPr>
          <w:trHeight w:val="54"/>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6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40" w:type="dxa"/>
            <w:vAlign w:val="bottom"/>
            <w:vMerge w:val="continue"/>
          </w:tcPr>
          <w:p>
            <w:pPr>
              <w:spacing w:after="0"/>
              <w:rPr>
                <w:sz w:val="20"/>
                <w:szCs w:val="20"/>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Keith Kennedy</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0" w:type="dxa"/>
            <w:vAlign w:val="bottom"/>
          </w:tcPr>
          <w:p>
            <w:pPr>
              <w:spacing w:after="0"/>
              <w:rPr>
                <w:sz w:val="1"/>
                <w:szCs w:val="1"/>
                <w:color w:val="auto"/>
              </w:rPr>
            </w:pPr>
          </w:p>
        </w:tc>
      </w:tr>
      <w:tr>
        <w:trPr>
          <w:trHeight w:val="297"/>
        </w:trPr>
        <w:tc>
          <w:tcPr>
            <w:tcW w:w="840" w:type="dxa"/>
            <w:vAlign w:val="bottom"/>
          </w:tcPr>
          <w:p>
            <w:pPr>
              <w:spacing w:after="0"/>
              <w:rPr>
                <w:sz w:val="24"/>
                <w:szCs w:val="24"/>
                <w:color w:val="auto"/>
              </w:rPr>
            </w:pPr>
          </w:p>
        </w:tc>
        <w:tc>
          <w:tcPr>
            <w:tcW w:w="6200" w:type="dxa"/>
            <w:vAlign w:val="bottom"/>
          </w:tcPr>
          <w:p>
            <w:pPr>
              <w:ind w:left="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76" w:right="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158750</wp:posOffset>
            </wp:positionV>
            <wp:extent cx="1166495" cy="875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649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Veracyte Announces First Quarter 2019 Financial Results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Revenue by 47% to $29.5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Grew Genomic Test Volume by 33% to 9,162 Tests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Company Raises 2019 Annual Revenue Guidance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5:00 p.m. ET</w:t>
      </w:r>
    </w:p>
    <w:p>
      <w:pPr>
        <w:spacing w:after="0" w:line="200" w:lineRule="exact"/>
        <w:rPr>
          <w:sz w:val="20"/>
          <w:szCs w:val="20"/>
          <w:color w:val="auto"/>
        </w:rPr>
      </w:pPr>
    </w:p>
    <w:p>
      <w:pPr>
        <w:spacing w:after="0" w:line="374" w:lineRule="exact"/>
        <w:rPr>
          <w:sz w:val="20"/>
          <w:szCs w:val="20"/>
          <w:color w:val="auto"/>
        </w:rPr>
      </w:pPr>
    </w:p>
    <w:p>
      <w:pPr>
        <w:ind w:right="100"/>
        <w:spacing w:after="0" w:line="292" w:lineRule="auto"/>
        <w:rPr>
          <w:sz w:val="20"/>
          <w:szCs w:val="20"/>
          <w:color w:val="auto"/>
        </w:rPr>
      </w:pPr>
      <w:r>
        <w:rPr>
          <w:rFonts w:ascii="Arial" w:cs="Arial" w:eastAsia="Arial" w:hAnsi="Arial"/>
          <w:sz w:val="18"/>
          <w:szCs w:val="18"/>
          <w:color w:val="auto"/>
        </w:rPr>
        <w:t>SOUTH SAN FRANCISCO, Calif., April 30, 2019 -- Veracyte, Inc. (Nasdaq: VCYT), a leading genomic diagnostics company, today announced financial results for the first quarter ended March 31, 2019 and provided an update on recent business progress.</w:t>
      </w:r>
    </w:p>
    <w:p>
      <w:pPr>
        <w:spacing w:after="0" w:line="145"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delivered excellent results in the first quarter of 2019,” said Bonnie Anderson, chairman and chief executive officer of Veracyte. “Product revenue and genomic volume both grew significantly in the quarter, and our biopharmaceutical service revenue exceeded our expectations. We also demonstrated financial discipline, improving our cash used in operating activities by 86%.”</w:t>
      </w:r>
    </w:p>
    <w:p>
      <w:pPr>
        <w:spacing w:after="0" w:line="163"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 xml:space="preserve">Anderson continued, “In addition, we received a final Medicare coverage decision for our Envisia Genomic Classifier and published clinical validation and clinical utility data in </w:t>
      </w:r>
      <w:r>
        <w:rPr>
          <w:rFonts w:ascii="Arial" w:cs="Arial" w:eastAsia="Arial" w:hAnsi="Arial"/>
          <w:sz w:val="18"/>
          <w:szCs w:val="18"/>
          <w:i w:val="1"/>
          <w:iCs w:val="1"/>
          <w:color w:val="auto"/>
        </w:rPr>
        <w:t>The Lancet Respiratory Medicine</w:t>
      </w:r>
      <w:r>
        <w:rPr>
          <w:rFonts w:ascii="Arial" w:cs="Arial" w:eastAsia="Arial" w:hAnsi="Arial"/>
          <w:sz w:val="18"/>
          <w:szCs w:val="18"/>
          <w:color w:val="auto"/>
        </w:rPr>
        <w:t>, positioning the test for commercial expansion nationwide. With this continued strong momentum, we believe we remain well-positioned for both near- and long-term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first quarter of 2019, as compared with the first quarter of 2018:</w:t>
      </w:r>
    </w:p>
    <w:p>
      <w:pPr>
        <w:spacing w:after="0" w:line="223" w:lineRule="exact"/>
        <w:rPr>
          <w:sz w:val="20"/>
          <w:szCs w:val="20"/>
          <w:color w:val="auto"/>
        </w:rPr>
      </w:pPr>
    </w:p>
    <w:p>
      <w:pPr>
        <w:ind w:left="420" w:right="20" w:hanging="250"/>
        <w:spacing w:after="0" w:line="262" w:lineRule="auto"/>
        <w:tabs>
          <w:tab w:leader="none" w:pos="420" w:val="left"/>
        </w:tabs>
        <w:numPr>
          <w:ilvl w:val="1"/>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was $29.5 million, an increase of 47%; excluding biopharmaceutical services revenue, revenue was $25.4 million,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27%;</w:t>
      </w:r>
    </w:p>
    <w:p>
      <w:pPr>
        <w:spacing w:after="0" w:line="1" w:lineRule="exact"/>
        <w:rPr>
          <w:rFonts w:ascii="Times New Roman" w:cs="Times New Roman" w:eastAsia="Times New Roman" w:hAnsi="Times New Roman"/>
          <w:sz w:val="18"/>
          <w:szCs w:val="18"/>
          <w:color w:val="auto"/>
        </w:rPr>
      </w:pPr>
    </w:p>
    <w:p>
      <w:pPr>
        <w:ind w:left="400" w:hanging="257"/>
        <w:spacing w:after="0"/>
        <w:tabs>
          <w:tab w:leader="none" w:pos="4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was 71%, an improvement of 1000 basis points or 10 percentage points;</w:t>
      </w:r>
    </w:p>
    <w:p>
      <w:pPr>
        <w:spacing w:after="0" w:line="8" w:lineRule="exact"/>
        <w:rPr>
          <w:rFonts w:ascii="Times New Roman" w:cs="Times New Roman" w:eastAsia="Times New Roman" w:hAnsi="Times New Roman"/>
          <w:sz w:val="18"/>
          <w:szCs w:val="18"/>
          <w:color w:val="auto"/>
        </w:rPr>
      </w:pPr>
    </w:p>
    <w:p>
      <w:pPr>
        <w:ind w:left="400" w:hanging="257"/>
        <w:spacing w:after="0"/>
        <w:tabs>
          <w:tab w:leader="none" w:pos="4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Operating Expenses, Excluding Cost of Revenue, </w:t>
      </w:r>
      <w:r>
        <w:rPr>
          <w:rFonts w:ascii="Arial" w:cs="Arial" w:eastAsia="Arial" w:hAnsi="Arial"/>
          <w:sz w:val="18"/>
          <w:szCs w:val="18"/>
          <w:color w:val="auto"/>
        </w:rPr>
        <w:t>were $23.1 million, an increase of 9%;</w:t>
      </w:r>
    </w:p>
    <w:p>
      <w:pPr>
        <w:spacing w:after="0" w:line="8" w:lineRule="exact"/>
        <w:rPr>
          <w:rFonts w:ascii="Times New Roman" w:cs="Times New Roman" w:eastAsia="Times New Roman" w:hAnsi="Times New Roman"/>
          <w:sz w:val="18"/>
          <w:szCs w:val="18"/>
          <w:color w:val="auto"/>
        </w:rPr>
      </w:pPr>
    </w:p>
    <w:p>
      <w:pPr>
        <w:ind w:left="400" w:hanging="257"/>
        <w:spacing w:after="0"/>
        <w:tabs>
          <w:tab w:leader="none" w:pos="4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Loss and Comprehensive Loss </w:t>
      </w:r>
      <w:r>
        <w:rPr>
          <w:rFonts w:ascii="Arial" w:cs="Arial" w:eastAsia="Arial" w:hAnsi="Arial"/>
          <w:sz w:val="18"/>
          <w:szCs w:val="18"/>
          <w:color w:val="auto"/>
        </w:rPr>
        <w:t>was $1.9 million, an improvement of 79%;</w:t>
      </w:r>
    </w:p>
    <w:p>
      <w:pPr>
        <w:spacing w:after="0" w:line="8" w:lineRule="exact"/>
        <w:rPr>
          <w:rFonts w:ascii="Times New Roman" w:cs="Times New Roman" w:eastAsia="Times New Roman" w:hAnsi="Times New Roman"/>
          <w:sz w:val="18"/>
          <w:szCs w:val="18"/>
          <w:color w:val="auto"/>
        </w:rPr>
      </w:pPr>
    </w:p>
    <w:p>
      <w:pPr>
        <w:ind w:left="400" w:hanging="257"/>
        <w:spacing w:after="0"/>
        <w:tabs>
          <w:tab w:leader="none" w:pos="4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Basic and Diluted Net Loss Per Common Share </w:t>
      </w:r>
      <w:r>
        <w:rPr>
          <w:rFonts w:ascii="Arial" w:cs="Arial" w:eastAsia="Arial" w:hAnsi="Arial"/>
          <w:sz w:val="18"/>
          <w:szCs w:val="18"/>
          <w:color w:val="auto"/>
        </w:rPr>
        <w:t>was $0.05, an improvement of 81%;</w:t>
      </w:r>
    </w:p>
    <w:p>
      <w:pPr>
        <w:spacing w:after="0" w:line="8" w:lineRule="exact"/>
        <w:rPr>
          <w:rFonts w:ascii="Times New Roman" w:cs="Times New Roman" w:eastAsia="Times New Roman" w:hAnsi="Times New Roman"/>
          <w:sz w:val="18"/>
          <w:szCs w:val="18"/>
          <w:color w:val="auto"/>
        </w:rPr>
      </w:pPr>
    </w:p>
    <w:p>
      <w:pPr>
        <w:ind w:left="400" w:hanging="257"/>
        <w:spacing w:after="0"/>
        <w:tabs>
          <w:tab w:leader="none" w:pos="4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Net Cash Used in Operating Activities </w:t>
      </w:r>
      <w:r>
        <w:rPr>
          <w:rFonts w:ascii="Arial" w:cs="Arial" w:eastAsia="Arial" w:hAnsi="Arial"/>
          <w:sz w:val="18"/>
          <w:szCs w:val="18"/>
          <w:color w:val="auto"/>
        </w:rPr>
        <w:t>was $1.0 million, an improvement of 86%; and</w:t>
      </w:r>
    </w:p>
    <w:p>
      <w:pPr>
        <w:spacing w:after="0" w:line="8" w:lineRule="exact"/>
        <w:rPr>
          <w:rFonts w:ascii="Times New Roman" w:cs="Times New Roman" w:eastAsia="Times New Roman" w:hAnsi="Times New Roman"/>
          <w:sz w:val="18"/>
          <w:szCs w:val="18"/>
          <w:color w:val="auto"/>
        </w:rPr>
      </w:pPr>
    </w:p>
    <w:p>
      <w:pPr>
        <w:ind w:left="400" w:hanging="257"/>
        <w:spacing w:after="0"/>
        <w:tabs>
          <w:tab w:leader="none" w:pos="40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were $67.8 million at March 31, 2019</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2019 and Recent Business Highlights</w:t>
      </w:r>
    </w:p>
    <w:p>
      <w:pPr>
        <w:spacing w:after="0" w:line="146" w:lineRule="exact"/>
        <w:rPr>
          <w:sz w:val="20"/>
          <w:szCs w:val="20"/>
          <w:color w:val="auto"/>
        </w:rPr>
      </w:pPr>
    </w:p>
    <w:p>
      <w:pPr>
        <w:ind w:left="400" w:hanging="257"/>
        <w:spacing w:after="0"/>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Recognized revenue for the first time for the Envisia classifier in the first quarter of 2019.</w:t>
      </w:r>
    </w:p>
    <w:p>
      <w:pPr>
        <w:spacing w:after="0" w:line="30" w:lineRule="exact"/>
        <w:rPr>
          <w:rFonts w:ascii="Times New Roman" w:cs="Times New Roman" w:eastAsia="Times New Roman" w:hAnsi="Times New Roman"/>
          <w:sz w:val="18"/>
          <w:szCs w:val="18"/>
          <w:color w:val="auto"/>
        </w:rPr>
      </w:pPr>
    </w:p>
    <w:p>
      <w:pPr>
        <w:ind w:left="400" w:hanging="257"/>
        <w:spacing w:after="0"/>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Grew genomic test volume to 9,162 tests in the first quarter of 2019, an increase of 33% compared with the first quarter of 2018.</w:t>
      </w:r>
    </w:p>
    <w:p>
      <w:pPr>
        <w:spacing w:after="0" w:line="8" w:lineRule="exact"/>
        <w:rPr>
          <w:rFonts w:ascii="Times New Roman" w:cs="Times New Roman" w:eastAsia="Times New Roman" w:hAnsi="Times New Roman"/>
          <w:sz w:val="18"/>
          <w:szCs w:val="18"/>
          <w:color w:val="auto"/>
        </w:rPr>
      </w:pPr>
    </w:p>
    <w:p>
      <w:pPr>
        <w:ind w:left="400" w:right="40" w:hanging="257"/>
        <w:spacing w:after="0" w:line="265" w:lineRule="auto"/>
        <w:tabs>
          <w:tab w:leader="none" w:pos="40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Received a </w:t>
      </w:r>
      <w:r>
        <w:rPr>
          <w:rFonts w:ascii="Arial" w:cs="Arial" w:eastAsia="Arial" w:hAnsi="Arial"/>
          <w:sz w:val="18"/>
          <w:szCs w:val="18"/>
          <w:color w:val="222222"/>
        </w:rPr>
        <w:t>final</w:t>
      </w:r>
      <w:r>
        <w:rPr>
          <w:rFonts w:ascii="Arial" w:cs="Arial" w:eastAsia="Arial" w:hAnsi="Arial"/>
          <w:sz w:val="18"/>
          <w:szCs w:val="18"/>
          <w:color w:val="auto"/>
        </w:rPr>
        <w:t xml:space="preserve"> Medicare </w:t>
      </w:r>
      <w:r>
        <w:rPr>
          <w:rFonts w:ascii="Arial" w:cs="Arial" w:eastAsia="Arial" w:hAnsi="Arial"/>
          <w:sz w:val="18"/>
          <w:szCs w:val="18"/>
          <w:color w:val="222222"/>
        </w:rPr>
        <w:t>coverage determination for the Envisia classifier through the MolDX program effective April 1, 2019, making the</w:t>
      </w:r>
      <w:r>
        <w:rPr>
          <w:rFonts w:ascii="Arial" w:cs="Arial" w:eastAsia="Arial" w:hAnsi="Arial"/>
          <w:sz w:val="18"/>
          <w:szCs w:val="18"/>
          <w:color w:val="auto"/>
        </w:rPr>
        <w:t xml:space="preserve"> </w:t>
      </w:r>
      <w:r>
        <w:rPr>
          <w:rFonts w:ascii="Arial" w:cs="Arial" w:eastAsia="Arial" w:hAnsi="Arial"/>
          <w:sz w:val="18"/>
          <w:szCs w:val="18"/>
          <w:color w:val="222222"/>
        </w:rPr>
        <w:t>test a covered service for nearly 60 million Medicare beneficiaries nationwide.</w:t>
      </w:r>
    </w:p>
    <w:p>
      <w:pPr>
        <w:sectPr>
          <w:pgSz w:w="11900" w:h="16838" w:orient="portrait"/>
          <w:cols w:equalWidth="0" w:num="1">
            <w:col w:w="11420"/>
          </w:cols>
          <w:pgMar w:left="240" w:top="574" w:right="239" w:bottom="1440" w:gutter="0" w:footer="0" w:header="0"/>
        </w:sectPr>
      </w:pPr>
    </w:p>
    <w:bookmarkStart w:id="4" w:name="page5"/>
    <w:bookmarkEnd w:id="4"/>
    <w:p>
      <w:pPr>
        <w:ind w:left="400" w:right="260" w:hanging="257"/>
        <w:spacing w:after="0" w:line="262" w:lineRule="auto"/>
        <w:tabs>
          <w:tab w:leader="none" w:pos="4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Received coverage for the Afirma Genomic Sequencing Classifier (GSC) under the U.S. Department of Defense TRICARE program for approximately 9.4 million uniformed service members, retirees and their families around the world.</w:t>
      </w:r>
    </w:p>
    <w:p>
      <w:pPr>
        <w:spacing w:after="0" w:line="1" w:lineRule="exact"/>
        <w:rPr>
          <w:rFonts w:ascii="Times New Roman" w:cs="Times New Roman" w:eastAsia="Times New Roman" w:hAnsi="Times New Roman"/>
          <w:sz w:val="18"/>
          <w:szCs w:val="18"/>
          <w:color w:val="auto"/>
        </w:rPr>
      </w:pPr>
    </w:p>
    <w:p>
      <w:pPr>
        <w:ind w:left="400" w:hanging="257"/>
        <w:spacing w:after="0" w:line="265" w:lineRule="auto"/>
        <w:tabs>
          <w:tab w:leader="none" w:pos="40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Received regulatory approval for the Envisia classifier from the New York State Department of Health, making the test available to patients in the state effective immediately.</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Strengthened Library of Clinical Evidence:</w:t>
      </w:r>
    </w:p>
    <w:p>
      <w:pPr>
        <w:spacing w:after="0" w:line="144" w:lineRule="exact"/>
        <w:rPr>
          <w:sz w:val="20"/>
          <w:szCs w:val="20"/>
          <w:color w:val="auto"/>
        </w:rPr>
      </w:pPr>
    </w:p>
    <w:p>
      <w:pPr>
        <w:ind w:left="400" w:right="20" w:hanging="257"/>
        <w:spacing w:after="0" w:line="258" w:lineRule="auto"/>
        <w:tabs>
          <w:tab w:leader="none" w:pos="4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Published clinical validation and utility study findings for the Envisia classifier in </w:t>
      </w:r>
      <w:r>
        <w:rPr>
          <w:rFonts w:ascii="Arial" w:cs="Arial" w:eastAsia="Arial" w:hAnsi="Arial"/>
          <w:sz w:val="18"/>
          <w:szCs w:val="18"/>
          <w:i w:val="1"/>
          <w:iCs w:val="1"/>
          <w:color w:val="auto"/>
        </w:rPr>
        <w:t>The Lancet Respiratory Medicine</w:t>
      </w:r>
      <w:r>
        <w:rPr>
          <w:rFonts w:ascii="Arial" w:cs="Arial" w:eastAsia="Arial" w:hAnsi="Arial"/>
          <w:sz w:val="18"/>
          <w:szCs w:val="18"/>
          <w:color w:val="auto"/>
        </w:rPr>
        <w:t xml:space="preserve">, demonstrating that the test can identify more than two-thirds of patients (70% sensitivity) with the hallmark pattern of idiopathic pulmonary fibrosis (IPF), with high accuracy (88% specificity), thus improving diagnosis </w:t>
      </w:r>
      <w:r>
        <w:rPr>
          <w:rFonts w:ascii="Arial" w:cs="Arial" w:eastAsia="Arial" w:hAnsi="Arial"/>
          <w:sz w:val="18"/>
          <w:szCs w:val="18"/>
          <w:color w:val="222222"/>
        </w:rPr>
        <w:t>- without the need for surgery.</w:t>
      </w:r>
    </w:p>
    <w:p>
      <w:pPr>
        <w:spacing w:after="0" w:line="1" w:lineRule="exact"/>
        <w:rPr>
          <w:rFonts w:ascii="Times New Roman" w:cs="Times New Roman" w:eastAsia="Times New Roman" w:hAnsi="Times New Roman"/>
          <w:sz w:val="18"/>
          <w:szCs w:val="18"/>
          <w:color w:val="auto"/>
        </w:rPr>
      </w:pPr>
    </w:p>
    <w:p>
      <w:pPr>
        <w:ind w:left="400" w:hanging="257"/>
        <w:spacing w:after="0" w:line="250" w:lineRule="auto"/>
        <w:tabs>
          <w:tab w:leader="none" w:pos="4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An independent real-world study on the Afirma GSC was published in </w:t>
      </w:r>
      <w:r>
        <w:rPr>
          <w:rFonts w:ascii="Arial" w:cs="Arial" w:eastAsia="Arial" w:hAnsi="Arial"/>
          <w:sz w:val="18"/>
          <w:szCs w:val="18"/>
          <w:i w:val="1"/>
          <w:iCs w:val="1"/>
          <w:color w:val="auto"/>
        </w:rPr>
        <w:t>Thyroid</w:t>
      </w:r>
      <w:r>
        <w:rPr>
          <w:rFonts w:ascii="Arial" w:cs="Arial" w:eastAsia="Arial" w:hAnsi="Arial"/>
          <w:sz w:val="18"/>
          <w:szCs w:val="18"/>
          <w:color w:val="auto"/>
        </w:rPr>
        <w:t xml:space="preserve"> showing that at Brigham and Women’s Hospital use of the test identified benign thyroid nodules nearly 40% more often than the original Afirma test. This improved performance was due to the test’s enhanced ability to distinguish benign from cancerous </w:t>
      </w:r>
      <w:r>
        <w:rPr>
          <w:rFonts w:ascii="Arial" w:cs="Arial" w:eastAsia="Arial" w:hAnsi="Arial"/>
          <w:sz w:val="18"/>
          <w:szCs w:val="18"/>
          <w:color w:val="222222"/>
        </w:rPr>
        <w:t>Hürthle cells, a common but hard-to-diagnose thyroid nodule subtype.</w:t>
      </w:r>
    </w:p>
    <w:p>
      <w:pPr>
        <w:ind w:left="400" w:right="120" w:hanging="257"/>
        <w:spacing w:after="0" w:line="250" w:lineRule="auto"/>
        <w:tabs>
          <w:tab w:leader="none" w:pos="4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Published a manuscript on the Afirma GSC in </w:t>
      </w:r>
      <w:r>
        <w:rPr>
          <w:rFonts w:ascii="Arial" w:cs="Arial" w:eastAsia="Arial" w:hAnsi="Arial"/>
          <w:sz w:val="18"/>
          <w:szCs w:val="18"/>
          <w:i w:val="1"/>
          <w:iCs w:val="1"/>
          <w:color w:val="auto"/>
        </w:rPr>
        <w:t>BMS Systems Biology</w:t>
      </w:r>
      <w:r>
        <w:rPr>
          <w:rFonts w:ascii="Arial" w:cs="Arial" w:eastAsia="Arial" w:hAnsi="Arial"/>
          <w:sz w:val="18"/>
          <w:szCs w:val="18"/>
          <w:color w:val="auto"/>
        </w:rPr>
        <w:t xml:space="preserve"> showcasing the development of the classifier using RNA whole-transcriptome sequencing and machine learning, enabling improved diagnosis of </w:t>
      </w:r>
      <w:r>
        <w:rPr>
          <w:rFonts w:ascii="Arial" w:cs="Arial" w:eastAsia="Arial" w:hAnsi="Arial"/>
          <w:sz w:val="18"/>
          <w:szCs w:val="18"/>
          <w:color w:val="222222"/>
        </w:rPr>
        <w:t>Hürthle cell benign adenoma from carcinoma within this</w:t>
      </w:r>
      <w:r>
        <w:rPr>
          <w:rFonts w:ascii="Arial" w:cs="Arial" w:eastAsia="Arial" w:hAnsi="Arial"/>
          <w:sz w:val="18"/>
          <w:szCs w:val="18"/>
          <w:color w:val="auto"/>
        </w:rPr>
        <w:t xml:space="preserve"> </w:t>
      </w:r>
      <w:r>
        <w:rPr>
          <w:rFonts w:ascii="Arial" w:cs="Arial" w:eastAsia="Arial" w:hAnsi="Arial"/>
          <w:sz w:val="18"/>
          <w:szCs w:val="18"/>
          <w:color w:val="222222"/>
        </w:rPr>
        <w:t>subtype of thyroid nodules.</w:t>
      </w:r>
    </w:p>
    <w:p>
      <w:pPr>
        <w:ind w:left="400" w:right="440" w:hanging="257"/>
        <w:spacing w:after="0" w:line="258" w:lineRule="auto"/>
        <w:tabs>
          <w:tab w:leader="none" w:pos="40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Presented </w:t>
      </w:r>
      <w:r>
        <w:rPr>
          <w:rFonts w:ascii="Arial" w:cs="Arial" w:eastAsia="Arial" w:hAnsi="Arial"/>
          <w:sz w:val="18"/>
          <w:szCs w:val="18"/>
          <w:color w:val="222222"/>
        </w:rPr>
        <w:t>Afirma Xpression Atlas data</w:t>
      </w:r>
      <w:r>
        <w:rPr>
          <w:rFonts w:ascii="Arial" w:cs="Arial" w:eastAsia="Arial" w:hAnsi="Arial"/>
          <w:sz w:val="18"/>
          <w:szCs w:val="18"/>
          <w:color w:val="auto"/>
        </w:rPr>
        <w:t xml:space="preserve"> at the ENDO 2019, revealing new insights into the genomic underpinning of medullary thyroid cancer (MTC). This variant and fusion information may help guide physicians in the preoperative evaluation, surgical planning and targeted therapy selections for patients diagnosed with this rare, but aggressive, form of thyroid cancer.</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Updated 2019 Financial Outlook</w:t>
      </w:r>
    </w:p>
    <w:p>
      <w:pPr>
        <w:spacing w:after="0" w:line="119"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color w:val="auto"/>
        </w:rPr>
        <w:t>Veracyte is increasing its 2019 annual revenue guidance to a range of $117 million to $121 million from its prior guidance range of $ 113 million to $117 million. The company continues to expect full-year 2019 net cash used in operating activities to be in the range of $4 million to $6 million and to achieve operating cash flow breakeven before the end of this year.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119"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Veracyte will host a conference call and webcast today at 5:00 p.m. Eastern Time to discuss the company's financial results and provide a general business update. The conference call will be webcast live from the company’s website and will be available via the following link https://edge.media-server.com/m6/p/jsjh76tc.</w:t>
      </w:r>
    </w:p>
    <w:p>
      <w:pPr>
        <w:spacing w:after="0" w:line="163" w:lineRule="exact"/>
        <w:rPr>
          <w:sz w:val="20"/>
          <w:szCs w:val="20"/>
          <w:color w:val="auto"/>
        </w:rPr>
      </w:pPr>
    </w:p>
    <w:p>
      <w:pPr>
        <w:ind w:right="540"/>
        <w:spacing w:after="0" w:line="271" w:lineRule="auto"/>
        <w:rPr>
          <w:sz w:val="20"/>
          <w:szCs w:val="20"/>
          <w:color w:val="auto"/>
        </w:rPr>
      </w:pPr>
      <w:r>
        <w:rPr>
          <w:rFonts w:ascii="Arial" w:cs="Arial" w:eastAsia="Arial" w:hAnsi="Arial"/>
          <w:sz w:val="18"/>
          <w:szCs w:val="18"/>
          <w:color w:val="auto"/>
        </w:rPr>
        <w:t>The webcast should be accessed 10 minutes prior to the conference call start time. A replay of the webcast will be available for one year following the conclusion of the live broadcast and will be accessible on the company’s website at https://investor.veracyte.com/events-presentations.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6780" w:type="dxa"/>
            <w:vAlign w:val="bottom"/>
          </w:tcPr>
          <w:p>
            <w:pPr>
              <w:spacing w:after="0"/>
              <w:rPr>
                <w:sz w:val="20"/>
                <w:szCs w:val="20"/>
                <w:color w:val="auto"/>
              </w:rPr>
            </w:pPr>
            <w:r>
              <w:rPr>
                <w:rFonts w:ascii="Arial" w:cs="Arial" w:eastAsia="Arial" w:hAnsi="Arial"/>
                <w:sz w:val="20"/>
                <w:szCs w:val="20"/>
                <w:color w:val="auto"/>
              </w:rPr>
              <w:t>The conference call can be accessed as follows:</w:t>
            </w:r>
          </w:p>
        </w:tc>
        <w:tc>
          <w:tcPr>
            <w:tcW w:w="2220" w:type="dxa"/>
            <w:vAlign w:val="bottom"/>
          </w:tcPr>
          <w:p>
            <w:pPr>
              <w:spacing w:after="0"/>
              <w:rPr>
                <w:sz w:val="23"/>
                <w:szCs w:val="23"/>
                <w:color w:val="auto"/>
              </w:rPr>
            </w:pPr>
          </w:p>
        </w:tc>
      </w:tr>
      <w:tr>
        <w:trPr>
          <w:trHeight w:val="608"/>
        </w:trPr>
        <w:tc>
          <w:tcPr>
            <w:tcW w:w="6780" w:type="dxa"/>
            <w:vAlign w:val="bottom"/>
          </w:tcPr>
          <w:p>
            <w:pPr>
              <w:ind w:left="1600"/>
              <w:spacing w:after="0"/>
              <w:rPr>
                <w:sz w:val="20"/>
                <w:szCs w:val="20"/>
                <w:color w:val="auto"/>
              </w:rPr>
            </w:pPr>
            <w:r>
              <w:rPr>
                <w:rFonts w:ascii="Arial" w:cs="Arial" w:eastAsia="Arial" w:hAnsi="Arial"/>
                <w:sz w:val="20"/>
                <w:szCs w:val="20"/>
                <w:color w:val="auto"/>
              </w:rPr>
              <w:t>U.S./Canada participant dial-in number (toll-free):</w:t>
            </w:r>
          </w:p>
        </w:tc>
        <w:tc>
          <w:tcPr>
            <w:tcW w:w="2220" w:type="dxa"/>
            <w:vAlign w:val="bottom"/>
          </w:tcPr>
          <w:p>
            <w:pPr>
              <w:ind w:left="880"/>
              <w:spacing w:after="0"/>
              <w:rPr>
                <w:sz w:val="20"/>
                <w:szCs w:val="20"/>
                <w:color w:val="auto"/>
              </w:rPr>
            </w:pPr>
            <w:r>
              <w:rPr>
                <w:rFonts w:ascii="Arial" w:cs="Arial" w:eastAsia="Arial" w:hAnsi="Arial"/>
                <w:sz w:val="20"/>
                <w:szCs w:val="20"/>
                <w:color w:val="auto"/>
                <w:w w:val="96"/>
              </w:rPr>
              <w:t>(855) 541-0980</w:t>
            </w:r>
          </w:p>
        </w:tc>
      </w:tr>
      <w:tr>
        <w:trPr>
          <w:trHeight w:val="270"/>
        </w:trPr>
        <w:tc>
          <w:tcPr>
            <w:tcW w:w="6780" w:type="dxa"/>
            <w:vAlign w:val="bottom"/>
          </w:tcPr>
          <w:p>
            <w:pPr>
              <w:ind w:left="1600"/>
              <w:spacing w:after="0"/>
              <w:rPr>
                <w:sz w:val="20"/>
                <w:szCs w:val="20"/>
                <w:color w:val="auto"/>
              </w:rPr>
            </w:pPr>
            <w:r>
              <w:rPr>
                <w:rFonts w:ascii="Arial" w:cs="Arial" w:eastAsia="Arial" w:hAnsi="Arial"/>
                <w:sz w:val="20"/>
                <w:szCs w:val="20"/>
                <w:color w:val="auto"/>
              </w:rPr>
              <w:t>International participant dial-in number:</w:t>
            </w:r>
          </w:p>
        </w:tc>
        <w:tc>
          <w:tcPr>
            <w:tcW w:w="2220" w:type="dxa"/>
            <w:vAlign w:val="bottom"/>
          </w:tcPr>
          <w:p>
            <w:pPr>
              <w:ind w:left="880"/>
              <w:spacing w:after="0"/>
              <w:rPr>
                <w:sz w:val="20"/>
                <w:szCs w:val="20"/>
                <w:color w:val="auto"/>
              </w:rPr>
            </w:pPr>
            <w:r>
              <w:rPr>
                <w:rFonts w:ascii="Arial" w:cs="Arial" w:eastAsia="Arial" w:hAnsi="Arial"/>
                <w:sz w:val="20"/>
                <w:szCs w:val="20"/>
                <w:color w:val="auto"/>
                <w:w w:val="96"/>
              </w:rPr>
              <w:t>(970) 315-0440</w:t>
            </w:r>
          </w:p>
        </w:tc>
      </w:tr>
      <w:tr>
        <w:trPr>
          <w:trHeight w:val="270"/>
        </w:trPr>
        <w:tc>
          <w:tcPr>
            <w:tcW w:w="6780" w:type="dxa"/>
            <w:vAlign w:val="bottom"/>
          </w:tcPr>
          <w:p>
            <w:pPr>
              <w:ind w:left="1600"/>
              <w:spacing w:after="0"/>
              <w:rPr>
                <w:sz w:val="20"/>
                <w:szCs w:val="20"/>
                <w:color w:val="auto"/>
              </w:rPr>
            </w:pPr>
            <w:r>
              <w:rPr>
                <w:rFonts w:ascii="Arial" w:cs="Arial" w:eastAsia="Arial" w:hAnsi="Arial"/>
                <w:sz w:val="20"/>
                <w:szCs w:val="20"/>
                <w:color w:val="auto"/>
              </w:rPr>
              <w:t>Conference I.D.:</w:t>
            </w:r>
          </w:p>
        </w:tc>
        <w:tc>
          <w:tcPr>
            <w:tcW w:w="2220" w:type="dxa"/>
            <w:vAlign w:val="bottom"/>
          </w:tcPr>
          <w:p>
            <w:pPr>
              <w:ind w:left="880"/>
              <w:spacing w:after="0"/>
              <w:rPr>
                <w:sz w:val="20"/>
                <w:szCs w:val="20"/>
                <w:color w:val="auto"/>
              </w:rPr>
            </w:pPr>
            <w:r>
              <w:rPr>
                <w:rFonts w:ascii="Arial" w:cs="Arial" w:eastAsia="Arial" w:hAnsi="Arial"/>
                <w:sz w:val="20"/>
                <w:szCs w:val="20"/>
                <w:color w:val="auto"/>
              </w:rPr>
              <w:t>9289499</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3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Veracyte (Nasdaq: VCYT) is a leading genomic diagnostics company that improves patient care by providing trustworthy and actionable answers to challenging clinical questions. The company's products uniquely combine advanced genomic technology, clinical science and machine learning to provide answers that give physicians and patients a clear path forward, informing both diagnosis and treatment decisions without the need for costly, risky surgeries that are often unnecessary. Since its founding in 2008, Veracyte has commercialized five genomic tests, which are transforming the diagnosis of thyroid cancer, lung cancer and idiopathic pulmonary fibrosis. Veracyte is b</w:t>
      </w:r>
    </w:p>
    <w:p>
      <w:pPr>
        <w:sectPr>
          <w:pgSz w:w="11900" w:h="16838" w:orient="portrait"/>
          <w:cols w:equalWidth="0" w:num="1">
            <w:col w:w="11400"/>
          </w:cols>
          <w:pgMar w:left="240" w:top="576"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ased in South San Francisco, California. For more information, please visit www.veracyte.com and follow the company on Twitter (@veracyte).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and the Veracyte logo are trademarks of Veracyte,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6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 that we have a strong foundation in place to drive revenue growth and achieve operating cash flow breakeven before the end of 2019, our beliefs regarding momentum in our business and potential drivers of future growth, our first quarter 2019 performance and our expectations regarding full-year 2019 revenue and net cash used in operating activities, the success of our Afirma Xpression Atlas platform, our expectations regarding our ability to expand commercialization of our Percepta and Envisia Genomic Classifiers, our expectations regarding our strategic collaboration with Johnson &amp; Johnson, our ability to drive revenue growth across our endocrinology and pulmonology franchises, our estimates of the number of people covered under the TRICARE program, our belief that published clinical validation and utility study finding for the Envisia classifier can improve diagnosis and decrease the need for surgery, study results demonstrating that the Afirma GSC test has an enhanced ability to distinguish benign from cancerous </w:t>
      </w:r>
      <w:r>
        <w:rPr>
          <w:rFonts w:ascii="Arial" w:cs="Arial" w:eastAsia="Arial" w:hAnsi="Arial"/>
          <w:sz w:val="18"/>
          <w:szCs w:val="18"/>
          <w:color w:val="222222"/>
        </w:rPr>
        <w:t>Hürthle cells, our belief that variant and fusion information from the Afirma Xpression Atlas data</w:t>
      </w:r>
      <w:r>
        <w:rPr>
          <w:rFonts w:ascii="Arial" w:cs="Arial" w:eastAsia="Arial" w:hAnsi="Arial"/>
          <w:sz w:val="18"/>
          <w:szCs w:val="18"/>
          <w:color w:val="auto"/>
        </w:rPr>
        <w:t xml:space="preserve"> </w:t>
      </w:r>
      <w:r>
        <w:rPr>
          <w:rFonts w:ascii="Arial" w:cs="Arial" w:eastAsia="Arial" w:hAnsi="Arial"/>
          <w:sz w:val="18"/>
          <w:szCs w:val="18"/>
          <w:color w:val="222222"/>
        </w:rPr>
        <w:t>may help guide physicians in preoperative evaluation, surgical planning and targeted therapy selections</w:t>
      </w:r>
      <w:r>
        <w:rPr>
          <w:rFonts w:ascii="Arial" w:cs="Arial" w:eastAsia="Arial" w:hAnsi="Arial"/>
          <w:sz w:val="18"/>
          <w:szCs w:val="18"/>
          <w:color w:val="000000"/>
        </w:rPr>
        <w:t>. Forward-looking statements are</w:t>
      </w:r>
      <w:r>
        <w:rPr>
          <w:rFonts w:ascii="Arial" w:cs="Arial" w:eastAsia="Arial" w:hAnsi="Arial"/>
          <w:sz w:val="18"/>
          <w:szCs w:val="18"/>
          <w:color w:val="222222"/>
        </w:rPr>
        <w:t xml:space="preserve"> </w:t>
      </w:r>
      <w:r>
        <w:rPr>
          <w:rFonts w:ascii="Arial" w:cs="Arial" w:eastAsia="Arial" w:hAnsi="Arial"/>
          <w:sz w:val="18"/>
          <w:szCs w:val="18"/>
          <w:color w:val="000000"/>
        </w:rPr>
        <w:t>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history of losses since inception; the commercialization, performance and acceptance of our Afirma, Percepta and Envisia classifiers; our dependence on a few payers for reimbursements and payments of our tests and a significant portion of our revenue; the complexity, time and expense associated with billing and collecting from payers for our classifiers; our ability to increase usage of and reimbursement for the Afirma, Percepta and Envisia classifiers, as well as any future products we may develop or sell; our dependence on physicians and patients who decide whether to order and use our tests; the fluctuation of our quarterly operating results; our ability to comply with federal and state licensing requirements and other laws and regulations applicable to our business, including potential regulation by the Food and Drug Administration or other regulatory bodies; our dependence on supplies for equipment and other materials used for our tests; our ability to develop and commercialize new products and the timing and speed of commercialization; the amount by which use of our products is able to reduce invasive procedures and reduce healthcare costs; our ability to attract and retain key personnel; our ability to achieve sales penetration in complex commercial accounts; the occurrence and outcome of clinical studies; the timing and publication of study results; the potential for future clinical studies to contradict or undermine previously published clinical study results; the applicability of clinical results to actual outcomes; the continued application of clinical guidelines to our products and their inclusion in such clinical practice guidelines; our ability to compete; our ability to obtain capital when needed; and other risks set forth in the company's filings with the Securities and Exchange Commission, including the risks set forth in the company's Annual Report on Form 10-K for the year ended December 31, 2018. These forward-looking statements speak only as of the date hereof and Veracyte specifically disclaims any obligation to update these forward-looking statements.</w:t>
      </w:r>
    </w:p>
    <w:p>
      <w:pPr>
        <w:sectPr>
          <w:pgSz w:w="11900" w:h="16838" w:orient="portrait"/>
          <w:cols w:equalWidth="0" w:num="1">
            <w:col w:w="11420"/>
          </w:cols>
          <w:pgMar w:left="240" w:top="792" w:right="2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 except share and per share amounts)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040" w:type="dxa"/>
            <w:vAlign w:val="bottom"/>
          </w:tcPr>
          <w:p>
            <w:pPr>
              <w:spacing w:after="0"/>
              <w:rPr>
                <w:sz w:val="22"/>
                <w:szCs w:val="22"/>
                <w:color w:val="auto"/>
              </w:rPr>
            </w:pPr>
          </w:p>
        </w:tc>
        <w:tc>
          <w:tcPr>
            <w:tcW w:w="27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9"/>
              </w:rPr>
              <w:t>Three Months Ended March 31,</w:t>
            </w:r>
          </w:p>
        </w:tc>
      </w:tr>
      <w:tr>
        <w:trPr>
          <w:trHeight w:val="258"/>
        </w:trPr>
        <w:tc>
          <w:tcPr>
            <w:tcW w:w="80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47"/>
        </w:trPr>
        <w:tc>
          <w:tcPr>
            <w:tcW w:w="8040" w:type="dxa"/>
            <w:vAlign w:val="bottom"/>
          </w:tcPr>
          <w:p>
            <w:pPr>
              <w:spacing w:after="0"/>
              <w:rPr>
                <w:sz w:val="20"/>
                <w:szCs w:val="20"/>
                <w:color w:val="auto"/>
              </w:rPr>
            </w:pPr>
            <w:r>
              <w:rPr>
                <w:rFonts w:ascii="Arial" w:cs="Arial" w:eastAsia="Arial" w:hAnsi="Arial"/>
                <w:sz w:val="18"/>
                <w:szCs w:val="18"/>
                <w:color w:val="auto"/>
              </w:rPr>
              <w:t>Revenue</w:t>
            </w: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29,529</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20,041</w:t>
            </w: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8,513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7,867</w:t>
            </w: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3,675</w:t>
            </w: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Selling and marketing</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12,477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11,543</w:t>
            </w:r>
          </w:p>
        </w:tc>
      </w:tr>
      <w:tr>
        <w:trPr>
          <w:trHeight w:val="270"/>
        </w:trPr>
        <w:tc>
          <w:tcPr>
            <w:tcW w:w="804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6,904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5,644</w:t>
            </w:r>
          </w:p>
        </w:tc>
      </w:tr>
      <w:tr>
        <w:trPr>
          <w:trHeight w:val="273"/>
        </w:trPr>
        <w:tc>
          <w:tcPr>
            <w:tcW w:w="8040" w:type="dxa"/>
            <w:vAlign w:val="bottom"/>
          </w:tcPr>
          <w:p>
            <w:pPr>
              <w:ind w:left="160"/>
              <w:spacing w:after="0"/>
              <w:rPr>
                <w:sz w:val="20"/>
                <w:szCs w:val="20"/>
                <w:color w:val="auto"/>
              </w:rPr>
            </w:pPr>
            <w:r>
              <w:rPr>
                <w:rFonts w:ascii="Arial" w:cs="Arial" w:eastAsia="Arial" w:hAnsi="Arial"/>
                <w:sz w:val="18"/>
                <w:szCs w:val="18"/>
                <w:color w:val="auto"/>
              </w:rPr>
              <w:t>Intangible asset amortization</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267</w:t>
            </w:r>
          </w:p>
        </w:tc>
      </w:tr>
      <w:tr>
        <w:trPr>
          <w:trHeight w:val="250"/>
        </w:trPr>
        <w:tc>
          <w:tcPr>
            <w:tcW w:w="804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31,596</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28,996</w:t>
            </w:r>
          </w:p>
        </w:tc>
      </w:tr>
      <w:tr>
        <w:trPr>
          <w:trHeight w:val="247"/>
        </w:trPr>
        <w:tc>
          <w:tcPr>
            <w:tcW w:w="8040" w:type="dxa"/>
            <w:vAlign w:val="bottom"/>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(8,955)</w:t>
            </w:r>
          </w:p>
        </w:tc>
      </w:tr>
      <w:tr>
        <w:trPr>
          <w:trHeight w:val="270"/>
        </w:trPr>
        <w:tc>
          <w:tcPr>
            <w:tcW w:w="8040" w:type="dxa"/>
            <w:vAlign w:val="bottom"/>
          </w:tcPr>
          <w:p>
            <w:pPr>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(448)</w:t>
            </w:r>
          </w:p>
        </w:tc>
      </w:tr>
      <w:tr>
        <w:trPr>
          <w:trHeight w:val="275"/>
        </w:trPr>
        <w:tc>
          <w:tcPr>
            <w:tcW w:w="8040" w:type="dxa"/>
            <w:vAlign w:val="bottom"/>
          </w:tcPr>
          <w:p>
            <w:pPr>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r>
      <w:tr>
        <w:trPr>
          <w:trHeight w:val="255"/>
        </w:trPr>
        <w:tc>
          <w:tcPr>
            <w:tcW w:w="80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04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7"/>
        </w:trPr>
        <w:tc>
          <w:tcPr>
            <w:tcW w:w="8040" w:type="dxa"/>
            <w:vAlign w:val="bottom"/>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41,168,593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34,271,254</w:t>
            </w:r>
          </w:p>
        </w:tc>
      </w:tr>
      <w:tr>
        <w:trPr>
          <w:trHeight w:val="20"/>
        </w:trPr>
        <w:tc>
          <w:tcPr>
            <w:tcW w:w="8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740"/>
          </w:cols>
          <w:pgMar w:left="600" w:top="736" w:right="559" w:bottom="1440" w:gutter="0" w:footer="0" w:header="0"/>
        </w:sectPr>
      </w:pPr>
    </w:p>
    <w:bookmarkStart w:id="7" w:name="page8"/>
    <w:bookmarkEnd w:id="7"/>
    <w:p>
      <w:pPr>
        <w:jc w:val="center"/>
        <w:ind w:right="31"/>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CONDENSED BALANCE SHEETS</w:t>
      </w:r>
    </w:p>
    <w:p>
      <w:pPr>
        <w:spacing w:after="0" w:line="50" w:lineRule="exact"/>
        <w:rPr>
          <w:sz w:val="20"/>
          <w:szCs w:val="20"/>
          <w:color w:val="auto"/>
        </w:rPr>
      </w:pPr>
    </w:p>
    <w:p>
      <w:pPr>
        <w:jc w:val="center"/>
        <w:ind w:right="31"/>
        <w:spacing w:after="0"/>
        <w:rPr>
          <w:sz w:val="20"/>
          <w:szCs w:val="20"/>
          <w:color w:val="auto"/>
        </w:rPr>
      </w:pPr>
      <w:r>
        <w:rPr>
          <w:rFonts w:ascii="Arial" w:cs="Arial" w:eastAsia="Arial" w:hAnsi="Arial"/>
          <w:sz w:val="18"/>
          <w:szCs w:val="18"/>
          <w:b w:val="1"/>
          <w:bCs w:val="1"/>
          <w:color w:val="auto"/>
        </w:rPr>
        <w:t>(In thousands)</w:t>
      </w:r>
    </w:p>
    <w:p>
      <w:pPr>
        <w:spacing w:after="0" w:line="333" w:lineRule="exact"/>
        <w:rPr>
          <w:sz w:val="20"/>
          <w:szCs w:val="20"/>
          <w:color w:val="auto"/>
        </w:rPr>
      </w:pPr>
    </w:p>
    <w:tbl>
      <w:tblPr>
        <w:tblLayout w:type="fixed"/>
        <w:tblInd w:w="9" w:type="dxa"/>
        <w:tblCellMar>
          <w:top w:w="0" w:type="dxa"/>
          <w:left w:w="0" w:type="dxa"/>
          <w:bottom w:w="0" w:type="dxa"/>
          <w:right w:w="0" w:type="dxa"/>
        </w:tblCellMar>
      </w:tblPr>
      <w:tr>
        <w:trPr>
          <w:trHeight w:val="261"/>
        </w:trPr>
        <w:tc>
          <w:tcPr>
            <w:tcW w:w="67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rPr>
              <w:t>March 31, 2019</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55"/>
        </w:trPr>
        <w:tc>
          <w:tcPr>
            <w:tcW w:w="6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7"/>
              </w:rPr>
              <w:t>(Unaudited)</w:t>
            </w:r>
          </w:p>
        </w:tc>
        <w:tc>
          <w:tcPr>
            <w:tcW w:w="180" w:type="dxa"/>
            <w:vAlign w:val="bottom"/>
          </w:tcPr>
          <w:p>
            <w:pPr>
              <w:spacing w:after="0"/>
              <w:rPr>
                <w:sz w:val="22"/>
                <w:szCs w:val="22"/>
                <w:color w:val="auto"/>
              </w:rPr>
            </w:pPr>
          </w:p>
        </w:tc>
        <w:tc>
          <w:tcPr>
            <w:tcW w:w="1940" w:type="dxa"/>
            <w:vAlign w:val="bottom"/>
          </w:tcPr>
          <w:p>
            <w:pPr>
              <w:jc w:val="right"/>
              <w:ind w:right="870"/>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6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67,841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77,995</w:t>
            </w:r>
          </w:p>
        </w:tc>
        <w:tc>
          <w:tcPr>
            <w:tcW w:w="0" w:type="dxa"/>
            <w:vAlign w:val="bottom"/>
          </w:tcPr>
          <w:p>
            <w:pPr>
              <w:spacing w:after="0"/>
              <w:rPr>
                <w:sz w:val="1"/>
                <w:szCs w:val="1"/>
                <w:color w:val="auto"/>
              </w:rPr>
            </w:pPr>
          </w:p>
        </w:tc>
      </w:tr>
      <w:tr>
        <w:trPr>
          <w:trHeight w:val="270"/>
        </w:trPr>
        <w:tc>
          <w:tcPr>
            <w:tcW w:w="678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16,615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13,168</w:t>
            </w:r>
          </w:p>
        </w:tc>
        <w:tc>
          <w:tcPr>
            <w:tcW w:w="0" w:type="dxa"/>
            <w:vAlign w:val="bottom"/>
          </w:tcPr>
          <w:p>
            <w:pPr>
              <w:spacing w:after="0"/>
              <w:rPr>
                <w:sz w:val="1"/>
                <w:szCs w:val="1"/>
                <w:color w:val="auto"/>
              </w:rPr>
            </w:pPr>
          </w:p>
        </w:tc>
      </w:tr>
      <w:tr>
        <w:trPr>
          <w:trHeight w:val="270"/>
        </w:trPr>
        <w:tc>
          <w:tcPr>
            <w:tcW w:w="6780" w:type="dxa"/>
            <w:vAlign w:val="bottom"/>
          </w:tcPr>
          <w:p>
            <w:pPr>
              <w:ind w:left="160"/>
              <w:spacing w:after="0"/>
              <w:rPr>
                <w:sz w:val="20"/>
                <w:szCs w:val="20"/>
                <w:color w:val="auto"/>
              </w:rPr>
            </w:pPr>
            <w:r>
              <w:rPr>
                <w:rFonts w:ascii="Arial" w:cs="Arial" w:eastAsia="Arial" w:hAnsi="Arial"/>
                <w:sz w:val="18"/>
                <w:szCs w:val="18"/>
                <w:color w:val="auto"/>
              </w:rPr>
              <w:t>Supplies</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3,768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3,402</w:t>
            </w:r>
          </w:p>
        </w:tc>
        <w:tc>
          <w:tcPr>
            <w:tcW w:w="0" w:type="dxa"/>
            <w:vAlign w:val="bottom"/>
          </w:tcPr>
          <w:p>
            <w:pPr>
              <w:spacing w:after="0"/>
              <w:rPr>
                <w:sz w:val="1"/>
                <w:szCs w:val="1"/>
                <w:color w:val="auto"/>
              </w:rPr>
            </w:pPr>
          </w:p>
        </w:tc>
      </w:tr>
      <w:tr>
        <w:trPr>
          <w:trHeight w:val="273"/>
        </w:trPr>
        <w:tc>
          <w:tcPr>
            <w:tcW w:w="67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2,387</w:t>
            </w:r>
          </w:p>
        </w:tc>
        <w:tc>
          <w:tcPr>
            <w:tcW w:w="0" w:type="dxa"/>
            <w:vAlign w:val="bottom"/>
          </w:tcPr>
          <w:p>
            <w:pPr>
              <w:spacing w:after="0"/>
              <w:rPr>
                <w:sz w:val="1"/>
                <w:szCs w:val="1"/>
                <w:color w:val="auto"/>
              </w:rPr>
            </w:pPr>
          </w:p>
        </w:tc>
      </w:tr>
      <w:tr>
        <w:trPr>
          <w:trHeight w:val="247"/>
        </w:trPr>
        <w:tc>
          <w:tcPr>
            <w:tcW w:w="678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90,616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96,952</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8,114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8,940</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Right-of-use assets - finance lease, net</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735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Right-of-use assets - operating lease</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9,630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11,733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75"/>
        </w:trPr>
        <w:tc>
          <w:tcPr>
            <w:tcW w:w="6780" w:type="dxa"/>
            <w:vAlign w:val="bottom"/>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1,086</w:t>
            </w:r>
          </w:p>
        </w:tc>
        <w:tc>
          <w:tcPr>
            <w:tcW w:w="0" w:type="dxa"/>
            <w:vAlign w:val="bottom"/>
          </w:tcPr>
          <w:p>
            <w:pPr>
              <w:spacing w:after="0"/>
              <w:rPr>
                <w:sz w:val="1"/>
                <w:szCs w:val="1"/>
                <w:color w:val="auto"/>
              </w:rPr>
            </w:pPr>
          </w:p>
        </w:tc>
      </w:tr>
      <w:tr>
        <w:trPr>
          <w:trHeight w:val="255"/>
        </w:trPr>
        <w:tc>
          <w:tcPr>
            <w:tcW w:w="67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123,537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8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67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678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70"/>
        </w:trPr>
        <w:tc>
          <w:tcPr>
            <w:tcW w:w="678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8,788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9,186</w:t>
            </w:r>
          </w:p>
        </w:tc>
        <w:tc>
          <w:tcPr>
            <w:tcW w:w="0" w:type="dxa"/>
            <w:vAlign w:val="bottom"/>
          </w:tcPr>
          <w:p>
            <w:pPr>
              <w:spacing w:after="0"/>
              <w:rPr>
                <w:sz w:val="1"/>
                <w:szCs w:val="1"/>
                <w:color w:val="auto"/>
              </w:rPr>
            </w:pPr>
          </w:p>
        </w:tc>
      </w:tr>
      <w:tr>
        <w:trPr>
          <w:trHeight w:val="270"/>
        </w:trPr>
        <w:tc>
          <w:tcPr>
            <w:tcW w:w="678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23"/>
                <w:szCs w:val="23"/>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70"/>
        </w:trPr>
        <w:tc>
          <w:tcPr>
            <w:tcW w:w="6780" w:type="dxa"/>
            <w:vAlign w:val="bottom"/>
          </w:tcPr>
          <w:p>
            <w:pPr>
              <w:ind w:left="160"/>
              <w:spacing w:after="0"/>
              <w:rPr>
                <w:sz w:val="20"/>
                <w:szCs w:val="20"/>
                <w:color w:val="auto"/>
              </w:rPr>
            </w:pPr>
            <w:r>
              <w:rPr>
                <w:rFonts w:ascii="Arial" w:cs="Arial" w:eastAsia="Arial" w:hAnsi="Arial"/>
                <w:sz w:val="18"/>
                <w:szCs w:val="18"/>
                <w:color w:val="auto"/>
              </w:rPr>
              <w:t>Current portion of finance lease liability</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6780" w:type="dxa"/>
            <w:vAlign w:val="bottom"/>
          </w:tcPr>
          <w:p>
            <w:pPr>
              <w:ind w:left="160"/>
              <w:spacing w:after="0"/>
              <w:rPr>
                <w:sz w:val="20"/>
                <w:szCs w:val="20"/>
                <w:color w:val="auto"/>
              </w:rPr>
            </w:pPr>
            <w:r>
              <w:rPr>
                <w:rFonts w:ascii="Arial" w:cs="Arial" w:eastAsia="Arial" w:hAnsi="Arial"/>
                <w:sz w:val="18"/>
                <w:szCs w:val="18"/>
                <w:color w:val="auto"/>
              </w:rPr>
              <w:t>Current portion of operating lease liability</w:t>
            </w: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78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14,329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13,059</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3"/>
                <w:szCs w:val="23"/>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12,854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70"/>
        </w:trPr>
        <w:tc>
          <w:tcPr>
            <w:tcW w:w="678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40" w:type="dxa"/>
            <w:vAlign w:val="bottom"/>
          </w:tcPr>
          <w:p>
            <w:pPr>
              <w:spacing w:after="0"/>
              <w:rPr>
                <w:sz w:val="23"/>
                <w:szCs w:val="23"/>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3,899</w:t>
            </w:r>
          </w:p>
        </w:tc>
        <w:tc>
          <w:tcPr>
            <w:tcW w:w="0" w:type="dxa"/>
            <w:vAlign w:val="bottom"/>
          </w:tcPr>
          <w:p>
            <w:pPr>
              <w:spacing w:after="0"/>
              <w:rPr>
                <w:sz w:val="1"/>
                <w:szCs w:val="1"/>
                <w:color w:val="auto"/>
              </w:rPr>
            </w:pPr>
          </w:p>
        </w:tc>
      </w:tr>
      <w:tr>
        <w:trPr>
          <w:trHeight w:val="273"/>
        </w:trPr>
        <w:tc>
          <w:tcPr>
            <w:tcW w:w="678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12,582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7"/>
        </w:trPr>
        <w:tc>
          <w:tcPr>
            <w:tcW w:w="6780" w:type="dxa"/>
            <w:vAlign w:val="bottom"/>
          </w:tcPr>
          <w:p>
            <w:pPr>
              <w:ind w:left="3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1"/>
                <w:szCs w:val="21"/>
                <w:color w:val="auto"/>
              </w:rPr>
            </w:pPr>
          </w:p>
        </w:tc>
        <w:tc>
          <w:tcPr>
            <w:tcW w:w="1760" w:type="dxa"/>
            <w:vAlign w:val="bottom"/>
          </w:tcPr>
          <w:p>
            <w:pPr>
              <w:jc w:val="right"/>
              <w:ind w:right="30"/>
              <w:spacing w:after="0"/>
              <w:rPr>
                <w:sz w:val="20"/>
                <w:szCs w:val="20"/>
                <w:color w:val="auto"/>
              </w:rPr>
            </w:pPr>
            <w:r>
              <w:rPr>
                <w:rFonts w:ascii="Arial" w:cs="Arial" w:eastAsia="Arial" w:hAnsi="Arial"/>
                <w:sz w:val="18"/>
                <w:szCs w:val="18"/>
                <w:color w:val="auto"/>
              </w:rPr>
              <w:t>39,765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40,883</w:t>
            </w:r>
          </w:p>
        </w:tc>
        <w:tc>
          <w:tcPr>
            <w:tcW w:w="0" w:type="dxa"/>
            <w:vAlign w:val="bottom"/>
          </w:tcPr>
          <w:p>
            <w:pPr>
              <w:spacing w:after="0"/>
              <w:rPr>
                <w:sz w:val="1"/>
                <w:szCs w:val="1"/>
                <w:color w:val="auto"/>
              </w:rPr>
            </w:pPr>
          </w:p>
        </w:tc>
      </w:tr>
      <w:tr>
        <w:trPr>
          <w:trHeight w:val="275"/>
        </w:trPr>
        <w:tc>
          <w:tcPr>
            <w:tcW w:w="678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83,772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79,755</w:t>
            </w:r>
          </w:p>
        </w:tc>
        <w:tc>
          <w:tcPr>
            <w:tcW w:w="0" w:type="dxa"/>
            <w:vAlign w:val="bottom"/>
          </w:tcPr>
          <w:p>
            <w:pPr>
              <w:spacing w:after="0"/>
              <w:rPr>
                <w:sz w:val="1"/>
                <w:szCs w:val="1"/>
                <w:color w:val="auto"/>
              </w:rPr>
            </w:pPr>
          </w:p>
        </w:tc>
      </w:tr>
      <w:tr>
        <w:trPr>
          <w:trHeight w:val="255"/>
        </w:trPr>
        <w:tc>
          <w:tcPr>
            <w:tcW w:w="67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123,537</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120,638</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9" w:right="220" w:hanging="9"/>
        <w:spacing w:after="0" w:line="276" w:lineRule="auto"/>
        <w:tabs>
          <w:tab w:leader="none" w:pos="279"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condensed balance sheet at December 31, 2018 has been derived from the audited financial statements at that date included in the Company's Form 10-K filed with the Securities and Exchange Commission dated February 25, 2019.</w:t>
      </w:r>
    </w:p>
    <w:p>
      <w:pPr>
        <w:sectPr>
          <w:pgSz w:w="11900" w:h="16838" w:orient="portrait"/>
          <w:cols w:equalWidth="0" w:num="1">
            <w:col w:w="11009"/>
          </w:cols>
          <w:pgMar w:left="471" w:top="736" w:right="419" w:bottom="1440" w:gutter="0" w:footer="0" w:header="0"/>
        </w:sectPr>
      </w:pPr>
    </w:p>
    <w:bookmarkStart w:id="8" w:name="page9"/>
    <w:bookmarkEnd w:id="8"/>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Condensed Statements of Cash Flows</w:t>
      </w:r>
    </w:p>
    <w:p>
      <w:pPr>
        <w:spacing w:after="0" w:line="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of dollars)</w:t>
      </w:r>
    </w:p>
    <w:p>
      <w:pPr>
        <w:spacing w:after="0" w:line="50" w:lineRule="exact"/>
        <w:rPr>
          <w:sz w:val="20"/>
          <w:szCs w:val="20"/>
          <w:color w:val="auto"/>
        </w:rPr>
      </w:pPr>
    </w:p>
    <w:p>
      <w:pPr>
        <w:jc w:val="right"/>
        <w:ind w:right="160"/>
        <w:spacing w:after="0"/>
        <w:rPr>
          <w:sz w:val="20"/>
          <w:szCs w:val="20"/>
          <w:color w:val="auto"/>
        </w:rPr>
      </w:pPr>
      <w:r>
        <w:rPr>
          <w:rFonts w:ascii="Arial" w:cs="Arial" w:eastAsia="Arial" w:hAnsi="Arial"/>
          <w:sz w:val="18"/>
          <w:szCs w:val="18"/>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29845</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ectPr>
          <w:pgSz w:w="11900" w:h="16838" w:orient="portrait"/>
          <w:cols w:equalWidth="0" w:num="1">
            <w:col w:w="9060"/>
          </w:cols>
          <w:pgMar w:left="1440" w:top="736" w:right="1399" w:bottom="1440" w:gutter="0" w:footer="0" w:header="0"/>
        </w:sect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Gain on disposal of property and equipment</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Stock-based compensation</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income</w:t>
      </w:r>
    </w:p>
    <w:p>
      <w:pPr>
        <w:spacing w:after="0" w:line="63" w:lineRule="exact"/>
        <w:rPr>
          <w:sz w:val="20"/>
          <w:szCs w:val="20"/>
          <w:color w:val="auto"/>
        </w:rPr>
      </w:pPr>
    </w:p>
    <w:p>
      <w:pPr>
        <w:ind w:left="360" w:right="2480"/>
        <w:spacing w:after="0" w:line="331" w:lineRule="auto"/>
        <w:rPr>
          <w:sz w:val="20"/>
          <w:szCs w:val="20"/>
          <w:color w:val="auto"/>
        </w:rPr>
      </w:pPr>
      <w:r>
        <w:rPr>
          <w:rFonts w:ascii="Arial" w:cs="Arial" w:eastAsia="Arial" w:hAnsi="Arial"/>
          <w:sz w:val="17"/>
          <w:szCs w:val="17"/>
          <w:color w:val="auto"/>
        </w:rPr>
        <w:t>Amortization of debt issuance costs Interest on end-of-term debt obligation</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Changes in operating assets and liabilities: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receivable</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Supplies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Prepaid expenses and other current assets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Right-of-use assets - operating lease and operating lease liability</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assets</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deferred rent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Purchases of property and equipment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Proceeds from disposal of property and equipment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color w:val="auto"/>
        </w:rPr>
        <w:t>Payment of long-term debt</w:t>
      </w:r>
    </w:p>
    <w:p>
      <w:pPr>
        <w:spacing w:after="0" w:line="63" w:lineRule="exact"/>
        <w:rPr>
          <w:sz w:val="20"/>
          <w:szCs w:val="20"/>
          <w:color w:val="auto"/>
        </w:rPr>
      </w:pPr>
    </w:p>
    <w:p>
      <w:pPr>
        <w:ind w:right="1080"/>
        <w:spacing w:after="0" w:line="305" w:lineRule="auto"/>
        <w:rPr>
          <w:sz w:val="20"/>
          <w:szCs w:val="20"/>
          <w:color w:val="auto"/>
        </w:rPr>
      </w:pPr>
      <w:r>
        <w:rPr>
          <w:rFonts w:ascii="Arial" w:cs="Arial" w:eastAsia="Arial" w:hAnsi="Arial"/>
          <w:sz w:val="18"/>
          <w:szCs w:val="18"/>
          <w:color w:val="auto"/>
        </w:rPr>
        <w:t>Proceeds from legal settlement regarding short-swing profits Payment of finance lease liability</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Proceeds from the exercise of common stock options and employee stock purchases</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provided by financing activities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cash, cash equivalents and restricted cash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p>
      <w:pPr>
        <w:spacing w:after="0" w:line="50" w:lineRule="exact"/>
        <w:rPr>
          <w:sz w:val="20"/>
          <w:szCs w:val="20"/>
          <w:color w:val="auto"/>
        </w:rPr>
      </w:pPr>
    </w:p>
    <w:p>
      <w:pPr>
        <w:ind w:right="380"/>
        <w:spacing w:after="0" w:line="267" w:lineRule="auto"/>
        <w:rPr>
          <w:sz w:val="20"/>
          <w:szCs w:val="20"/>
          <w:color w:val="auto"/>
        </w:rPr>
      </w:pPr>
      <w:r>
        <w:rPr>
          <w:rFonts w:ascii="Arial" w:cs="Arial" w:eastAsia="Arial" w:hAnsi="Arial"/>
          <w:sz w:val="18"/>
          <w:szCs w:val="18"/>
          <w:b w:val="1"/>
          <w:bCs w:val="1"/>
          <w:color w:val="auto"/>
        </w:rPr>
        <w:t>Supplementary cash flow information of non-cash investing and financing activities:</w:t>
      </w:r>
    </w:p>
    <w:p>
      <w:pPr>
        <w:spacing w:after="0" w:line="1" w:lineRule="exact"/>
        <w:rPr>
          <w:sz w:val="20"/>
          <w:szCs w:val="20"/>
          <w:color w:val="auto"/>
        </w:rPr>
      </w:pPr>
    </w:p>
    <w:p>
      <w:pPr>
        <w:ind w:right="600"/>
        <w:spacing w:after="0" w:line="266" w:lineRule="auto"/>
        <w:rPr>
          <w:sz w:val="20"/>
          <w:szCs w:val="20"/>
          <w:color w:val="auto"/>
        </w:rPr>
      </w:pPr>
      <w:r>
        <w:rPr>
          <w:rFonts w:ascii="Arial" w:cs="Arial" w:eastAsia="Arial" w:hAnsi="Arial"/>
          <w:sz w:val="18"/>
          <w:szCs w:val="18"/>
          <w:color w:val="auto"/>
        </w:rPr>
        <w:t>Operating lease liability arising from obtaining right-of-use assets - operating lease</w:t>
      </w:r>
    </w:p>
    <w:p>
      <w:pPr>
        <w:ind w:right="160"/>
        <w:spacing w:after="0" w:line="274" w:lineRule="auto"/>
        <w:rPr>
          <w:sz w:val="20"/>
          <w:szCs w:val="20"/>
          <w:color w:val="auto"/>
        </w:rPr>
      </w:pPr>
      <w:r>
        <w:rPr>
          <w:rFonts w:ascii="Arial" w:cs="Arial" w:eastAsia="Arial" w:hAnsi="Arial"/>
          <w:sz w:val="18"/>
          <w:szCs w:val="18"/>
          <w:color w:val="auto"/>
        </w:rPr>
        <w:t>Purchases of property and equipment included in accounts payable and accrued liabilities</w:t>
      </w:r>
    </w:p>
    <w:p>
      <w:pPr>
        <w:spacing w:after="0"/>
        <w:rPr>
          <w:sz w:val="20"/>
          <w:szCs w:val="20"/>
          <w:color w:val="auto"/>
        </w:rPr>
      </w:pPr>
      <w:r>
        <w:rPr>
          <w:rFonts w:ascii="Arial" w:cs="Arial" w:eastAsia="Arial" w:hAnsi="Arial"/>
          <w:sz w:val="18"/>
          <w:szCs w:val="18"/>
          <w:color w:val="auto"/>
        </w:rPr>
        <w:t>Interest paid on debt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520"/>
        <w:spacing w:after="0"/>
        <w:tabs>
          <w:tab w:leader="none" w:pos="204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29845</wp:posOffset>
            </wp:positionV>
            <wp:extent cx="18954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15" w:lineRule="exact"/>
        <w:rPr>
          <w:sz w:val="20"/>
          <w:szCs w:val="20"/>
          <w:color w:val="auto"/>
        </w:rPr>
      </w:pPr>
    </w:p>
    <w:p>
      <w:pPr>
        <w:ind w:left="20"/>
        <w:spacing w:after="0"/>
        <w:tabs>
          <w:tab w:leader="none" w:pos="820" w:val="left"/>
          <w:tab w:leader="none" w:pos="1560" w:val="left"/>
          <w:tab w:leader="none" w:pos="2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(1,917)</w:t>
        <w:tab/>
        <w:t>$</w:t>
      </w:r>
      <w:r>
        <w:rPr>
          <w:sz w:val="20"/>
          <w:szCs w:val="20"/>
          <w:color w:val="auto"/>
        </w:rPr>
        <w:tab/>
      </w:r>
      <w:r>
        <w:rPr>
          <w:rFonts w:ascii="Arial" w:cs="Arial" w:eastAsia="Arial" w:hAnsi="Arial"/>
          <w:sz w:val="18"/>
          <w:szCs w:val="18"/>
          <w:color w:val="auto"/>
        </w:rPr>
        <w:t>(9,177)</w:t>
      </w:r>
    </w:p>
    <w:p>
      <w:pPr>
        <w:spacing w:after="0" w:line="333" w:lineRule="exact"/>
        <w:rPr>
          <w:sz w:val="20"/>
          <w:szCs w:val="20"/>
          <w:color w:val="auto"/>
        </w:rPr>
      </w:pPr>
    </w:p>
    <w:p>
      <w:pPr>
        <w:ind w:left="2580" w:hanging="1529"/>
        <w:spacing w:after="0"/>
        <w:tabs>
          <w:tab w:leader="none" w:pos="2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980</w:t>
      </w:r>
    </w:p>
    <w:p>
      <w:pPr>
        <w:spacing w:after="0" w:line="63" w:lineRule="exact"/>
        <w:rPr>
          <w:rFonts w:ascii="Arial" w:cs="Arial" w:eastAsia="Arial" w:hAnsi="Arial"/>
          <w:sz w:val="18"/>
          <w:szCs w:val="18"/>
          <w:color w:val="auto"/>
        </w:rPr>
      </w:pPr>
    </w:p>
    <w:p>
      <w:pPr>
        <w:ind w:left="2700" w:hanging="1609"/>
        <w:spacing w:after="0"/>
        <w:tabs>
          <w:tab w:leader="none" w:pos="2700" w:val="left"/>
        </w:tabs>
        <w:numPr>
          <w:ilvl w:val="1"/>
          <w:numId w:val="7"/>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tbl>
      <w:tblPr>
        <w:tblLayout w:type="fixed"/>
        <w:tblInd w:w="840" w:type="dxa"/>
        <w:tblCellMar>
          <w:top w:w="0" w:type="dxa"/>
          <w:left w:w="0" w:type="dxa"/>
          <w:bottom w:w="0" w:type="dxa"/>
          <w:right w:w="0" w:type="dxa"/>
        </w:tblCellMar>
      </w:tblPr>
      <w:tr>
        <w:trPr>
          <w:trHeight w:val="243"/>
        </w:trPr>
        <w:tc>
          <w:tcPr>
            <w:tcW w:w="1080" w:type="dxa"/>
            <w:vAlign w:val="bottom"/>
          </w:tcPr>
          <w:p>
            <w:pPr>
              <w:jc w:val="right"/>
              <w:ind w:right="470"/>
              <w:spacing w:after="0"/>
              <w:rPr>
                <w:sz w:val="20"/>
                <w:szCs w:val="20"/>
                <w:color w:val="auto"/>
              </w:rPr>
            </w:pPr>
            <w:r>
              <w:rPr>
                <w:rFonts w:ascii="Arial" w:cs="Arial" w:eastAsia="Arial" w:hAnsi="Arial"/>
                <w:sz w:val="18"/>
                <w:szCs w:val="18"/>
                <w:color w:val="auto"/>
              </w:rPr>
              <w:t>1,759</w:t>
            </w:r>
          </w:p>
        </w:tc>
        <w:tc>
          <w:tcPr>
            <w:tcW w:w="1020" w:type="dxa"/>
            <w:vAlign w:val="bottom"/>
          </w:tcPr>
          <w:p>
            <w:pPr>
              <w:jc w:val="right"/>
              <w:spacing w:after="0"/>
              <w:rPr>
                <w:sz w:val="20"/>
                <w:szCs w:val="20"/>
                <w:color w:val="auto"/>
              </w:rPr>
            </w:pPr>
            <w:r>
              <w:rPr>
                <w:rFonts w:ascii="Arial" w:cs="Arial" w:eastAsia="Arial" w:hAnsi="Arial"/>
                <w:sz w:val="18"/>
                <w:szCs w:val="18"/>
                <w:color w:val="auto"/>
              </w:rPr>
              <w:t>1,175</w:t>
            </w:r>
          </w:p>
        </w:tc>
      </w:tr>
      <w:tr>
        <w:trPr>
          <w:trHeight w:val="270"/>
        </w:trPr>
        <w:tc>
          <w:tcPr>
            <w:tcW w:w="10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0"/>
        </w:trPr>
        <w:tc>
          <w:tcPr>
            <w:tcW w:w="1080" w:type="dxa"/>
            <w:vAlign w:val="bottom"/>
          </w:tcPr>
          <w:p>
            <w:pPr>
              <w:jc w:val="right"/>
              <w:ind w:right="470"/>
              <w:spacing w:after="0"/>
              <w:rPr>
                <w:sz w:val="20"/>
                <w:szCs w:val="20"/>
                <w:color w:val="auto"/>
              </w:rPr>
            </w:pPr>
            <w:r>
              <w:rPr>
                <w:rFonts w:ascii="Arial" w:cs="Arial" w:eastAsia="Arial" w:hAnsi="Arial"/>
                <w:sz w:val="18"/>
                <w:szCs w:val="18"/>
                <w:color w:val="auto"/>
              </w:rPr>
              <w:t>8</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1080" w:type="dxa"/>
            <w:vAlign w:val="bottom"/>
          </w:tcPr>
          <w:p>
            <w:pPr>
              <w:jc w:val="right"/>
              <w:ind w:right="470"/>
              <w:spacing w:after="0"/>
              <w:rPr>
                <w:sz w:val="20"/>
                <w:szCs w:val="20"/>
                <w:color w:val="auto"/>
              </w:rPr>
            </w:pPr>
            <w:r>
              <w:rPr>
                <w:rFonts w:ascii="Arial" w:cs="Arial" w:eastAsia="Arial" w:hAnsi="Arial"/>
                <w:sz w:val="18"/>
                <w:szCs w:val="18"/>
                <w:color w:val="auto"/>
              </w:rPr>
              <w:t>64</w:t>
            </w: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540"/>
        </w:trPr>
        <w:tc>
          <w:tcPr>
            <w:tcW w:w="1080" w:type="dxa"/>
            <w:vAlign w:val="bottom"/>
          </w:tcPr>
          <w:p>
            <w:pPr>
              <w:jc w:val="right"/>
              <w:ind w:right="410"/>
              <w:spacing w:after="0"/>
              <w:rPr>
                <w:sz w:val="20"/>
                <w:szCs w:val="20"/>
                <w:color w:val="auto"/>
              </w:rPr>
            </w:pPr>
            <w:r>
              <w:rPr>
                <w:rFonts w:ascii="Arial" w:cs="Arial" w:eastAsia="Arial" w:hAnsi="Arial"/>
                <w:sz w:val="18"/>
                <w:szCs w:val="18"/>
                <w:color w:val="auto"/>
                <w:w w:val="98"/>
              </w:rPr>
              <w:t>(3,447)</w:t>
            </w:r>
          </w:p>
        </w:tc>
        <w:tc>
          <w:tcPr>
            <w:tcW w:w="1020" w:type="dxa"/>
            <w:vAlign w:val="bottom"/>
          </w:tcPr>
          <w:p>
            <w:pPr>
              <w:jc w:val="right"/>
              <w:spacing w:after="0"/>
              <w:rPr>
                <w:sz w:val="20"/>
                <w:szCs w:val="20"/>
                <w:color w:val="auto"/>
              </w:rPr>
            </w:pPr>
            <w:r>
              <w:rPr>
                <w:rFonts w:ascii="Arial" w:cs="Arial" w:eastAsia="Arial" w:hAnsi="Arial"/>
                <w:sz w:val="18"/>
                <w:szCs w:val="18"/>
                <w:color w:val="auto"/>
              </w:rPr>
              <w:t>(482)</w:t>
            </w:r>
          </w:p>
        </w:tc>
      </w:tr>
    </w:tbl>
    <w:p>
      <w:pPr>
        <w:spacing w:after="0" w:line="27" w:lineRule="exact"/>
        <w:rPr>
          <w:sz w:val="20"/>
          <w:szCs w:val="20"/>
          <w:color w:val="auto"/>
        </w:rPr>
      </w:pPr>
    </w:p>
    <w:p>
      <w:pPr>
        <w:ind w:left="2580" w:hanging="1589"/>
        <w:spacing w:after="0"/>
        <w:tabs>
          <w:tab w:leader="none" w:pos="2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767</w:t>
      </w:r>
    </w:p>
    <w:p>
      <w:pPr>
        <w:spacing w:after="0" w:line="63" w:lineRule="exact"/>
        <w:rPr>
          <w:sz w:val="20"/>
          <w:szCs w:val="20"/>
          <w:color w:val="auto"/>
        </w:rPr>
      </w:pPr>
    </w:p>
    <w:p>
      <w:pPr>
        <w:ind w:left="2520" w:hanging="1416"/>
        <w:spacing w:after="0"/>
        <w:tabs>
          <w:tab w:leader="none" w:pos="2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(239)</w:t>
      </w:r>
    </w:p>
    <w:p>
      <w:pPr>
        <w:spacing w:after="0" w:line="63" w:lineRule="exact"/>
        <w:rPr>
          <w:sz w:val="20"/>
          <w:szCs w:val="20"/>
          <w:color w:val="auto"/>
        </w:rPr>
      </w:pPr>
    </w:p>
    <w:p>
      <w:pPr>
        <w:ind w:left="2700" w:hanging="1609"/>
        <w:spacing w:after="0"/>
        <w:tabs>
          <w:tab w:leader="none" w:pos="2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80" w:type="dxa"/>
            <w:vAlign w:val="bottom"/>
          </w:tcPr>
          <w:p>
            <w:pPr>
              <w:jc w:val="right"/>
              <w:ind w:right="430"/>
              <w:spacing w:after="0"/>
              <w:rPr>
                <w:sz w:val="20"/>
                <w:szCs w:val="20"/>
                <w:color w:val="auto"/>
              </w:rPr>
            </w:pPr>
            <w:r>
              <w:rPr>
                <w:rFonts w:ascii="Arial" w:cs="Arial" w:eastAsia="Arial" w:hAnsi="Arial"/>
                <w:sz w:val="18"/>
                <w:szCs w:val="18"/>
                <w:color w:val="auto"/>
              </w:rPr>
              <w:t>37</w:t>
            </w: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70"/>
        </w:trPr>
        <w:tc>
          <w:tcPr>
            <w:tcW w:w="1880" w:type="dxa"/>
            <w:vAlign w:val="bottom"/>
          </w:tcPr>
          <w:p>
            <w:pPr>
              <w:jc w:val="right"/>
              <w:ind w:right="430"/>
              <w:spacing w:after="0"/>
              <w:rPr>
                <w:sz w:val="20"/>
                <w:szCs w:val="20"/>
                <w:color w:val="auto"/>
              </w:rPr>
            </w:pPr>
            <w:r>
              <w:rPr>
                <w:rFonts w:ascii="Arial" w:cs="Arial" w:eastAsia="Arial" w:hAnsi="Arial"/>
                <w:sz w:val="18"/>
                <w:szCs w:val="18"/>
                <w:color w:val="auto"/>
              </w:rPr>
              <w:t>1,726</w:t>
            </w:r>
          </w:p>
        </w:tc>
        <w:tc>
          <w:tcPr>
            <w:tcW w:w="110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75"/>
        </w:trPr>
        <w:tc>
          <w:tcPr>
            <w:tcW w:w="1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287</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r>
      <w:tr>
        <w:trPr>
          <w:trHeight w:val="264"/>
        </w:trPr>
        <w:tc>
          <w:tcPr>
            <w:tcW w:w="1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(1,011)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(7,413)</w:t>
            </w:r>
          </w:p>
        </w:tc>
      </w:tr>
    </w:tbl>
    <w:p>
      <w:pPr>
        <w:spacing w:after="0" w:line="288" w:lineRule="exact"/>
        <w:rPr>
          <w:sz w:val="20"/>
          <w:szCs w:val="20"/>
          <w:color w:val="auto"/>
        </w:rPr>
      </w:pPr>
    </w:p>
    <w:p>
      <w:pPr>
        <w:ind w:left="2520" w:hanging="1529"/>
        <w:spacing w:after="0"/>
        <w:tabs>
          <w:tab w:leader="none" w:pos="2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(227)</w:t>
      </w:r>
    </w:p>
    <w:p>
      <w:pPr>
        <w:spacing w:after="0" w:line="63"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1895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57" w:lineRule="exact"/>
        <w:rPr>
          <w:sz w:val="20"/>
          <w:szCs w:val="20"/>
          <w:color w:val="auto"/>
        </w:rPr>
      </w:pPr>
    </w:p>
    <w:p>
      <w:pPr>
        <w:ind w:left="2520" w:hanging="1529"/>
        <w:spacing w:after="0"/>
        <w:tabs>
          <w:tab w:leader="none" w:pos="2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28575</wp:posOffset>
            </wp:positionV>
            <wp:extent cx="1895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27" w:lineRule="exact"/>
        <w:rPr>
          <w:sz w:val="20"/>
          <w:szCs w:val="20"/>
          <w:color w:val="auto"/>
        </w:rPr>
      </w:pPr>
    </w:p>
    <w:p>
      <w:pPr>
        <w:ind w:left="740"/>
        <w:spacing w:after="0"/>
        <w:tabs>
          <w:tab w:leader="none" w:pos="2680" w:val="left"/>
        </w:tabs>
        <w:rPr>
          <w:sz w:val="20"/>
          <w:szCs w:val="20"/>
          <w:color w:val="auto"/>
        </w:rPr>
      </w:pPr>
      <w:r>
        <w:rPr>
          <w:rFonts w:ascii="Arial" w:cs="Arial" w:eastAsia="Arial" w:hAnsi="Arial"/>
          <w:sz w:val="18"/>
          <w:szCs w:val="18"/>
          <w:color w:val="auto"/>
        </w:rPr>
        <w:t>(12,500)</w:t>
      </w:r>
      <w:r>
        <w:rPr>
          <w:sz w:val="20"/>
          <w:szCs w:val="20"/>
          <w:color w:val="auto"/>
        </w:rPr>
        <w:tab/>
      </w:r>
      <w:r>
        <w:rPr>
          <w:rFonts w:ascii="Arial" w:cs="Arial" w:eastAsia="Arial" w:hAnsi="Arial"/>
          <w:sz w:val="18"/>
          <w:szCs w:val="18"/>
          <w:color w:val="auto"/>
        </w:rPr>
        <w:t>—</w:t>
      </w:r>
    </w:p>
    <w:p>
      <w:pPr>
        <w:spacing w:after="0" w:line="63"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403</w:t>
      </w:r>
    </w:p>
    <w:p>
      <w:pPr>
        <w:spacing w:after="0" w:line="63" w:lineRule="exact"/>
        <w:rPr>
          <w:sz w:val="20"/>
          <w:szCs w:val="20"/>
          <w:color w:val="auto"/>
        </w:rPr>
      </w:pPr>
    </w:p>
    <w:p>
      <w:pPr>
        <w:ind w:left="2620" w:hanging="1529"/>
        <w:spacing w:after="0"/>
        <w:tabs>
          <w:tab w:leader="none" w:pos="2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(71)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4,181</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569</w:t>
            </w:r>
          </w:p>
        </w:tc>
      </w:tr>
      <w:tr>
        <w:trPr>
          <w:trHeight w:val="264"/>
        </w:trPr>
        <w:tc>
          <w:tcPr>
            <w:tcW w:w="4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(8,394)</w:t>
            </w: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r>
      <w:tr>
        <w:trPr>
          <w:trHeight w:val="259"/>
        </w:trPr>
        <w:tc>
          <w:tcPr>
            <w:tcW w:w="4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(10,154)</w:t>
            </w:r>
          </w:p>
        </w:tc>
        <w:tc>
          <w:tcPr>
            <w:tcW w:w="5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(6,739)</w:t>
            </w:r>
          </w:p>
        </w:tc>
      </w:tr>
      <w:tr>
        <w:trPr>
          <w:trHeight w:val="275"/>
        </w:trPr>
        <w:tc>
          <w:tcPr>
            <w:tcW w:w="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78,598</w:t>
            </w:r>
          </w:p>
        </w:tc>
        <w:tc>
          <w:tcPr>
            <w:tcW w:w="5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34,494</w:t>
            </w:r>
          </w:p>
        </w:tc>
      </w:tr>
      <w:tr>
        <w:trPr>
          <w:trHeight w:val="264"/>
        </w:trPr>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68,444</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27,755</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6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14,118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95</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56</w:t>
            </w:r>
          </w:p>
        </w:tc>
      </w:tr>
      <w:tr>
        <w:trPr>
          <w:trHeight w:val="270"/>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228</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356</w:t>
            </w:r>
          </w:p>
        </w:tc>
      </w:tr>
    </w:tbl>
    <w:p>
      <w:pPr>
        <w:sectPr>
          <w:pgSz w:w="11900" w:h="16838" w:orient="portrait"/>
          <w:cols w:equalWidth="0" w:num="2">
            <w:col w:w="5880" w:space="200"/>
            <w:col w:w="2980"/>
          </w:cols>
          <w:pgMar w:left="1440" w:top="736" w:right="139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w:t>
      </w:r>
    </w:p>
    <w:p>
      <w:pPr>
        <w:spacing w:after="0" w:line="113"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2019</w:t>
            </w:r>
          </w:p>
        </w:tc>
        <w:tc>
          <w:tcPr>
            <w:tcW w:w="140" w:type="dxa"/>
            <w:vAlign w:val="bottom"/>
          </w:tcPr>
          <w:p>
            <w:pPr>
              <w:spacing w:after="0"/>
              <w:rPr>
                <w:sz w:val="17"/>
                <w:szCs w:val="17"/>
                <w:color w:val="auto"/>
              </w:rPr>
            </w:pPr>
          </w:p>
        </w:tc>
        <w:tc>
          <w:tcPr>
            <w:tcW w:w="1460" w:type="dxa"/>
            <w:vAlign w:val="bottom"/>
          </w:tcPr>
          <w:p>
            <w:pPr>
              <w:jc w:val="right"/>
              <w:ind w:right="74"/>
              <w:spacing w:after="0"/>
              <w:rPr>
                <w:sz w:val="20"/>
                <w:szCs w:val="20"/>
                <w:color w:val="auto"/>
              </w:rPr>
            </w:pPr>
            <w:r>
              <w:rPr>
                <w:rFonts w:ascii="Arial" w:cs="Arial" w:eastAsia="Arial" w:hAnsi="Arial"/>
                <w:sz w:val="14"/>
                <w:szCs w:val="14"/>
                <w:b w:val="1"/>
                <w:bCs w:val="1"/>
                <w:color w:val="auto"/>
              </w:rPr>
              <w:t>December 31, 2018</w:t>
            </w:r>
          </w:p>
        </w:tc>
      </w:tr>
      <w:tr>
        <w:trPr>
          <w:trHeight w:val="243"/>
        </w:trPr>
        <w:tc>
          <w:tcPr>
            <w:tcW w:w="8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67,841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77,995</w:t>
            </w:r>
          </w:p>
        </w:tc>
      </w:tr>
      <w:tr>
        <w:trPr>
          <w:trHeight w:val="275"/>
        </w:trPr>
        <w:tc>
          <w:tcPr>
            <w:tcW w:w="8060" w:type="dxa"/>
            <w:vAlign w:val="bottom"/>
          </w:tcPr>
          <w:p>
            <w:pPr>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603</w:t>
            </w:r>
          </w:p>
        </w:tc>
      </w:tr>
      <w:tr>
        <w:trPr>
          <w:trHeight w:val="255"/>
        </w:trPr>
        <w:tc>
          <w:tcPr>
            <w:tcW w:w="8060" w:type="dxa"/>
            <w:vAlign w:val="bottom"/>
          </w:tcPr>
          <w:p>
            <w:pPr>
              <w:spacing w:after="0"/>
              <w:rPr>
                <w:sz w:val="20"/>
                <w:szCs w:val="20"/>
                <w:color w:val="auto"/>
              </w:rPr>
            </w:pPr>
            <w:r>
              <w:rPr>
                <w:rFonts w:ascii="Arial" w:cs="Arial" w:eastAsia="Arial" w:hAnsi="Arial"/>
                <w:sz w:val="18"/>
                <w:szCs w:val="18"/>
                <w:color w:val="auto"/>
              </w:rPr>
              <w:t>Total cash, cash equivalents and restricted cash</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68,444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78,598</w:t>
            </w: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Angie McCabe, 650-243-6371</w:t>
      </w:r>
    </w:p>
    <w:p>
      <w:pPr>
        <w:spacing w:after="0"/>
        <w:rPr>
          <w:sz w:val="20"/>
          <w:szCs w:val="20"/>
          <w:color w:val="auto"/>
        </w:rPr>
      </w:pPr>
      <w:r>
        <w:rPr>
          <w:rFonts w:ascii="Arial" w:cs="Arial" w:eastAsia="Arial" w:hAnsi="Arial"/>
          <w:sz w:val="20"/>
          <w:szCs w:val="20"/>
          <w:color w:val="auto"/>
        </w:rPr>
        <w:t>Vice President, Investor Relations &amp; Corporate Communications</w:t>
      </w:r>
    </w:p>
    <w:p>
      <w:pPr>
        <w:spacing w:after="0"/>
        <w:rPr>
          <w:sz w:val="20"/>
          <w:szCs w:val="20"/>
          <w:color w:val="auto"/>
        </w:rPr>
      </w:pPr>
      <w:r>
        <w:rPr>
          <w:rFonts w:ascii="Arial" w:cs="Arial" w:eastAsia="Arial" w:hAnsi="Arial"/>
          <w:sz w:val="20"/>
          <w:szCs w:val="20"/>
          <w:color w:val="auto"/>
        </w:rPr>
        <w:t>angie@veracyte.com</w:t>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945"/>
    </w:lvl>
    <w:lvl w:ilvl="1">
      <w:lvlJc w:val="left"/>
      <w:lvlText w:val="(%2)"/>
      <w:numFmt w:val="decimal"/>
      <w:start w:val="16"/>
    </w:lvl>
  </w:abstractNum>
  <w:abstractNum w:abstractNumId="7">
    <w:nsid w:val="1F16E9E8"/>
    <w:multiLevelType w:val="hybridMultilevel"/>
    <w:lvl w:ilvl="0">
      <w:lvlJc w:val="left"/>
      <w:lvlText w:val="(%1)"/>
      <w:numFmt w:val="decimal"/>
      <w:start w:val="366"/>
    </w:lvl>
  </w:abstractNum>
  <w:abstractNum w:abstractNumId="8">
    <w:nsid w:val="1190CDE7"/>
    <w:multiLevelType w:val="hybridMultilevel"/>
    <w:lvl w:ilvl="0">
      <w:lvlJc w:val="left"/>
      <w:lvlText w:val="(%1)"/>
      <w:numFmt w:val="decimal"/>
      <w:start w:val="11"/>
    </w:lvl>
  </w:abstractNum>
  <w:abstractNum w:abstractNumId="9">
    <w:nsid w:val="66EF438D"/>
    <w:multiLevelType w:val="hybridMultilevel"/>
    <w:lvl w:ilvl="0">
      <w:lvlJc w:val="left"/>
      <w:lvlText w:val="(%1)"/>
      <w:numFmt w:val="decimal"/>
      <w:start w:val="80"/>
    </w:lvl>
  </w:abstractNum>
  <w:abstractNum w:abstractNumId="10">
    <w:nsid w:val="140E0F76"/>
    <w:multiLevelType w:val="hybridMultilevel"/>
    <w:lvl w:ilvl="0">
      <w:lvlJc w:val="left"/>
      <w:lvlText w:val="(%1)"/>
      <w:numFmt w:val="decimal"/>
      <w:start w:val="765"/>
    </w:lvl>
  </w:abstractNum>
  <w:abstractNum w:abstractNumId="11">
    <w:nsid w:val="3352255A"/>
    <w:multiLevelType w:val="hybridMultilevel"/>
    <w:lvl w:ilvl="0">
      <w:lvlJc w:val="left"/>
      <w:lvlText w:val="(%1)"/>
      <w:numFmt w:val="decimal"/>
      <w:start w:val="749"/>
    </w:lvl>
  </w:abstractNum>
  <w:abstractNum w:abstractNumId="12">
    <w:nsid w:val="109CF92E"/>
    <w:multiLevelType w:val="hybridMultilevel"/>
    <w:lvl w:ilvl="0">
      <w:lvlJc w:val="left"/>
      <w:lvlText w:val="\emdash "/>
      <w:numFmt w:val="bullet"/>
      <w:start w:val="1"/>
    </w:lvl>
  </w:abstractNum>
  <w:abstractNum w:abstractNumId="13">
    <w:nsid w:val="DED7263"/>
    <w:multiLevelType w:val="hybridMultilevel"/>
    <w:lvl w:ilvl="0">
      <w:lvlJc w:val="left"/>
      <w:lvlText w:val="(%1)"/>
      <w:numFmt w:val="decimal"/>
      <w:start w:val="7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2019-12-28T13:31:50Z</dcterms:created>
  <dcterms:modified xsi:type="dcterms:W3CDTF">2019-12-28T13:31:50Z</dcterms:modified>
</cp:coreProperties>
</file>