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SCHEDULE 13G</w:t>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(Amendment No. 2)*</w:t>
      </w:r>
    </w:p>
    <w:p>
      <w:pPr>
        <w:spacing w:after="0" w:line="200" w:lineRule="exact"/>
        <w:rPr>
          <w:sz w:val="24"/>
          <w:szCs w:val="24"/>
          <w:color w:val="auto"/>
        </w:rPr>
      </w:pPr>
    </w:p>
    <w:p>
      <w:pPr>
        <w:spacing w:after="0" w:line="216"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24"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24"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24" w:lineRule="exact"/>
        <w:rPr>
          <w:sz w:val="24"/>
          <w:szCs w:val="24"/>
          <w:color w:val="auto"/>
        </w:rPr>
      </w:pPr>
    </w:p>
    <w:p>
      <w:pPr>
        <w:ind w:left="66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6"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[_] Rule 13d-1(b)</w:t>
      </w:r>
    </w:p>
    <w:p>
      <w:pPr>
        <w:spacing w:after="0" w:line="229" w:lineRule="exact"/>
        <w:rPr>
          <w:sz w:val="24"/>
          <w:szCs w:val="24"/>
          <w:color w:val="auto"/>
        </w:rPr>
      </w:pPr>
    </w:p>
    <w:p>
      <w:pPr>
        <w:jc w:val="both"/>
        <w:ind w:left="1300" w:right="8460" w:firstLine="5"/>
        <w:spacing w:after="0" w:line="540" w:lineRule="auto"/>
        <w:tabs>
          <w:tab w:leader="none" w:pos="1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 [_] Rule 13d-1(d)</w:t>
      </w:r>
    </w:p>
    <w:p>
      <w:pPr>
        <w:spacing w:after="0" w:line="232" w:lineRule="auto"/>
        <w:rPr>
          <w:sz w:val="20"/>
          <w:szCs w:val="20"/>
          <w:color w:val="auto"/>
        </w:rPr>
      </w:pPr>
      <w:r>
        <w:rPr>
          <w:rFonts w:ascii="Courier New" w:cs="Courier New" w:eastAsia="Courier New" w:hAnsi="Courier New"/>
          <w:sz w:val="20"/>
          <w:szCs w:val="20"/>
          <w:color w:val="auto"/>
        </w:rPr>
        <w:t>__________</w:t>
      </w:r>
    </w:p>
    <w:p>
      <w:pPr>
        <w:jc w:val="both"/>
        <w:ind w:right="480"/>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00"/>
          </w:cols>
          <w:pgMar w:left="240" w:top="441"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6"/>
        </w:trPr>
        <w:tc>
          <w:tcPr>
            <w:tcW w:w="1400" w:type="dxa"/>
            <w:vAlign w:val="bottom"/>
          </w:tcPr>
          <w:p>
            <w:pPr>
              <w:spacing w:after="0"/>
              <w:rPr>
                <w:sz w:val="20"/>
                <w:szCs w:val="20"/>
                <w:color w:val="auto"/>
              </w:rPr>
            </w:pPr>
            <w:r>
              <w:rPr>
                <w:rFonts w:ascii="Arial" w:cs="Arial" w:eastAsia="Arial" w:hAnsi="Arial"/>
                <w:sz w:val="20"/>
                <w:szCs w:val="20"/>
                <w:color w:val="auto"/>
              </w:rPr>
              <w:t>CUSIP No</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92337F107</w:t>
            </w:r>
          </w:p>
        </w:tc>
      </w:tr>
    </w:tbl>
    <w:p>
      <w:pPr>
        <w:spacing w:after="0" w:line="213" w:lineRule="exact"/>
        <w:rPr>
          <w:sz w:val="20"/>
          <w:szCs w:val="20"/>
          <w:color w:val="auto"/>
        </w:rPr>
      </w:pPr>
    </w:p>
    <w:p>
      <w:pPr>
        <w:ind w:left="920" w:hanging="915"/>
        <w:spacing w:after="0"/>
        <w:tabs>
          <w:tab w:leader="none" w:pos="92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15" w:lineRule="exact"/>
        <w:rPr>
          <w:rFonts w:ascii="Arial" w:cs="Arial" w:eastAsia="Arial" w:hAnsi="Arial"/>
          <w:sz w:val="20"/>
          <w:szCs w:val="20"/>
          <w:color w:val="auto"/>
        </w:rPr>
      </w:pPr>
    </w:p>
    <w:p>
      <w:pPr>
        <w:ind w:left="920" w:right="3820"/>
        <w:spacing w:after="0" w:line="470"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Broadfin Capital, LLC</w:t>
      </w:r>
    </w:p>
    <w:p>
      <w:pPr>
        <w:spacing w:after="0" w:line="1" w:lineRule="exact"/>
        <w:rPr>
          <w:rFonts w:ascii="Arial" w:cs="Arial" w:eastAsia="Arial" w:hAnsi="Arial"/>
          <w:sz w:val="20"/>
          <w:szCs w:val="20"/>
          <w:color w:val="auto"/>
        </w:rPr>
      </w:pPr>
    </w:p>
    <w:p>
      <w:pPr>
        <w:ind w:left="920" w:hanging="915"/>
        <w:spacing w:after="0"/>
        <w:tabs>
          <w:tab w:leader="none" w:pos="9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(a) [_]</w:t>
      </w:r>
    </w:p>
    <w:p>
      <w:pPr>
        <w:jc w:val="right"/>
        <w:spacing w:after="0"/>
        <w:rPr>
          <w:sz w:val="20"/>
          <w:szCs w:val="20"/>
          <w:color w:val="auto"/>
        </w:rPr>
      </w:pPr>
      <w:r>
        <w:rPr>
          <w:rFonts w:ascii="Arial" w:cs="Arial" w:eastAsia="Arial" w:hAnsi="Arial"/>
          <w:sz w:val="20"/>
          <w:szCs w:val="20"/>
          <w:color w:val="auto"/>
        </w:rPr>
        <w:t>(b) [X]</w:t>
      </w:r>
    </w:p>
    <w:p>
      <w:pPr>
        <w:spacing w:after="0" w:line="213" w:lineRule="exact"/>
        <w:rPr>
          <w:sz w:val="20"/>
          <w:szCs w:val="20"/>
          <w:color w:val="auto"/>
        </w:rPr>
      </w:pPr>
    </w:p>
    <w:p>
      <w:pPr>
        <w:ind w:left="920" w:hanging="915"/>
        <w:spacing w:after="0"/>
        <w:tabs>
          <w:tab w:leader="none" w:pos="9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920" w:right="5920" w:hanging="915"/>
        <w:spacing w:after="0" w:line="500" w:lineRule="auto"/>
        <w:tabs>
          <w:tab w:leader="none" w:pos="9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0" w:lineRule="exact"/>
        <w:rPr>
          <w:sz w:val="20"/>
          <w:szCs w:val="20"/>
          <w:color w:val="auto"/>
        </w:rPr>
      </w:pPr>
    </w:p>
    <w:p>
      <w:pPr>
        <w:spacing w:after="0" w:line="219" w:lineRule="exact"/>
        <w:rPr>
          <w:sz w:val="20"/>
          <w:szCs w:val="20"/>
          <w:color w:val="auto"/>
        </w:rPr>
      </w:pPr>
    </w:p>
    <w:p>
      <w:pPr>
        <w:ind w:left="920" w:right="7920" w:hanging="915"/>
        <w:spacing w:after="0" w:line="479" w:lineRule="auto"/>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SOLE VOTING POWER 0</w:t>
      </w:r>
    </w:p>
    <w:p>
      <w:pPr>
        <w:ind w:left="920" w:right="7620" w:hanging="915"/>
        <w:spacing w:after="0" w:line="479" w:lineRule="auto"/>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SHARED VOTING POWER 746,358</w:t>
      </w:r>
    </w:p>
    <w:p>
      <w:pPr>
        <w:ind w:left="920" w:right="7480" w:hanging="915"/>
        <w:spacing w:after="0" w:line="479" w:lineRule="auto"/>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20" w:right="7180" w:hanging="915"/>
        <w:spacing w:after="0" w:line="479" w:lineRule="auto"/>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SHARED DISPOSITIVE POWER 746,358</w:t>
      </w:r>
    </w:p>
    <w:p>
      <w:pPr>
        <w:ind w:left="920" w:right="2740" w:hanging="915"/>
        <w:spacing w:after="0" w:line="479" w:lineRule="auto"/>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746,358</w:t>
      </w:r>
    </w:p>
    <w:p>
      <w:pPr>
        <w:ind w:left="920" w:right="1720" w:hanging="915"/>
        <w:spacing w:after="0" w:line="247" w:lineRule="auto"/>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[_]</w:t>
      </w:r>
    </w:p>
    <w:p>
      <w:pPr>
        <w:spacing w:after="0" w:line="213" w:lineRule="exact"/>
        <w:rPr>
          <w:sz w:val="20"/>
          <w:szCs w:val="20"/>
          <w:color w:val="auto"/>
        </w:rPr>
      </w:pPr>
    </w:p>
    <w:p>
      <w:pPr>
        <w:ind w:left="920" w:right="4400" w:hanging="915"/>
        <w:spacing w:after="0" w:line="479"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PERCENT OF CLASS REPRESENTED BY AMOUNT IN ROW (9) 2.19%</w:t>
      </w:r>
    </w:p>
    <w:p>
      <w:pPr>
        <w:ind w:left="920" w:right="5200" w:hanging="915"/>
        <w:spacing w:after="0" w:line="500"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80"/>
          </w:cols>
          <w:pgMar w:left="340" w:top="474" w:right="6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6"/>
        </w:trPr>
        <w:tc>
          <w:tcPr>
            <w:tcW w:w="1400" w:type="dxa"/>
            <w:vAlign w:val="bottom"/>
          </w:tcPr>
          <w:p>
            <w:pPr>
              <w:spacing w:after="0"/>
              <w:rPr>
                <w:sz w:val="20"/>
                <w:szCs w:val="20"/>
                <w:color w:val="auto"/>
              </w:rPr>
            </w:pPr>
            <w:r>
              <w:rPr>
                <w:rFonts w:ascii="Arial" w:cs="Arial" w:eastAsia="Arial" w:hAnsi="Arial"/>
                <w:sz w:val="20"/>
                <w:szCs w:val="20"/>
                <w:color w:val="auto"/>
              </w:rPr>
              <w:t>CUSIP No</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92337F107</w:t>
            </w:r>
          </w:p>
        </w:tc>
      </w:tr>
    </w:tbl>
    <w:p>
      <w:pPr>
        <w:spacing w:after="0" w:line="213" w:lineRule="exact"/>
        <w:rPr>
          <w:sz w:val="20"/>
          <w:szCs w:val="20"/>
          <w:color w:val="auto"/>
        </w:rPr>
      </w:pPr>
    </w:p>
    <w:p>
      <w:pPr>
        <w:ind w:left="920" w:hanging="915"/>
        <w:spacing w:after="0"/>
        <w:tabs>
          <w:tab w:leader="none" w:pos="92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15" w:lineRule="exact"/>
        <w:rPr>
          <w:rFonts w:ascii="Arial" w:cs="Arial" w:eastAsia="Arial" w:hAnsi="Arial"/>
          <w:sz w:val="20"/>
          <w:szCs w:val="20"/>
          <w:color w:val="auto"/>
        </w:rPr>
      </w:pPr>
    </w:p>
    <w:p>
      <w:pPr>
        <w:ind w:left="920" w:right="3820"/>
        <w:spacing w:after="0" w:line="470"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Broadfin Healthcare Master Fund, Ltd.</w:t>
      </w:r>
    </w:p>
    <w:p>
      <w:pPr>
        <w:spacing w:after="0" w:line="1" w:lineRule="exact"/>
        <w:rPr>
          <w:rFonts w:ascii="Arial" w:cs="Arial" w:eastAsia="Arial" w:hAnsi="Arial"/>
          <w:sz w:val="20"/>
          <w:szCs w:val="20"/>
          <w:color w:val="auto"/>
        </w:rPr>
      </w:pPr>
    </w:p>
    <w:p>
      <w:pPr>
        <w:ind w:left="920" w:hanging="915"/>
        <w:spacing w:after="0"/>
        <w:tabs>
          <w:tab w:leader="none" w:pos="9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(a) [_]</w:t>
      </w:r>
    </w:p>
    <w:p>
      <w:pPr>
        <w:jc w:val="right"/>
        <w:spacing w:after="0"/>
        <w:rPr>
          <w:sz w:val="20"/>
          <w:szCs w:val="20"/>
          <w:color w:val="auto"/>
        </w:rPr>
      </w:pPr>
      <w:r>
        <w:rPr>
          <w:rFonts w:ascii="Arial" w:cs="Arial" w:eastAsia="Arial" w:hAnsi="Arial"/>
          <w:sz w:val="20"/>
          <w:szCs w:val="20"/>
          <w:color w:val="auto"/>
        </w:rPr>
        <w:t>(b) [X]</w:t>
      </w:r>
    </w:p>
    <w:p>
      <w:pPr>
        <w:spacing w:after="0" w:line="213" w:lineRule="exact"/>
        <w:rPr>
          <w:sz w:val="20"/>
          <w:szCs w:val="20"/>
          <w:color w:val="auto"/>
        </w:rPr>
      </w:pPr>
    </w:p>
    <w:p>
      <w:pPr>
        <w:ind w:left="920" w:hanging="915"/>
        <w:spacing w:after="0"/>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920" w:right="5920" w:hanging="915"/>
        <w:spacing w:after="0" w:line="500" w:lineRule="auto"/>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CITIZENSHIP OR PLACE OF ORGANIZATION Cayman Islands</w:t>
      </w:r>
    </w:p>
    <w:p>
      <w:pPr>
        <w:spacing w:after="0" w:line="200" w:lineRule="exact"/>
        <w:rPr>
          <w:sz w:val="20"/>
          <w:szCs w:val="20"/>
          <w:color w:val="auto"/>
        </w:rPr>
      </w:pPr>
    </w:p>
    <w:p>
      <w:pPr>
        <w:spacing w:after="0" w:line="219" w:lineRule="exact"/>
        <w:rPr>
          <w:sz w:val="20"/>
          <w:szCs w:val="20"/>
          <w:color w:val="auto"/>
        </w:rPr>
      </w:pPr>
    </w:p>
    <w:p>
      <w:pPr>
        <w:ind w:left="920" w:right="7920" w:hanging="915"/>
        <w:spacing w:after="0" w:line="479" w:lineRule="auto"/>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SOLE VOTING POWER 0</w:t>
      </w:r>
    </w:p>
    <w:p>
      <w:pPr>
        <w:ind w:left="920" w:right="7620" w:hanging="915"/>
        <w:spacing w:after="0" w:line="479" w:lineRule="auto"/>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SHARED VOTING POWER 746,358</w:t>
      </w:r>
    </w:p>
    <w:p>
      <w:pPr>
        <w:ind w:left="920" w:right="7480" w:hanging="915"/>
        <w:spacing w:after="0" w:line="479" w:lineRule="auto"/>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20" w:right="7180" w:hanging="915"/>
        <w:spacing w:after="0" w:line="479" w:lineRule="auto"/>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SHARED DISPOSITIVE POWER 746,358</w:t>
      </w:r>
    </w:p>
    <w:p>
      <w:pPr>
        <w:ind w:left="920" w:right="2740" w:hanging="915"/>
        <w:spacing w:after="0" w:line="479" w:lineRule="auto"/>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746,358</w:t>
      </w:r>
    </w:p>
    <w:p>
      <w:pPr>
        <w:ind w:left="920" w:right="1720" w:hanging="915"/>
        <w:spacing w:after="0" w:line="247" w:lineRule="auto"/>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[_]</w:t>
      </w:r>
    </w:p>
    <w:p>
      <w:pPr>
        <w:spacing w:after="0" w:line="213" w:lineRule="exact"/>
        <w:rPr>
          <w:sz w:val="20"/>
          <w:szCs w:val="20"/>
          <w:color w:val="auto"/>
        </w:rPr>
      </w:pPr>
    </w:p>
    <w:p>
      <w:pPr>
        <w:ind w:left="920" w:right="4400" w:hanging="915"/>
        <w:spacing w:after="0" w:line="479"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PERCENT OF CLASS REPRESENTED BY AMOUNT IN ROW (9) 2.19%</w:t>
      </w:r>
    </w:p>
    <w:p>
      <w:pPr>
        <w:ind w:left="920" w:right="5200" w:hanging="915"/>
        <w:spacing w:after="0" w:line="500"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80"/>
          </w:cols>
          <w:pgMar w:left="340" w:top="474"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6"/>
        </w:trPr>
        <w:tc>
          <w:tcPr>
            <w:tcW w:w="1400" w:type="dxa"/>
            <w:vAlign w:val="bottom"/>
          </w:tcPr>
          <w:p>
            <w:pPr>
              <w:spacing w:after="0"/>
              <w:rPr>
                <w:sz w:val="20"/>
                <w:szCs w:val="20"/>
                <w:color w:val="auto"/>
              </w:rPr>
            </w:pPr>
            <w:r>
              <w:rPr>
                <w:rFonts w:ascii="Arial" w:cs="Arial" w:eastAsia="Arial" w:hAnsi="Arial"/>
                <w:sz w:val="20"/>
                <w:szCs w:val="20"/>
                <w:color w:val="auto"/>
              </w:rPr>
              <w:t>CUSIP No</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92337F107</w:t>
            </w:r>
          </w:p>
        </w:tc>
      </w:tr>
    </w:tbl>
    <w:p>
      <w:pPr>
        <w:spacing w:after="0" w:line="213" w:lineRule="exact"/>
        <w:rPr>
          <w:sz w:val="20"/>
          <w:szCs w:val="20"/>
          <w:color w:val="auto"/>
        </w:rPr>
      </w:pPr>
    </w:p>
    <w:p>
      <w:pPr>
        <w:ind w:left="920" w:hanging="915"/>
        <w:spacing w:after="0"/>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15" w:lineRule="exact"/>
        <w:rPr>
          <w:rFonts w:ascii="Arial" w:cs="Arial" w:eastAsia="Arial" w:hAnsi="Arial"/>
          <w:sz w:val="20"/>
          <w:szCs w:val="20"/>
          <w:color w:val="auto"/>
        </w:rPr>
      </w:pPr>
    </w:p>
    <w:p>
      <w:pPr>
        <w:ind w:left="920" w:right="3820"/>
        <w:spacing w:after="0" w:line="470"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Kevin Kotler</w:t>
      </w:r>
    </w:p>
    <w:p>
      <w:pPr>
        <w:spacing w:after="0" w:line="1" w:lineRule="exact"/>
        <w:rPr>
          <w:rFonts w:ascii="Arial" w:cs="Arial" w:eastAsia="Arial" w:hAnsi="Arial"/>
          <w:sz w:val="20"/>
          <w:szCs w:val="20"/>
          <w:color w:val="auto"/>
        </w:rPr>
      </w:pPr>
    </w:p>
    <w:p>
      <w:pPr>
        <w:ind w:left="920" w:hanging="915"/>
        <w:spacing w:after="0"/>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(a) [_]</w:t>
      </w:r>
    </w:p>
    <w:p>
      <w:pPr>
        <w:jc w:val="right"/>
        <w:spacing w:after="0"/>
        <w:rPr>
          <w:sz w:val="20"/>
          <w:szCs w:val="20"/>
          <w:color w:val="auto"/>
        </w:rPr>
      </w:pPr>
      <w:r>
        <w:rPr>
          <w:rFonts w:ascii="Arial" w:cs="Arial" w:eastAsia="Arial" w:hAnsi="Arial"/>
          <w:sz w:val="20"/>
          <w:szCs w:val="20"/>
          <w:color w:val="auto"/>
        </w:rPr>
        <w:t>(b) [X]</w:t>
      </w:r>
    </w:p>
    <w:p>
      <w:pPr>
        <w:spacing w:after="0" w:line="213" w:lineRule="exact"/>
        <w:rPr>
          <w:sz w:val="20"/>
          <w:szCs w:val="20"/>
          <w:color w:val="auto"/>
        </w:rPr>
      </w:pPr>
    </w:p>
    <w:p>
      <w:pPr>
        <w:ind w:left="920" w:hanging="915"/>
        <w:spacing w:after="0"/>
        <w:tabs>
          <w:tab w:leader="none" w:pos="9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920" w:right="5920" w:hanging="915"/>
        <w:spacing w:after="0" w:line="500" w:lineRule="auto"/>
        <w:tabs>
          <w:tab w:leader="none" w:pos="9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CITIZENSHIP OR PLACE OF ORGANIZATION United States of America</w:t>
      </w:r>
    </w:p>
    <w:p>
      <w:pPr>
        <w:spacing w:after="0" w:line="200" w:lineRule="exact"/>
        <w:rPr>
          <w:sz w:val="20"/>
          <w:szCs w:val="20"/>
          <w:color w:val="auto"/>
        </w:rPr>
      </w:pPr>
    </w:p>
    <w:p>
      <w:pPr>
        <w:spacing w:after="0" w:line="219" w:lineRule="exact"/>
        <w:rPr>
          <w:sz w:val="20"/>
          <w:szCs w:val="20"/>
          <w:color w:val="auto"/>
        </w:rPr>
      </w:pPr>
    </w:p>
    <w:p>
      <w:pPr>
        <w:ind w:left="920" w:right="7920" w:hanging="915"/>
        <w:spacing w:after="0" w:line="479" w:lineRule="auto"/>
        <w:tabs>
          <w:tab w:leader="none" w:pos="9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SOLE VOTING POWER 0</w:t>
      </w:r>
    </w:p>
    <w:p>
      <w:pPr>
        <w:ind w:left="920" w:right="7620" w:hanging="915"/>
        <w:spacing w:after="0" w:line="479" w:lineRule="auto"/>
        <w:tabs>
          <w:tab w:leader="none" w:pos="9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SHARED VOTING POWER 746,358</w:t>
      </w:r>
    </w:p>
    <w:p>
      <w:pPr>
        <w:ind w:left="920" w:right="7480" w:hanging="915"/>
        <w:spacing w:after="0" w:line="479" w:lineRule="auto"/>
        <w:tabs>
          <w:tab w:leader="none" w:pos="9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20" w:right="7180" w:hanging="915"/>
        <w:spacing w:after="0" w:line="479" w:lineRule="auto"/>
        <w:tabs>
          <w:tab w:leader="none" w:pos="9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SHARED DISPOSITIVE POWER 746,358</w:t>
      </w:r>
    </w:p>
    <w:p>
      <w:pPr>
        <w:ind w:left="920" w:right="2740" w:hanging="915"/>
        <w:spacing w:after="0" w:line="479" w:lineRule="auto"/>
        <w:tabs>
          <w:tab w:leader="none" w:pos="9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746,358</w:t>
      </w:r>
    </w:p>
    <w:p>
      <w:pPr>
        <w:ind w:left="920" w:right="1720" w:hanging="915"/>
        <w:spacing w:after="0" w:line="247" w:lineRule="auto"/>
        <w:tabs>
          <w:tab w:leader="none" w:pos="9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[_]</w:t>
      </w:r>
    </w:p>
    <w:p>
      <w:pPr>
        <w:spacing w:after="0" w:line="213" w:lineRule="exact"/>
        <w:rPr>
          <w:sz w:val="20"/>
          <w:szCs w:val="20"/>
          <w:color w:val="auto"/>
        </w:rPr>
      </w:pPr>
    </w:p>
    <w:p>
      <w:pPr>
        <w:ind w:left="920" w:right="4400" w:hanging="915"/>
        <w:spacing w:after="0" w:line="479"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 OF CLASS REPRESENTED BY AMOUNT IN ROW (9) 2.19%</w:t>
      </w:r>
    </w:p>
    <w:p>
      <w:pPr>
        <w:ind w:left="920" w:right="5200" w:hanging="915"/>
        <w:spacing w:after="0" w:line="500"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80"/>
          </w:cols>
          <w:pgMar w:left="340" w:top="474" w:right="6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6"/>
        </w:trPr>
        <w:tc>
          <w:tcPr>
            <w:tcW w:w="1000" w:type="dxa"/>
            <w:vAlign w:val="bottom"/>
          </w:tcPr>
          <w:p>
            <w:pPr>
              <w:ind w:left="100"/>
              <w:spacing w:after="0"/>
              <w:rPr>
                <w:sz w:val="20"/>
                <w:szCs w:val="20"/>
                <w:color w:val="auto"/>
              </w:rPr>
            </w:pPr>
            <w:r>
              <w:rPr>
                <w:rFonts w:ascii="Arial" w:cs="Arial" w:eastAsia="Arial" w:hAnsi="Arial"/>
                <w:sz w:val="20"/>
                <w:szCs w:val="20"/>
                <w:color w:val="auto"/>
                <w:w w:val="95"/>
              </w:rPr>
              <w:t>CUSIP No</w:t>
            </w:r>
          </w:p>
        </w:tc>
        <w:tc>
          <w:tcPr>
            <w:tcW w:w="500" w:type="dxa"/>
            <w:vAlign w:val="bottom"/>
          </w:tcPr>
          <w:p>
            <w:pPr>
              <w:spacing w:after="0"/>
              <w:rPr>
                <w:sz w:val="21"/>
                <w:szCs w:val="21"/>
                <w:color w:val="auto"/>
              </w:rPr>
            </w:pPr>
          </w:p>
        </w:tc>
        <w:tc>
          <w:tcPr>
            <w:tcW w:w="29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92337F107</w:t>
            </w:r>
          </w:p>
        </w:tc>
        <w:tc>
          <w:tcPr>
            <w:tcW w:w="58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57"/>
        </w:trPr>
        <w:tc>
          <w:tcPr>
            <w:tcW w:w="1000" w:type="dxa"/>
            <w:vAlign w:val="bottom"/>
          </w:tcPr>
          <w:p>
            <w:pPr>
              <w:ind w:left="100"/>
              <w:spacing w:after="0"/>
              <w:rPr>
                <w:sz w:val="20"/>
                <w:szCs w:val="20"/>
                <w:color w:val="auto"/>
              </w:rPr>
            </w:pPr>
            <w:r>
              <w:rPr>
                <w:rFonts w:ascii="Arial" w:cs="Arial" w:eastAsia="Arial" w:hAnsi="Arial"/>
                <w:sz w:val="20"/>
                <w:szCs w:val="20"/>
                <w:color w:val="auto"/>
              </w:rPr>
              <w:t>Item 1.</w:t>
            </w:r>
          </w:p>
        </w:tc>
        <w:tc>
          <w:tcPr>
            <w:tcW w:w="500" w:type="dxa"/>
            <w:vAlign w:val="bottom"/>
          </w:tcPr>
          <w:p>
            <w:pPr>
              <w:ind w:left="20"/>
              <w:spacing w:after="0"/>
              <w:rPr>
                <w:sz w:val="20"/>
                <w:szCs w:val="20"/>
                <w:color w:val="auto"/>
              </w:rPr>
            </w:pPr>
            <w:r>
              <w:rPr>
                <w:rFonts w:ascii="Arial" w:cs="Arial" w:eastAsia="Arial" w:hAnsi="Arial"/>
                <w:sz w:val="20"/>
                <w:szCs w:val="20"/>
                <w:color w:val="auto"/>
              </w:rPr>
              <w:t>(a).</w:t>
            </w: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Name of Issuer:</w:t>
            </w:r>
          </w:p>
        </w:tc>
        <w:tc>
          <w:tcPr>
            <w:tcW w:w="1140" w:type="dxa"/>
            <w:vAlign w:val="bottom"/>
          </w:tcPr>
          <w:p>
            <w:pPr>
              <w:spacing w:after="0"/>
              <w:rPr>
                <w:sz w:val="24"/>
                <w:szCs w:val="24"/>
                <w:color w:val="auto"/>
              </w:rPr>
            </w:pPr>
          </w:p>
        </w:tc>
      </w:tr>
      <w:tr>
        <w:trPr>
          <w:trHeight w:val="455"/>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Veracyte, Inc.</w:t>
            </w:r>
          </w:p>
        </w:tc>
        <w:tc>
          <w:tcPr>
            <w:tcW w:w="1140" w:type="dxa"/>
            <w:vAlign w:val="bottom"/>
          </w:tcPr>
          <w:p>
            <w:pPr>
              <w:spacing w:after="0"/>
              <w:rPr>
                <w:sz w:val="24"/>
                <w:szCs w:val="24"/>
                <w:color w:val="auto"/>
              </w:rPr>
            </w:pPr>
          </w:p>
        </w:tc>
      </w:tr>
      <w:tr>
        <w:trPr>
          <w:trHeight w:val="457"/>
        </w:trPr>
        <w:tc>
          <w:tcPr>
            <w:tcW w:w="100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20"/>
                <w:szCs w:val="20"/>
                <w:color w:val="auto"/>
              </w:rPr>
              <w:t>(b).</w:t>
            </w: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Address of Issuer's Principal Executive Offices:</w:t>
            </w:r>
          </w:p>
        </w:tc>
        <w:tc>
          <w:tcPr>
            <w:tcW w:w="1140" w:type="dxa"/>
            <w:vAlign w:val="bottom"/>
          </w:tcPr>
          <w:p>
            <w:pPr>
              <w:spacing w:after="0"/>
              <w:rPr>
                <w:sz w:val="24"/>
                <w:szCs w:val="24"/>
                <w:color w:val="auto"/>
              </w:rPr>
            </w:pPr>
          </w:p>
        </w:tc>
      </w:tr>
      <w:tr>
        <w:trPr>
          <w:trHeight w:val="438"/>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6000 Shoreline Court, Suite 300 South</w:t>
            </w:r>
          </w:p>
        </w:tc>
        <w:tc>
          <w:tcPr>
            <w:tcW w:w="1140" w:type="dxa"/>
            <w:vAlign w:val="bottom"/>
          </w:tcPr>
          <w:p>
            <w:pPr>
              <w:spacing w:after="0"/>
              <w:rPr>
                <w:sz w:val="24"/>
                <w:szCs w:val="24"/>
                <w:color w:val="auto"/>
              </w:rPr>
            </w:pPr>
          </w:p>
        </w:tc>
      </w:tr>
      <w:tr>
        <w:trPr>
          <w:trHeight w:val="246"/>
        </w:trPr>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San Francisco, California 94080</w:t>
            </w:r>
          </w:p>
        </w:tc>
        <w:tc>
          <w:tcPr>
            <w:tcW w:w="1140" w:type="dxa"/>
            <w:vAlign w:val="bottom"/>
          </w:tcPr>
          <w:p>
            <w:pPr>
              <w:spacing w:after="0"/>
              <w:rPr>
                <w:sz w:val="21"/>
                <w:szCs w:val="21"/>
                <w:color w:val="auto"/>
              </w:rPr>
            </w:pPr>
          </w:p>
        </w:tc>
      </w:tr>
      <w:tr>
        <w:trPr>
          <w:trHeight w:val="457"/>
        </w:trPr>
        <w:tc>
          <w:tcPr>
            <w:tcW w:w="1000" w:type="dxa"/>
            <w:vAlign w:val="bottom"/>
          </w:tcPr>
          <w:p>
            <w:pPr>
              <w:ind w:left="100"/>
              <w:spacing w:after="0"/>
              <w:rPr>
                <w:sz w:val="20"/>
                <w:szCs w:val="20"/>
                <w:color w:val="auto"/>
              </w:rPr>
            </w:pPr>
            <w:r>
              <w:rPr>
                <w:rFonts w:ascii="Arial" w:cs="Arial" w:eastAsia="Arial" w:hAnsi="Arial"/>
                <w:sz w:val="20"/>
                <w:szCs w:val="20"/>
                <w:color w:val="auto"/>
              </w:rPr>
              <w:t>Item 2.</w:t>
            </w:r>
          </w:p>
        </w:tc>
        <w:tc>
          <w:tcPr>
            <w:tcW w:w="500" w:type="dxa"/>
            <w:vAlign w:val="bottom"/>
          </w:tcPr>
          <w:p>
            <w:pPr>
              <w:ind w:left="20"/>
              <w:spacing w:after="0"/>
              <w:rPr>
                <w:sz w:val="20"/>
                <w:szCs w:val="20"/>
                <w:color w:val="auto"/>
              </w:rPr>
            </w:pPr>
            <w:r>
              <w:rPr>
                <w:rFonts w:ascii="Arial" w:cs="Arial" w:eastAsia="Arial" w:hAnsi="Arial"/>
                <w:sz w:val="20"/>
                <w:szCs w:val="20"/>
                <w:color w:val="auto"/>
              </w:rPr>
              <w:t>(a).</w:t>
            </w: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Name of Person Filing:</w:t>
            </w:r>
          </w:p>
        </w:tc>
        <w:tc>
          <w:tcPr>
            <w:tcW w:w="1140" w:type="dxa"/>
            <w:vAlign w:val="bottom"/>
          </w:tcPr>
          <w:p>
            <w:pPr>
              <w:spacing w:after="0"/>
              <w:rPr>
                <w:sz w:val="24"/>
                <w:szCs w:val="24"/>
                <w:color w:val="auto"/>
              </w:rPr>
            </w:pPr>
          </w:p>
        </w:tc>
      </w:tr>
      <w:tr>
        <w:trPr>
          <w:trHeight w:val="438"/>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Broadfin Capital, LLC</w:t>
            </w:r>
          </w:p>
        </w:tc>
        <w:tc>
          <w:tcPr>
            <w:tcW w:w="11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Broadfin Healthcare Master Fund, Ltd.</w:t>
            </w:r>
          </w:p>
        </w:tc>
        <w:tc>
          <w:tcPr>
            <w:tcW w:w="1140" w:type="dxa"/>
            <w:vAlign w:val="bottom"/>
          </w:tcPr>
          <w:p>
            <w:pPr>
              <w:spacing w:after="0"/>
              <w:rPr>
                <w:sz w:val="19"/>
                <w:szCs w:val="19"/>
                <w:color w:val="auto"/>
              </w:rPr>
            </w:pPr>
          </w:p>
        </w:tc>
      </w:tr>
      <w:tr>
        <w:trPr>
          <w:trHeight w:val="246"/>
        </w:trPr>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Kevin Kotler</w:t>
            </w:r>
          </w:p>
        </w:tc>
        <w:tc>
          <w:tcPr>
            <w:tcW w:w="1140" w:type="dxa"/>
            <w:vAlign w:val="bottom"/>
          </w:tcPr>
          <w:p>
            <w:pPr>
              <w:spacing w:after="0"/>
              <w:rPr>
                <w:sz w:val="21"/>
                <w:szCs w:val="21"/>
                <w:color w:val="auto"/>
              </w:rPr>
            </w:pPr>
          </w:p>
        </w:tc>
      </w:tr>
      <w:tr>
        <w:trPr>
          <w:trHeight w:val="457"/>
        </w:trPr>
        <w:tc>
          <w:tcPr>
            <w:tcW w:w="100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20"/>
                <w:szCs w:val="20"/>
                <w:color w:val="auto"/>
              </w:rPr>
              <w:t>(b).</w:t>
            </w: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Address of Principal Business Office, or if None, Residence:</w:t>
            </w:r>
          </w:p>
        </w:tc>
        <w:tc>
          <w:tcPr>
            <w:tcW w:w="1140" w:type="dxa"/>
            <w:vAlign w:val="bottom"/>
          </w:tcPr>
          <w:p>
            <w:pPr>
              <w:spacing w:after="0"/>
              <w:rPr>
                <w:sz w:val="24"/>
                <w:szCs w:val="24"/>
                <w:color w:val="auto"/>
              </w:rPr>
            </w:pPr>
          </w:p>
        </w:tc>
      </w:tr>
      <w:tr>
        <w:trPr>
          <w:trHeight w:val="443"/>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Broadfin Capital, LLC</w:t>
            </w:r>
          </w:p>
        </w:tc>
        <w:tc>
          <w:tcPr>
            <w:tcW w:w="1140" w:type="dxa"/>
            <w:vAlign w:val="bottom"/>
          </w:tcPr>
          <w:p>
            <w:pPr>
              <w:spacing w:after="0"/>
              <w:rPr>
                <w:sz w:val="24"/>
                <w:szCs w:val="24"/>
                <w:color w:val="auto"/>
              </w:rPr>
            </w:pPr>
          </w:p>
        </w:tc>
      </w:tr>
      <w:tr>
        <w:trPr>
          <w:trHeight w:val="279"/>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2"/>
          </w:tcPr>
          <w:p>
            <w:pPr>
              <w:ind w:left="100"/>
              <w:spacing w:after="0" w:line="280" w:lineRule="exact"/>
              <w:rPr>
                <w:sz w:val="20"/>
                <w:szCs w:val="20"/>
                <w:color w:val="auto"/>
              </w:rPr>
            </w:pPr>
            <w:r>
              <w:rPr>
                <w:rFonts w:ascii="Arial" w:cs="Arial" w:eastAsia="Arial" w:hAnsi="Arial"/>
                <w:sz w:val="19"/>
                <w:szCs w:val="19"/>
                <w:color w:val="auto"/>
              </w:rPr>
              <w:t>300 Park Avenue, 25</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Floor</w:t>
            </w:r>
          </w:p>
        </w:tc>
        <w:tc>
          <w:tcPr>
            <w:tcW w:w="11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New York, New York 10022</w:t>
            </w:r>
          </w:p>
        </w:tc>
        <w:tc>
          <w:tcPr>
            <w:tcW w:w="1140" w:type="dxa"/>
            <w:vAlign w:val="bottom"/>
          </w:tcPr>
          <w:p>
            <w:pPr>
              <w:spacing w:after="0"/>
              <w:rPr>
                <w:sz w:val="19"/>
                <w:szCs w:val="19"/>
                <w:color w:val="auto"/>
              </w:rPr>
            </w:pPr>
          </w:p>
        </w:tc>
      </w:tr>
      <w:tr>
        <w:trPr>
          <w:trHeight w:val="250"/>
        </w:trPr>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United States of America</w:t>
            </w:r>
          </w:p>
        </w:tc>
        <w:tc>
          <w:tcPr>
            <w:tcW w:w="1140" w:type="dxa"/>
            <w:vAlign w:val="bottom"/>
          </w:tcPr>
          <w:p>
            <w:pPr>
              <w:spacing w:after="0"/>
              <w:rPr>
                <w:sz w:val="21"/>
                <w:szCs w:val="21"/>
                <w:color w:val="auto"/>
              </w:rPr>
            </w:pPr>
          </w:p>
        </w:tc>
      </w:tr>
      <w:tr>
        <w:trPr>
          <w:trHeight w:val="438"/>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Broadfin Healthcare Master Fund, Ltd.</w:t>
            </w:r>
          </w:p>
        </w:tc>
        <w:tc>
          <w:tcPr>
            <w:tcW w:w="11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20 Genesis Close</w:t>
            </w:r>
          </w:p>
        </w:tc>
        <w:tc>
          <w:tcPr>
            <w:tcW w:w="114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Ansbacher House, Second Floor</w:t>
            </w:r>
          </w:p>
        </w:tc>
        <w:tc>
          <w:tcPr>
            <w:tcW w:w="114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P.O. Box 1344</w:t>
            </w:r>
          </w:p>
        </w:tc>
        <w:tc>
          <w:tcPr>
            <w:tcW w:w="114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Grand Cayman KY1-1108</w:t>
            </w:r>
          </w:p>
        </w:tc>
        <w:tc>
          <w:tcPr>
            <w:tcW w:w="1140" w:type="dxa"/>
            <w:vAlign w:val="bottom"/>
          </w:tcPr>
          <w:p>
            <w:pPr>
              <w:spacing w:after="0"/>
              <w:rPr>
                <w:sz w:val="19"/>
                <w:szCs w:val="19"/>
                <w:color w:val="auto"/>
              </w:rPr>
            </w:pPr>
          </w:p>
        </w:tc>
      </w:tr>
      <w:tr>
        <w:trPr>
          <w:trHeight w:val="250"/>
        </w:trPr>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Cayman Islands</w:t>
            </w:r>
          </w:p>
        </w:tc>
        <w:tc>
          <w:tcPr>
            <w:tcW w:w="1140" w:type="dxa"/>
            <w:vAlign w:val="bottom"/>
          </w:tcPr>
          <w:p>
            <w:pPr>
              <w:spacing w:after="0"/>
              <w:rPr>
                <w:sz w:val="21"/>
                <w:szCs w:val="21"/>
                <w:color w:val="auto"/>
              </w:rPr>
            </w:pPr>
          </w:p>
        </w:tc>
      </w:tr>
      <w:tr>
        <w:trPr>
          <w:trHeight w:val="438"/>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Kevin Kotler</w:t>
            </w:r>
          </w:p>
        </w:tc>
        <w:tc>
          <w:tcPr>
            <w:tcW w:w="11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c/o Broadfin Capital, LLC</w:t>
            </w:r>
          </w:p>
        </w:tc>
        <w:tc>
          <w:tcPr>
            <w:tcW w:w="1140" w:type="dxa"/>
            <w:vAlign w:val="bottom"/>
          </w:tcPr>
          <w:p>
            <w:pPr>
              <w:spacing w:after="0"/>
              <w:rPr>
                <w:sz w:val="20"/>
                <w:szCs w:val="20"/>
                <w:color w:val="auto"/>
              </w:rPr>
            </w:pPr>
          </w:p>
        </w:tc>
      </w:tr>
      <w:tr>
        <w:trPr>
          <w:trHeight w:val="279"/>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2"/>
          </w:tcPr>
          <w:p>
            <w:pPr>
              <w:ind w:left="100"/>
              <w:spacing w:after="0" w:line="280" w:lineRule="exact"/>
              <w:rPr>
                <w:sz w:val="20"/>
                <w:szCs w:val="20"/>
                <w:color w:val="auto"/>
              </w:rPr>
            </w:pPr>
            <w:r>
              <w:rPr>
                <w:rFonts w:ascii="Arial" w:cs="Arial" w:eastAsia="Arial" w:hAnsi="Arial"/>
                <w:sz w:val="19"/>
                <w:szCs w:val="19"/>
                <w:color w:val="auto"/>
              </w:rPr>
              <w:t>300 Park Avenue, 25</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Floor</w:t>
            </w:r>
          </w:p>
        </w:tc>
        <w:tc>
          <w:tcPr>
            <w:tcW w:w="11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New York, New York 10022</w:t>
            </w:r>
          </w:p>
        </w:tc>
        <w:tc>
          <w:tcPr>
            <w:tcW w:w="1140" w:type="dxa"/>
            <w:vAlign w:val="bottom"/>
          </w:tcPr>
          <w:p>
            <w:pPr>
              <w:spacing w:after="0"/>
              <w:rPr>
                <w:sz w:val="19"/>
                <w:szCs w:val="19"/>
                <w:color w:val="auto"/>
              </w:rPr>
            </w:pPr>
          </w:p>
        </w:tc>
      </w:tr>
      <w:tr>
        <w:trPr>
          <w:trHeight w:val="246"/>
        </w:trPr>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United States of America</w:t>
            </w:r>
          </w:p>
        </w:tc>
        <w:tc>
          <w:tcPr>
            <w:tcW w:w="1140" w:type="dxa"/>
            <w:vAlign w:val="bottom"/>
          </w:tcPr>
          <w:p>
            <w:pPr>
              <w:spacing w:after="0"/>
              <w:rPr>
                <w:sz w:val="21"/>
                <w:szCs w:val="21"/>
                <w:color w:val="auto"/>
              </w:rPr>
            </w:pPr>
          </w:p>
        </w:tc>
      </w:tr>
      <w:tr>
        <w:trPr>
          <w:trHeight w:val="457"/>
        </w:trPr>
        <w:tc>
          <w:tcPr>
            <w:tcW w:w="100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20"/>
                <w:szCs w:val="20"/>
                <w:color w:val="auto"/>
              </w:rPr>
              <w:t>(c)</w:t>
            </w: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Citizenship:</w:t>
            </w:r>
          </w:p>
        </w:tc>
        <w:tc>
          <w:tcPr>
            <w:tcW w:w="1140" w:type="dxa"/>
            <w:vAlign w:val="bottom"/>
          </w:tcPr>
          <w:p>
            <w:pPr>
              <w:spacing w:after="0"/>
              <w:rPr>
                <w:sz w:val="24"/>
                <w:szCs w:val="24"/>
                <w:color w:val="auto"/>
              </w:rPr>
            </w:pPr>
          </w:p>
        </w:tc>
      </w:tr>
      <w:tr>
        <w:trPr>
          <w:trHeight w:val="438"/>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Broadfin Capital, LLC – Delaware</w:t>
            </w:r>
          </w:p>
        </w:tc>
        <w:tc>
          <w:tcPr>
            <w:tcW w:w="11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Broadfin Healthcare Master Fund, Ltd. – Cayman Islands</w:t>
            </w:r>
          </w:p>
        </w:tc>
        <w:tc>
          <w:tcPr>
            <w:tcW w:w="1140" w:type="dxa"/>
            <w:vAlign w:val="bottom"/>
          </w:tcPr>
          <w:p>
            <w:pPr>
              <w:spacing w:after="0"/>
              <w:rPr>
                <w:sz w:val="19"/>
                <w:szCs w:val="19"/>
                <w:color w:val="auto"/>
              </w:rPr>
            </w:pPr>
          </w:p>
        </w:tc>
      </w:tr>
      <w:tr>
        <w:trPr>
          <w:trHeight w:val="246"/>
        </w:trPr>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Kevin Kotler – United States of America</w:t>
            </w:r>
          </w:p>
        </w:tc>
        <w:tc>
          <w:tcPr>
            <w:tcW w:w="1140" w:type="dxa"/>
            <w:vAlign w:val="bottom"/>
          </w:tcPr>
          <w:p>
            <w:pPr>
              <w:spacing w:after="0"/>
              <w:rPr>
                <w:sz w:val="21"/>
                <w:szCs w:val="21"/>
                <w:color w:val="auto"/>
              </w:rPr>
            </w:pPr>
          </w:p>
        </w:tc>
      </w:tr>
      <w:tr>
        <w:trPr>
          <w:trHeight w:val="457"/>
        </w:trPr>
        <w:tc>
          <w:tcPr>
            <w:tcW w:w="100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20"/>
                <w:szCs w:val="20"/>
                <w:color w:val="auto"/>
              </w:rPr>
              <w:t>(d).</w:t>
            </w: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Title of Class of Securities:</w:t>
            </w:r>
          </w:p>
        </w:tc>
        <w:tc>
          <w:tcPr>
            <w:tcW w:w="1140" w:type="dxa"/>
            <w:vAlign w:val="bottom"/>
          </w:tcPr>
          <w:p>
            <w:pPr>
              <w:spacing w:after="0"/>
              <w:rPr>
                <w:sz w:val="24"/>
                <w:szCs w:val="24"/>
                <w:color w:val="auto"/>
              </w:rPr>
            </w:pPr>
          </w:p>
        </w:tc>
      </w:tr>
      <w:tr>
        <w:trPr>
          <w:trHeight w:val="455"/>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Common Stock, $0.001 par value</w:t>
            </w:r>
          </w:p>
        </w:tc>
        <w:tc>
          <w:tcPr>
            <w:tcW w:w="1140" w:type="dxa"/>
            <w:vAlign w:val="bottom"/>
          </w:tcPr>
          <w:p>
            <w:pPr>
              <w:spacing w:after="0"/>
              <w:rPr>
                <w:sz w:val="24"/>
                <w:szCs w:val="24"/>
                <w:color w:val="auto"/>
              </w:rPr>
            </w:pPr>
          </w:p>
        </w:tc>
      </w:tr>
      <w:tr>
        <w:trPr>
          <w:trHeight w:val="457"/>
        </w:trPr>
        <w:tc>
          <w:tcPr>
            <w:tcW w:w="100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20"/>
                <w:szCs w:val="20"/>
                <w:color w:val="auto"/>
              </w:rPr>
              <w:t>(e).</w:t>
            </w:r>
          </w:p>
        </w:tc>
        <w:tc>
          <w:tcPr>
            <w:tcW w:w="120" w:type="dxa"/>
            <w:vAlign w:val="bottom"/>
          </w:tcPr>
          <w:p>
            <w:pPr>
              <w:spacing w:after="0"/>
              <w:rPr>
                <w:sz w:val="24"/>
                <w:szCs w:val="24"/>
                <w:color w:val="auto"/>
              </w:rPr>
            </w:pPr>
          </w:p>
        </w:tc>
        <w:tc>
          <w:tcPr>
            <w:tcW w:w="8660" w:type="dxa"/>
            <w:vAlign w:val="bottom"/>
            <w:gridSpan w:val="2"/>
          </w:tcPr>
          <w:p>
            <w:pPr>
              <w:ind w:left="100"/>
              <w:spacing w:after="0"/>
              <w:rPr>
                <w:sz w:val="20"/>
                <w:szCs w:val="20"/>
                <w:color w:val="auto"/>
              </w:rPr>
            </w:pPr>
            <w:r>
              <w:rPr>
                <w:rFonts w:ascii="Arial" w:cs="Arial" w:eastAsia="Arial" w:hAnsi="Arial"/>
                <w:sz w:val="20"/>
                <w:szCs w:val="20"/>
                <w:color w:val="auto"/>
              </w:rPr>
              <w:t>CUSIP Number:</w:t>
            </w:r>
          </w:p>
        </w:tc>
        <w:tc>
          <w:tcPr>
            <w:tcW w:w="1140" w:type="dxa"/>
            <w:vAlign w:val="bottom"/>
          </w:tcPr>
          <w:p>
            <w:pPr>
              <w:spacing w:after="0"/>
              <w:rPr>
                <w:sz w:val="24"/>
                <w:szCs w:val="24"/>
                <w:color w:val="auto"/>
              </w:rPr>
            </w:pPr>
          </w:p>
        </w:tc>
      </w:tr>
      <w:tr>
        <w:trPr>
          <w:trHeight w:val="455"/>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92337F107</w:t>
            </w:r>
          </w:p>
        </w:tc>
        <w:tc>
          <w:tcPr>
            <w:tcW w:w="1140" w:type="dxa"/>
            <w:vAlign w:val="bottom"/>
          </w:tcPr>
          <w:p>
            <w:pPr>
              <w:spacing w:after="0"/>
              <w:rPr>
                <w:sz w:val="24"/>
                <w:szCs w:val="24"/>
                <w:color w:val="auto"/>
              </w:rPr>
            </w:pPr>
          </w:p>
        </w:tc>
      </w:tr>
      <w:tr>
        <w:trPr>
          <w:trHeight w:val="487"/>
        </w:trPr>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4" w:right="239" w:bottom="1440" w:gutter="0" w:footer="0" w:header="0"/>
        </w:sectPr>
      </w:pPr>
    </w:p>
    <w:bookmarkStart w:id="5" w:name="page6"/>
    <w:bookmarkEnd w:id="5"/>
    <w:p>
      <w:pPr>
        <w:spacing w:after="0"/>
        <w:tabs>
          <w:tab w:leader="none" w:pos="160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8"/>
          <w:szCs w:val="18"/>
          <w:color w:val="auto"/>
        </w:rPr>
        <w:t>This Statement is filed pursuant to ss.240.13d-1(b) or 240.13d-2(b), or (c), check whether the person filing is a</w:t>
      </w:r>
    </w:p>
    <w:p>
      <w:pPr>
        <w:spacing w:after="0" w:line="229" w:lineRule="exact"/>
        <w:rPr>
          <w:sz w:val="20"/>
          <w:szCs w:val="20"/>
          <w:color w:val="auto"/>
        </w:rPr>
      </w:pPr>
    </w:p>
    <w:p>
      <w:pPr>
        <w:ind w:left="1620" w:hanging="697"/>
        <w:spacing w:after="0"/>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[_]    Broker or dealer registered under Section 15 of the Exchange Act (15 U.S.C. 78c).</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[_]    Bank as defined in Section 3(a)(6) of the Exchange Act (15 U.S.C. 78c).</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[_]    Insurance company as defined in Section 3(a)(19) of the Exchange Act (15 U.S.C. 78c).</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[_]    Investment company registered under Section 8 of the Investment Company Act of 1940 (15 U.S.C. 80a-8).</w:t>
      </w:r>
    </w:p>
    <w:p>
      <w:pPr>
        <w:spacing w:after="0" w:line="240" w:lineRule="exact"/>
        <w:rPr>
          <w:rFonts w:ascii="Arial" w:cs="Arial" w:eastAsia="Arial" w:hAnsi="Arial"/>
          <w:sz w:val="19"/>
          <w:szCs w:val="19"/>
          <w:color w:val="auto"/>
        </w:rPr>
      </w:pPr>
    </w:p>
    <w:p>
      <w:pPr>
        <w:ind w:left="1620" w:hanging="697"/>
        <w:spacing w:after="0"/>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[_]    An investment adviser in accordance with § 240.13d-1(b)(1)(ii)(E);</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[_]    An employee benefit plan or endowment fund in accordance with § 240.13d-1(b)(1)(ii)(F);</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[_]    A parent holding company or control person in accordance with Rule 13d-1(b)(1)(ii)(G);</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[_]    A savings association as defined in Section 3(b) of the Federal Deposit Insurance Act (12 U.S.C.1813);</w:t>
      </w:r>
    </w:p>
    <w:p>
      <w:pPr>
        <w:spacing w:after="0" w:line="229" w:lineRule="exact"/>
        <w:rPr>
          <w:rFonts w:ascii="Arial" w:cs="Arial" w:eastAsia="Arial" w:hAnsi="Arial"/>
          <w:sz w:val="20"/>
          <w:szCs w:val="20"/>
          <w:color w:val="auto"/>
        </w:rPr>
      </w:pPr>
    </w:p>
    <w:p>
      <w:pPr>
        <w:ind w:left="2180" w:hanging="1257"/>
        <w:spacing w:after="0" w:line="260" w:lineRule="auto"/>
        <w:tabs>
          <w:tab w:leader="none" w:pos="1613" w:val="left"/>
        </w:tabs>
        <w:numPr>
          <w:ilvl w:val="0"/>
          <w:numId w:val="14"/>
        </w:numPr>
        <w:rPr>
          <w:rFonts w:ascii="Arial" w:cs="Arial" w:eastAsia="Arial" w:hAnsi="Arial"/>
          <w:sz w:val="20"/>
          <w:szCs w:val="20"/>
          <w:color w:val="auto"/>
        </w:rPr>
      </w:pPr>
      <w:r>
        <w:rPr>
          <w:rFonts w:ascii="Arial" w:cs="Arial" w:eastAsia="Arial" w:hAnsi="Arial"/>
          <w:sz w:val="20"/>
          <w:szCs w:val="20"/>
          <w:color w:val="auto"/>
        </w:rPr>
        <w:t>[_] A church plan that is excluded from the definition of an investment company under Section 3(c)(14) of the Investment Company Act of 1940 (15 U.S.C. 80a-3);</w:t>
      </w:r>
    </w:p>
    <w:p>
      <w:pPr>
        <w:spacing w:after="0" w:line="190" w:lineRule="exact"/>
        <w:rPr>
          <w:rFonts w:ascii="Arial" w:cs="Arial" w:eastAsia="Arial" w:hAnsi="Arial"/>
          <w:sz w:val="20"/>
          <w:szCs w:val="20"/>
          <w:color w:val="auto"/>
        </w:rPr>
      </w:pPr>
    </w:p>
    <w:p>
      <w:pPr>
        <w:ind w:left="1620" w:hanging="697"/>
        <w:spacing w:after="0"/>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[_]    Group, in accordance with 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165100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474" w:right="339" w:bottom="1440" w:gutter="0" w:footer="0" w:header="0"/>
        </w:sectPr>
      </w:pPr>
    </w:p>
    <w:bookmarkStart w:id="6" w:name="page7"/>
    <w:bookmarkEnd w:id="6"/>
    <w:p>
      <w:pPr>
        <w:spacing w:after="0"/>
        <w:tabs>
          <w:tab w:leader="none" w:pos="86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color w:val="auto"/>
        </w:rPr>
        <w:t>Ownership.</w:t>
      </w:r>
    </w:p>
    <w:p>
      <w:pPr>
        <w:spacing w:after="0" w:line="229"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90" w:lineRule="exact"/>
        <w:rPr>
          <w:sz w:val="20"/>
          <w:szCs w:val="20"/>
          <w:color w:val="auto"/>
        </w:rPr>
      </w:pPr>
    </w:p>
    <w:p>
      <w:pPr>
        <w:ind w:left="1400" w:hanging="517"/>
        <w:spacing w:after="0"/>
        <w:tabs>
          <w:tab w:leader="none" w:pos="14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229" w:lineRule="exact"/>
        <w:rPr>
          <w:rFonts w:ascii="Arial" w:cs="Arial" w:eastAsia="Arial" w:hAnsi="Arial"/>
          <w:sz w:val="20"/>
          <w:szCs w:val="20"/>
          <w:color w:val="auto"/>
        </w:rPr>
      </w:pPr>
    </w:p>
    <w:p>
      <w:pPr>
        <w:ind w:left="1400"/>
        <w:spacing w:after="0"/>
        <w:rPr>
          <w:rFonts w:ascii="Arial" w:cs="Arial" w:eastAsia="Arial" w:hAnsi="Arial"/>
          <w:sz w:val="20"/>
          <w:szCs w:val="20"/>
          <w:color w:val="auto"/>
        </w:rPr>
      </w:pPr>
      <w:r>
        <w:rPr>
          <w:rFonts w:ascii="Arial" w:cs="Arial" w:eastAsia="Arial" w:hAnsi="Arial"/>
          <w:sz w:val="20"/>
          <w:szCs w:val="20"/>
          <w:color w:val="auto"/>
        </w:rPr>
        <w:t>Broadfin Capital, LLC – 746,358</w:t>
      </w:r>
    </w:p>
    <w:p>
      <w:pPr>
        <w:spacing w:after="0" w:line="15" w:lineRule="exact"/>
        <w:rPr>
          <w:rFonts w:ascii="Arial" w:cs="Arial" w:eastAsia="Arial" w:hAnsi="Arial"/>
          <w:sz w:val="20"/>
          <w:szCs w:val="20"/>
          <w:color w:val="auto"/>
        </w:rPr>
      </w:pPr>
    </w:p>
    <w:p>
      <w:pPr>
        <w:ind w:left="1400" w:right="6020"/>
        <w:spacing w:after="0" w:line="244" w:lineRule="auto"/>
        <w:rPr>
          <w:rFonts w:ascii="Arial" w:cs="Arial" w:eastAsia="Arial" w:hAnsi="Arial"/>
          <w:sz w:val="20"/>
          <w:szCs w:val="20"/>
          <w:color w:val="auto"/>
        </w:rPr>
      </w:pPr>
      <w:r>
        <w:rPr>
          <w:rFonts w:ascii="Arial" w:cs="Arial" w:eastAsia="Arial" w:hAnsi="Arial"/>
          <w:sz w:val="20"/>
          <w:szCs w:val="20"/>
          <w:color w:val="auto"/>
        </w:rPr>
        <w:t>Broadfin Healthcare Master Fund, Ltd. 746,358 Kevin Kotler – 746,358</w:t>
      </w:r>
    </w:p>
    <w:p>
      <w:pPr>
        <w:spacing w:after="0" w:line="218" w:lineRule="exact"/>
        <w:rPr>
          <w:rFonts w:ascii="Arial" w:cs="Arial" w:eastAsia="Arial" w:hAnsi="Arial"/>
          <w:sz w:val="20"/>
          <w:szCs w:val="20"/>
          <w:color w:val="auto"/>
        </w:rPr>
      </w:pPr>
    </w:p>
    <w:p>
      <w:pPr>
        <w:ind w:left="1400" w:hanging="517"/>
        <w:spacing w:after="0"/>
        <w:tabs>
          <w:tab w:leader="none" w:pos="14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229" w:lineRule="exact"/>
        <w:rPr>
          <w:rFonts w:ascii="Arial" w:cs="Arial" w:eastAsia="Arial" w:hAnsi="Arial"/>
          <w:sz w:val="20"/>
          <w:szCs w:val="20"/>
          <w:color w:val="auto"/>
        </w:rPr>
      </w:pPr>
    </w:p>
    <w:p>
      <w:pPr>
        <w:ind w:left="1400"/>
        <w:spacing w:after="0"/>
        <w:rPr>
          <w:rFonts w:ascii="Arial" w:cs="Arial" w:eastAsia="Arial" w:hAnsi="Arial"/>
          <w:sz w:val="20"/>
          <w:szCs w:val="20"/>
          <w:color w:val="auto"/>
        </w:rPr>
      </w:pPr>
      <w:r>
        <w:rPr>
          <w:rFonts w:ascii="Arial" w:cs="Arial" w:eastAsia="Arial" w:hAnsi="Arial"/>
          <w:sz w:val="20"/>
          <w:szCs w:val="20"/>
          <w:color w:val="auto"/>
        </w:rPr>
        <w:t>Broadfin Capital, LLC – 2.19%</w:t>
      </w:r>
    </w:p>
    <w:p>
      <w:pPr>
        <w:spacing w:after="0" w:line="15" w:lineRule="exact"/>
        <w:rPr>
          <w:rFonts w:ascii="Arial" w:cs="Arial" w:eastAsia="Arial" w:hAnsi="Arial"/>
          <w:sz w:val="20"/>
          <w:szCs w:val="20"/>
          <w:color w:val="auto"/>
        </w:rPr>
      </w:pPr>
    </w:p>
    <w:p>
      <w:pPr>
        <w:ind w:left="1400" w:right="6020"/>
        <w:spacing w:after="0" w:line="244" w:lineRule="auto"/>
        <w:rPr>
          <w:rFonts w:ascii="Arial" w:cs="Arial" w:eastAsia="Arial" w:hAnsi="Arial"/>
          <w:sz w:val="20"/>
          <w:szCs w:val="20"/>
          <w:color w:val="auto"/>
        </w:rPr>
      </w:pPr>
      <w:r>
        <w:rPr>
          <w:rFonts w:ascii="Arial" w:cs="Arial" w:eastAsia="Arial" w:hAnsi="Arial"/>
          <w:sz w:val="20"/>
          <w:szCs w:val="20"/>
          <w:color w:val="auto"/>
        </w:rPr>
        <w:t>Broadfin Healthcare Master Fund, Ltd. – 2.19% Kevin Kotler – 2.19%</w:t>
      </w:r>
    </w:p>
    <w:p>
      <w:pPr>
        <w:spacing w:after="0" w:line="218" w:lineRule="exact"/>
        <w:rPr>
          <w:rFonts w:ascii="Arial" w:cs="Arial" w:eastAsia="Arial" w:hAnsi="Arial"/>
          <w:sz w:val="20"/>
          <w:szCs w:val="20"/>
          <w:color w:val="auto"/>
        </w:rPr>
      </w:pPr>
    </w:p>
    <w:p>
      <w:pPr>
        <w:ind w:left="1400" w:hanging="517"/>
        <w:spacing w:after="0"/>
        <w:tabs>
          <w:tab w:leader="none" w:pos="14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29" w:lineRule="exact"/>
        <w:rPr>
          <w:rFonts w:ascii="Arial" w:cs="Arial" w:eastAsia="Arial" w:hAnsi="Arial"/>
          <w:sz w:val="20"/>
          <w:szCs w:val="20"/>
          <w:color w:val="auto"/>
        </w:rPr>
      </w:pPr>
    </w:p>
    <w:p>
      <w:pPr>
        <w:ind w:left="2000" w:hanging="590"/>
        <w:spacing w:after="0"/>
        <w:tabs>
          <w:tab w:leader="none" w:pos="20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Sole power to vote or to direct the vote</w:t>
      </w:r>
    </w:p>
    <w:p>
      <w:pPr>
        <w:spacing w:after="0" w:line="229" w:lineRule="exact"/>
        <w:rPr>
          <w:rFonts w:ascii="Arial" w:cs="Arial" w:eastAsia="Arial" w:hAnsi="Arial"/>
          <w:sz w:val="20"/>
          <w:szCs w:val="20"/>
          <w:color w:val="auto"/>
        </w:rPr>
      </w:pPr>
    </w:p>
    <w:p>
      <w:pPr>
        <w:ind w:left="2000"/>
        <w:spacing w:after="0"/>
        <w:rPr>
          <w:rFonts w:ascii="Arial" w:cs="Arial" w:eastAsia="Arial" w:hAnsi="Arial"/>
          <w:sz w:val="20"/>
          <w:szCs w:val="20"/>
          <w:color w:val="auto"/>
        </w:rPr>
      </w:pPr>
      <w:r>
        <w:rPr>
          <w:rFonts w:ascii="Arial" w:cs="Arial" w:eastAsia="Arial" w:hAnsi="Arial"/>
          <w:sz w:val="20"/>
          <w:szCs w:val="20"/>
          <w:color w:val="auto"/>
        </w:rPr>
        <w:t>Broadfin Capital, LLC – 0</w:t>
      </w:r>
    </w:p>
    <w:p>
      <w:pPr>
        <w:spacing w:after="0" w:line="15" w:lineRule="exact"/>
        <w:rPr>
          <w:rFonts w:ascii="Arial" w:cs="Arial" w:eastAsia="Arial" w:hAnsi="Arial"/>
          <w:sz w:val="20"/>
          <w:szCs w:val="20"/>
          <w:color w:val="auto"/>
        </w:rPr>
      </w:pPr>
    </w:p>
    <w:p>
      <w:pPr>
        <w:ind w:left="2000" w:right="5840"/>
        <w:spacing w:after="0" w:line="244" w:lineRule="auto"/>
        <w:rPr>
          <w:rFonts w:ascii="Arial" w:cs="Arial" w:eastAsia="Arial" w:hAnsi="Arial"/>
          <w:sz w:val="20"/>
          <w:szCs w:val="20"/>
          <w:color w:val="auto"/>
        </w:rPr>
      </w:pPr>
      <w:r>
        <w:rPr>
          <w:rFonts w:ascii="Arial" w:cs="Arial" w:eastAsia="Arial" w:hAnsi="Arial"/>
          <w:sz w:val="20"/>
          <w:szCs w:val="20"/>
          <w:color w:val="auto"/>
        </w:rPr>
        <w:t>Broadfin Healthcare Master Fund, Ltd. – 0 Kevin Kotler – 0</w:t>
      </w:r>
    </w:p>
    <w:p>
      <w:pPr>
        <w:spacing w:after="0" w:line="205" w:lineRule="exact"/>
        <w:rPr>
          <w:rFonts w:ascii="Arial" w:cs="Arial" w:eastAsia="Arial" w:hAnsi="Arial"/>
          <w:sz w:val="20"/>
          <w:szCs w:val="20"/>
          <w:color w:val="auto"/>
        </w:rPr>
      </w:pPr>
    </w:p>
    <w:p>
      <w:pPr>
        <w:ind w:left="2000" w:hanging="590"/>
        <w:spacing w:after="0"/>
        <w:tabs>
          <w:tab w:leader="none" w:pos="20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Shared power to vote or to direct the vote</w:t>
      </w:r>
    </w:p>
    <w:p>
      <w:pPr>
        <w:spacing w:after="0" w:line="229" w:lineRule="exact"/>
        <w:rPr>
          <w:rFonts w:ascii="Arial" w:cs="Arial" w:eastAsia="Arial" w:hAnsi="Arial"/>
          <w:sz w:val="20"/>
          <w:szCs w:val="20"/>
          <w:color w:val="auto"/>
        </w:rPr>
      </w:pPr>
    </w:p>
    <w:p>
      <w:pPr>
        <w:ind w:left="2000"/>
        <w:spacing w:after="0"/>
        <w:rPr>
          <w:rFonts w:ascii="Arial" w:cs="Arial" w:eastAsia="Arial" w:hAnsi="Arial"/>
          <w:sz w:val="20"/>
          <w:szCs w:val="20"/>
          <w:color w:val="auto"/>
        </w:rPr>
      </w:pPr>
      <w:r>
        <w:rPr>
          <w:rFonts w:ascii="Arial" w:cs="Arial" w:eastAsia="Arial" w:hAnsi="Arial"/>
          <w:sz w:val="20"/>
          <w:szCs w:val="20"/>
          <w:color w:val="auto"/>
        </w:rPr>
        <w:t>Broadfin Capital, LLC – 746,358</w:t>
      </w:r>
    </w:p>
    <w:p>
      <w:pPr>
        <w:spacing w:after="0" w:line="15" w:lineRule="exact"/>
        <w:rPr>
          <w:rFonts w:ascii="Arial" w:cs="Arial" w:eastAsia="Arial" w:hAnsi="Arial"/>
          <w:sz w:val="20"/>
          <w:szCs w:val="20"/>
          <w:color w:val="auto"/>
        </w:rPr>
      </w:pPr>
    </w:p>
    <w:p>
      <w:pPr>
        <w:ind w:left="2000" w:right="5300"/>
        <w:spacing w:after="0" w:line="244" w:lineRule="auto"/>
        <w:rPr>
          <w:rFonts w:ascii="Arial" w:cs="Arial" w:eastAsia="Arial" w:hAnsi="Arial"/>
          <w:sz w:val="20"/>
          <w:szCs w:val="20"/>
          <w:color w:val="auto"/>
        </w:rPr>
      </w:pPr>
      <w:r>
        <w:rPr>
          <w:rFonts w:ascii="Arial" w:cs="Arial" w:eastAsia="Arial" w:hAnsi="Arial"/>
          <w:sz w:val="20"/>
          <w:szCs w:val="20"/>
          <w:color w:val="auto"/>
        </w:rPr>
        <w:t>Broadfin Healthcare Master Fund, Ltd. – 746,358 Kevin Kotler – 746,358</w:t>
      </w:r>
    </w:p>
    <w:p>
      <w:pPr>
        <w:spacing w:after="0" w:line="205" w:lineRule="exact"/>
        <w:rPr>
          <w:rFonts w:ascii="Arial" w:cs="Arial" w:eastAsia="Arial" w:hAnsi="Arial"/>
          <w:sz w:val="20"/>
          <w:szCs w:val="20"/>
          <w:color w:val="auto"/>
        </w:rPr>
      </w:pPr>
    </w:p>
    <w:p>
      <w:pPr>
        <w:ind w:left="2000" w:hanging="590"/>
        <w:spacing w:after="0"/>
        <w:tabs>
          <w:tab w:leader="none" w:pos="20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w:t>
      </w:r>
    </w:p>
    <w:p>
      <w:pPr>
        <w:spacing w:after="0" w:line="229" w:lineRule="exact"/>
        <w:rPr>
          <w:rFonts w:ascii="Arial" w:cs="Arial" w:eastAsia="Arial" w:hAnsi="Arial"/>
          <w:sz w:val="20"/>
          <w:szCs w:val="20"/>
          <w:color w:val="auto"/>
        </w:rPr>
      </w:pPr>
    </w:p>
    <w:p>
      <w:pPr>
        <w:ind w:left="2000"/>
        <w:spacing w:after="0"/>
        <w:rPr>
          <w:rFonts w:ascii="Arial" w:cs="Arial" w:eastAsia="Arial" w:hAnsi="Arial"/>
          <w:sz w:val="20"/>
          <w:szCs w:val="20"/>
          <w:color w:val="auto"/>
        </w:rPr>
      </w:pPr>
      <w:r>
        <w:rPr>
          <w:rFonts w:ascii="Arial" w:cs="Arial" w:eastAsia="Arial" w:hAnsi="Arial"/>
          <w:sz w:val="20"/>
          <w:szCs w:val="20"/>
          <w:color w:val="auto"/>
        </w:rPr>
        <w:t>Broadfin Capital, LLC – 0</w:t>
      </w:r>
    </w:p>
    <w:p>
      <w:pPr>
        <w:spacing w:after="0" w:line="15" w:lineRule="exact"/>
        <w:rPr>
          <w:rFonts w:ascii="Arial" w:cs="Arial" w:eastAsia="Arial" w:hAnsi="Arial"/>
          <w:sz w:val="20"/>
          <w:szCs w:val="20"/>
          <w:color w:val="auto"/>
        </w:rPr>
      </w:pPr>
    </w:p>
    <w:p>
      <w:pPr>
        <w:ind w:left="2000" w:right="5840"/>
        <w:spacing w:after="0" w:line="244" w:lineRule="auto"/>
        <w:rPr>
          <w:rFonts w:ascii="Arial" w:cs="Arial" w:eastAsia="Arial" w:hAnsi="Arial"/>
          <w:sz w:val="20"/>
          <w:szCs w:val="20"/>
          <w:color w:val="auto"/>
        </w:rPr>
      </w:pPr>
      <w:r>
        <w:rPr>
          <w:rFonts w:ascii="Arial" w:cs="Arial" w:eastAsia="Arial" w:hAnsi="Arial"/>
          <w:sz w:val="20"/>
          <w:szCs w:val="20"/>
          <w:color w:val="auto"/>
        </w:rPr>
        <w:t>Broadfin Healthcare Master Fund, Ltd. – 0 Kevin Kotler – 0</w:t>
      </w:r>
    </w:p>
    <w:p>
      <w:pPr>
        <w:spacing w:after="0" w:line="205" w:lineRule="exact"/>
        <w:rPr>
          <w:rFonts w:ascii="Arial" w:cs="Arial" w:eastAsia="Arial" w:hAnsi="Arial"/>
          <w:sz w:val="20"/>
          <w:szCs w:val="20"/>
          <w:color w:val="auto"/>
        </w:rPr>
      </w:pPr>
    </w:p>
    <w:p>
      <w:pPr>
        <w:ind w:left="2000" w:hanging="590"/>
        <w:spacing w:after="0"/>
        <w:tabs>
          <w:tab w:leader="none" w:pos="20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w:t>
      </w:r>
    </w:p>
    <w:p>
      <w:pPr>
        <w:spacing w:after="0" w:line="229" w:lineRule="exact"/>
        <w:rPr>
          <w:rFonts w:ascii="Arial" w:cs="Arial" w:eastAsia="Arial" w:hAnsi="Arial"/>
          <w:sz w:val="20"/>
          <w:szCs w:val="20"/>
          <w:color w:val="auto"/>
        </w:rPr>
      </w:pPr>
    </w:p>
    <w:p>
      <w:pPr>
        <w:ind w:left="2000"/>
        <w:spacing w:after="0"/>
        <w:rPr>
          <w:rFonts w:ascii="Arial" w:cs="Arial" w:eastAsia="Arial" w:hAnsi="Arial"/>
          <w:sz w:val="20"/>
          <w:szCs w:val="20"/>
          <w:color w:val="auto"/>
        </w:rPr>
      </w:pPr>
      <w:r>
        <w:rPr>
          <w:rFonts w:ascii="Arial" w:cs="Arial" w:eastAsia="Arial" w:hAnsi="Arial"/>
          <w:sz w:val="20"/>
          <w:szCs w:val="20"/>
          <w:color w:val="auto"/>
        </w:rPr>
        <w:t>Broadfin Capital, LLC – 746,358</w:t>
      </w:r>
    </w:p>
    <w:p>
      <w:pPr>
        <w:spacing w:after="0" w:line="15" w:lineRule="exact"/>
        <w:rPr>
          <w:rFonts w:ascii="Arial" w:cs="Arial" w:eastAsia="Arial" w:hAnsi="Arial"/>
          <w:sz w:val="20"/>
          <w:szCs w:val="20"/>
          <w:color w:val="auto"/>
        </w:rPr>
      </w:pPr>
    </w:p>
    <w:p>
      <w:pPr>
        <w:ind w:left="2000" w:right="5340"/>
        <w:spacing w:after="0" w:line="244" w:lineRule="auto"/>
        <w:rPr>
          <w:rFonts w:ascii="Arial" w:cs="Arial" w:eastAsia="Arial" w:hAnsi="Arial"/>
          <w:sz w:val="20"/>
          <w:szCs w:val="20"/>
          <w:color w:val="auto"/>
        </w:rPr>
      </w:pPr>
      <w:r>
        <w:rPr>
          <w:rFonts w:ascii="Arial" w:cs="Arial" w:eastAsia="Arial" w:hAnsi="Arial"/>
          <w:sz w:val="20"/>
          <w:szCs w:val="20"/>
          <w:color w:val="auto"/>
        </w:rPr>
        <w:t>Broadfin Healthcare Master Fund, Ltd. - 746,358 Kevin Kotler – 746,358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-3803015</wp:posOffset>
            </wp:positionV>
            <wp:extent cx="6354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-4686300</wp:posOffset>
            </wp:positionV>
            <wp:extent cx="6354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295275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474" w:right="33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9" w:lineRule="exact"/>
        <w:rPr>
          <w:sz w:val="20"/>
          <w:szCs w:val="20"/>
          <w:color w:val="auto"/>
        </w:rPr>
      </w:pPr>
    </w:p>
    <w:p>
      <w:pPr>
        <w:jc w:val="both"/>
        <w:ind w:left="104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190" w:lineRule="exact"/>
        <w:rPr>
          <w:sz w:val="20"/>
          <w:szCs w:val="20"/>
          <w:color w:val="auto"/>
        </w:rPr>
      </w:pPr>
    </w:p>
    <w:p>
      <w:pPr>
        <w:jc w:val="both"/>
        <w:ind w:left="1040"/>
        <w:spacing w:after="0" w:line="260" w:lineRule="auto"/>
        <w:rPr>
          <w:sz w:val="20"/>
          <w:szCs w:val="20"/>
          <w:color w:val="auto"/>
        </w:rPr>
      </w:pPr>
      <w:r>
        <w:rPr>
          <w:rFonts w:ascii="Arial" w:cs="Arial" w:eastAsia="Arial" w:hAnsi="Arial"/>
          <w:sz w:val="20"/>
          <w:szCs w:val="20"/>
          <w:color w:val="auto"/>
        </w:rPr>
        <w:t>This final amendment reflects that each Reporting Person has ceased to be the beneficial owner of more than five percent of the Common Stock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-13335</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29" w:lineRule="exact"/>
        <w:rPr>
          <w:sz w:val="20"/>
          <w:szCs w:val="20"/>
          <w:color w:val="auto"/>
        </w:rPr>
      </w:pPr>
    </w:p>
    <w:p>
      <w:pPr>
        <w:jc w:val="both"/>
        <w:ind w:left="1040"/>
        <w:spacing w:after="0" w:line="244" w:lineRule="auto"/>
        <w:rPr>
          <w:sz w:val="20"/>
          <w:szCs w:val="20"/>
          <w:color w:val="auto"/>
        </w:rPr>
      </w:pPr>
      <w:r>
        <w:rPr>
          <w:rFonts w:ascii="Arial" w:cs="Arial" w:eastAsia="Arial" w:hAnsi="Arial"/>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8"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10160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23" w:lineRule="exact"/>
        <w:rPr>
          <w:sz w:val="20"/>
          <w:szCs w:val="20"/>
          <w:color w:val="auto"/>
        </w:rPr>
      </w:pPr>
    </w:p>
    <w:p>
      <w:pPr>
        <w:ind w:left="1040" w:hanging="1039"/>
        <w:spacing w:after="0" w:line="260" w:lineRule="auto"/>
        <w:tabs>
          <w:tab w:leader="none" w:pos="102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 or Control Person.</w:t>
      </w:r>
    </w:p>
    <w:p>
      <w:pPr>
        <w:spacing w:after="0" w:line="190" w:lineRule="exact"/>
        <w:rPr>
          <w:sz w:val="20"/>
          <w:szCs w:val="20"/>
          <w:color w:val="auto"/>
        </w:rPr>
      </w:pPr>
    </w:p>
    <w:p>
      <w:pPr>
        <w:jc w:val="both"/>
        <w:ind w:left="1040"/>
        <w:spacing w:after="0" w:line="246" w:lineRule="auto"/>
        <w:rPr>
          <w:sz w:val="20"/>
          <w:szCs w:val="20"/>
          <w:color w:val="auto"/>
        </w:rPr>
      </w:pPr>
      <w:r>
        <w:rPr>
          <w:rFonts w:ascii="Arial" w:cs="Arial" w:eastAsia="Arial" w:hAnsi="Arial"/>
          <w:sz w:val="20"/>
          <w:szCs w:val="20"/>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3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10160</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173355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474" w:right="339" w:bottom="1440" w:gutter="0" w:footer="0" w:header="0"/>
        </w:sectPr>
      </w:pPr>
    </w:p>
    <w:bookmarkStart w:id="8" w:name="page9"/>
    <w:bookmarkEnd w:id="8"/>
    <w:p>
      <w:pPr>
        <w:spacing w:after="0"/>
        <w:tabs>
          <w:tab w:leader="none" w:pos="102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29" w:lineRule="exact"/>
        <w:rPr>
          <w:sz w:val="20"/>
          <w:szCs w:val="20"/>
          <w:color w:val="auto"/>
        </w:rPr>
      </w:pPr>
    </w:p>
    <w:p>
      <w:pPr>
        <w:jc w:val="both"/>
        <w:ind w:left="1040"/>
        <w:spacing w:after="0" w:line="250" w:lineRule="auto"/>
        <w:rPr>
          <w:sz w:val="20"/>
          <w:szCs w:val="20"/>
          <w:color w:val="auto"/>
        </w:rPr>
      </w:pPr>
      <w:r>
        <w:rPr>
          <w:rFonts w:ascii="Arial" w:cs="Arial" w:eastAsia="Arial" w:hAnsi="Arial"/>
          <w:sz w:val="20"/>
          <w:szCs w:val="20"/>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9"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10160</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29" w:lineRule="exact"/>
        <w:rPr>
          <w:sz w:val="20"/>
          <w:szCs w:val="20"/>
          <w:color w:val="auto"/>
        </w:rPr>
      </w:pPr>
    </w:p>
    <w:p>
      <w:pPr>
        <w:jc w:val="both"/>
        <w:ind w:left="1040"/>
        <w:spacing w:after="0" w:line="250" w:lineRule="auto"/>
        <w:rPr>
          <w:sz w:val="20"/>
          <w:szCs w:val="20"/>
          <w:color w:val="auto"/>
        </w:rPr>
      </w:pPr>
      <w:r>
        <w:rPr>
          <w:rFonts w:ascii="Arial" w:cs="Arial" w:eastAsia="Arial" w:hAnsi="Arial"/>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29"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10160</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9"/>
          <w:szCs w:val="19"/>
          <w:color w:val="auto"/>
        </w:rPr>
        <w:t>Certification.</w:t>
      </w:r>
    </w:p>
    <w:p>
      <w:pPr>
        <w:spacing w:after="0" w:line="229" w:lineRule="exact"/>
        <w:rPr>
          <w:sz w:val="20"/>
          <w:szCs w:val="20"/>
          <w:color w:val="auto"/>
        </w:rPr>
      </w:pPr>
    </w:p>
    <w:p>
      <w:pPr>
        <w:jc w:val="both"/>
        <w:ind w:left="1500"/>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431800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703" w:right="3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7"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February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BROADFIN CAPITAL, LLC*</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812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February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BROADFIN HEALTHCARE</w:t>
      </w:r>
    </w:p>
    <w:p>
      <w:pPr>
        <w:spacing w:after="0" w:line="15"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MASTER FUND, LTD.</w:t>
      </w:r>
    </w:p>
    <w:p>
      <w:pPr>
        <w:jc w:val="center"/>
        <w:ind w:left="5720"/>
        <w:spacing w:after="0"/>
        <w:rPr>
          <w:sz w:val="20"/>
          <w:szCs w:val="20"/>
          <w:color w:val="auto"/>
        </w:rPr>
      </w:pPr>
      <w:r>
        <w:rPr>
          <w:rFonts w:ascii="Arial" w:cs="Arial" w:eastAsia="Arial" w:hAnsi="Arial"/>
          <w:sz w:val="20"/>
          <w:szCs w:val="20"/>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812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February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1" w:lineRule="exact"/>
        <w:rPr>
          <w:sz w:val="20"/>
          <w:szCs w:val="20"/>
          <w:color w:val="auto"/>
        </w:rPr>
      </w:pPr>
    </w:p>
    <w:p>
      <w:pPr>
        <w:ind w:left="8060"/>
        <w:spacing w:after="0"/>
        <w:rPr>
          <w:sz w:val="20"/>
          <w:szCs w:val="20"/>
          <w:color w:val="auto"/>
        </w:rPr>
      </w:pPr>
      <w:r>
        <w:rPr>
          <w:rFonts w:ascii="Arial" w:cs="Arial" w:eastAsia="Arial" w:hAnsi="Arial"/>
          <w:sz w:val="20"/>
          <w:szCs w:val="20"/>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8060"/>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disclaim beneficial ownership in the shares reported herein except to the extent of their pecuniary interest therein.</w:t>
      </w:r>
    </w:p>
    <w:p>
      <w:pPr>
        <w:spacing w:after="0" w:line="25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9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Note. Schedules filed in paper format shall include a signed original and five copies of the schedule, including all exhibits. See s.240.13d-7 for other parties for whom copies are to be sent.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703" w:right="31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20"/>
          <w:szCs w:val="20"/>
          <w:color w:val="auto"/>
        </w:rPr>
        <w:t>AGREEMENT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undersigned agree that this Amendment No. 2 to Schedule 13G dated February 13, 2018 relating to the Common Stock, $0.001 par value of Veracyte, Inc. shall be filed on behalf of the undersigned.</w:t>
      </w:r>
    </w:p>
    <w:p>
      <w:pPr>
        <w:spacing w:after="0" w:line="200" w:lineRule="exact"/>
        <w:rPr>
          <w:sz w:val="20"/>
          <w:szCs w:val="20"/>
          <w:color w:val="auto"/>
        </w:rPr>
      </w:pPr>
    </w:p>
    <w:p>
      <w:pPr>
        <w:spacing w:after="0" w:line="207"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February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BROADFIN CAPITAL, LLC</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812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February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BROADFIN HEALTHCARE</w:t>
      </w:r>
    </w:p>
    <w:p>
      <w:pPr>
        <w:spacing w:after="0" w:line="15"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MASTER FUND, LTD.</w:t>
      </w:r>
    </w:p>
    <w:p>
      <w:pPr>
        <w:jc w:val="center"/>
        <w:ind w:left="5720"/>
        <w:spacing w:after="0"/>
        <w:rPr>
          <w:sz w:val="20"/>
          <w:szCs w:val="20"/>
          <w:color w:val="auto"/>
        </w:rPr>
      </w:pPr>
      <w:r>
        <w:rPr>
          <w:rFonts w:ascii="Arial" w:cs="Arial" w:eastAsia="Arial" w:hAnsi="Arial"/>
          <w:sz w:val="20"/>
          <w:szCs w:val="20"/>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812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February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51"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1" w:lineRule="exact"/>
        <w:rPr>
          <w:sz w:val="20"/>
          <w:szCs w:val="20"/>
          <w:color w:val="auto"/>
        </w:rPr>
      </w:pPr>
    </w:p>
    <w:p>
      <w:pPr>
        <w:ind w:left="8060"/>
        <w:spacing w:after="0"/>
        <w:rPr>
          <w:sz w:val="20"/>
          <w:szCs w:val="20"/>
          <w:color w:val="auto"/>
        </w:rPr>
      </w:pPr>
      <w:r>
        <w:rPr>
          <w:rFonts w:ascii="Arial" w:cs="Arial" w:eastAsia="Arial" w:hAnsi="Arial"/>
          <w:sz w:val="20"/>
          <w:szCs w:val="20"/>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8060"/>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51" w:lineRule="exact"/>
        <w:rPr>
          <w:sz w:val="20"/>
          <w:szCs w:val="20"/>
          <w:color w:val="auto"/>
        </w:rPr>
      </w:pPr>
    </w:p>
    <w:p>
      <w:pPr>
        <w:jc w:val="both"/>
        <w:ind w:right="60"/>
        <w:spacing w:after="0" w:line="244" w:lineRule="auto"/>
        <w:rPr>
          <w:sz w:val="20"/>
          <w:szCs w:val="20"/>
          <w:color w:val="auto"/>
        </w:rPr>
      </w:pPr>
      <w:r>
        <w:rPr>
          <w:rFonts w:ascii="Arial" w:cs="Arial" w:eastAsia="Arial" w:hAnsi="Arial"/>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9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Note. Schedules filed in paper format shall include a signed original and five copies of the schedule, including all exhibits. See s.240.13d-7 for other parties for whom copies are to be sent.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919"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color w:val="auto"/>
        </w:rPr>
        <w:t>EXHIBIT A</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Broadfin Capital, LLC is the relevant entity for which Kevin Kotler may be considered a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1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2019-12-07T07:00:06Z</dcterms:created>
  <dcterms:modified xsi:type="dcterms:W3CDTF">2019-12-07T07:00:06Z</dcterms:modified>
</cp:coreProperties>
</file>