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954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McGuire Annie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6000 SHORELINE COURT,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General Counsel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02/28/2022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22,855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22,855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27.8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42,175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02/28/2032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42,175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42,175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Restricted stock units awarded on February 28, 2022 vest 25% on March 2, 2023 and 1/16 per quarter thereafter subject to continuing employment of the Reporting Person on each vesting date.</w:t>
      </w:r>
    </w:p>
    <w:p>
      <w:pPr>
        <w:spacing w:after="0" w:line="5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February 28, 2023, and the remaining shares vest at a rate of 1/48th of the total number of shares subject to the award for each month of continuous service thereafter.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Annie McGuire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03/02/2022</w:t>
            </w: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91462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2022-03-02T20:08:25Z</dcterms:created>
  <dcterms:modified xsi:type="dcterms:W3CDTF">2022-03-02T20:08:25Z</dcterms:modified>
</cp:coreProperties>
</file>