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Anderson Bonnie H</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3"/>
            <w:vMerge w:val="continue"/>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X</w:t>
            </w:r>
          </w:p>
        </w:tc>
        <w:tc>
          <w:tcPr>
            <w:tcW w:w="118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720" w:type="dxa"/>
            <w:vAlign w:val="bottom"/>
            <w:gridSpan w:val="3"/>
            <w:vMerge w:val="restart"/>
          </w:tcPr>
          <w:p>
            <w:pPr>
              <w:ind w:left="5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8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720" w:type="dxa"/>
            <w:vAlign w:val="bottom"/>
            <w:gridSpan w:val="3"/>
            <w:vMerge w:val="restart"/>
          </w:tcPr>
          <w:p>
            <w:pPr>
              <w:ind w:left="5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ind w:left="180"/>
              <w:spacing w:after="0"/>
              <w:rPr>
                <w:sz w:val="20"/>
                <w:szCs w:val="20"/>
                <w:color w:val="auto"/>
              </w:rPr>
            </w:pPr>
            <w:r>
              <w:rPr>
                <w:rFonts w:ascii="Arial" w:cs="Arial" w:eastAsia="Arial" w:hAnsi="Arial"/>
                <w:sz w:val="13"/>
                <w:szCs w:val="13"/>
                <w:color w:val="auto"/>
              </w:rPr>
              <w:t>below)</w:t>
            </w:r>
          </w:p>
        </w:tc>
        <w:tc>
          <w:tcPr>
            <w:tcW w:w="1720" w:type="dxa"/>
            <w:vAlign w:val="bottom"/>
            <w:gridSpan w:val="3"/>
          </w:tcPr>
          <w:p>
            <w:pPr>
              <w:ind w:left="5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620" w:type="dxa"/>
            <w:vAlign w:val="bottom"/>
          </w:tcPr>
          <w:p>
            <w:pPr>
              <w:spacing w:after="0"/>
              <w:rPr>
                <w:sz w:val="19"/>
                <w:szCs w:val="19"/>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03/02/2023</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300</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3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880" w:type="dxa"/>
            <w:vAlign w:val="bottom"/>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9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16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4"/>
          </w:tcPr>
          <w:p>
            <w:pPr>
              <w:ind w:left="10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00" w:type="dxa"/>
            <w:vAlign w:val="bottom"/>
            <w:gridSpan w:val="4"/>
          </w:tcPr>
          <w:p>
            <w:pPr>
              <w:ind w:left="10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4"/>
          </w:tcPr>
          <w:p>
            <w:pPr>
              <w:ind w:left="1140"/>
              <w:spacing w:after="0"/>
              <w:rPr>
                <w:sz w:val="20"/>
                <w:szCs w:val="20"/>
                <w:color w:val="auto"/>
              </w:rPr>
            </w:pPr>
            <w:r>
              <w:rPr>
                <w:rFonts w:ascii="Times New Roman" w:cs="Times New Roman" w:eastAsia="Times New Roman" w:hAnsi="Times New Roman"/>
                <w:sz w:val="17"/>
                <w:szCs w:val="17"/>
                <w:color w:val="0000FF"/>
              </w:rPr>
              <w:t>03/02/2023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8,994</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w:t>
            </w:r>
          </w:p>
        </w:tc>
        <w:tc>
          <w:tcPr>
            <w:tcW w:w="1180" w:type="dxa"/>
            <w:vAlign w:val="bottom"/>
            <w:tcBorders>
              <w:bottom w:val="single" w:sz="8" w:color="2C2C2C"/>
            </w:tcBorders>
          </w:tcPr>
          <w:p>
            <w:pPr>
              <w:jc w:val="right"/>
              <w:ind w:right="294"/>
              <w:spacing w:after="0"/>
              <w:rPr>
                <w:sz w:val="20"/>
                <w:szCs w:val="20"/>
                <w:color w:val="auto"/>
              </w:rPr>
            </w:pPr>
            <w:r>
              <w:rPr>
                <w:rFonts w:ascii="Times New Roman" w:cs="Times New Roman" w:eastAsia="Times New Roman" w:hAnsi="Times New Roman"/>
                <w:sz w:val="17"/>
                <w:szCs w:val="17"/>
                <w:color w:val="0000FF"/>
              </w:rPr>
              <w:t>53,967</w:t>
            </w:r>
          </w:p>
        </w:tc>
        <w:tc>
          <w:tcPr>
            <w:tcW w:w="8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Bonnie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123,514</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Anderson</w:t>
      </w:r>
    </w:p>
    <w:p>
      <w:pPr>
        <w:spacing w:after="0" w:line="11"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Living</w:t>
      </w:r>
    </w:p>
    <w:p>
      <w:pPr>
        <w:spacing w:after="0" w:line="18"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738, 812, 492, and 6,592 shares of common stock to satisfy the reporting person's tax withholding obligations in connection with the vesting of 1,875, 2,063, 1,250, and 17,667 Restricted Stock Units, respectively, granted on February 28, 2019, February 28, 2020, February 26, 2021, and March 3, 2022 respectively, and does not represent a sale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03/03/2023</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2023-03-03T19:17:24Z</dcterms:created>
  <dcterms:modified xsi:type="dcterms:W3CDTF">2023-03-03T19:17:24Z</dcterms:modified>
</cp:coreProperties>
</file>